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D7F" w:rsidRDefault="00A3360F" w:rsidP="00BB050F">
      <w:pPr>
        <w:ind w:left="-284"/>
        <w:rPr>
          <w:noProof/>
          <w:lang w:eastAsia="en-AU"/>
        </w:rPr>
      </w:pPr>
      <w:r>
        <w:rPr>
          <w:noProof/>
          <w:lang w:eastAsia="en-AU"/>
        </w:rPr>
        <mc:AlternateContent>
          <mc:Choice Requires="wps">
            <w:drawing>
              <wp:anchor distT="45720" distB="45720" distL="114300" distR="114300" simplePos="0" relativeHeight="251663360" behindDoc="0" locked="0" layoutInCell="1" allowOverlap="1" wp14:anchorId="268CBB08" wp14:editId="6229C037">
                <wp:simplePos x="0" y="0"/>
                <wp:positionH relativeFrom="page">
                  <wp:posOffset>285750</wp:posOffset>
                </wp:positionH>
                <wp:positionV relativeFrom="paragraph">
                  <wp:posOffset>-266701</wp:posOffset>
                </wp:positionV>
                <wp:extent cx="7000875" cy="10029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0029825"/>
                        </a:xfrm>
                        <a:prstGeom prst="rect">
                          <a:avLst/>
                        </a:prstGeom>
                        <a:solidFill>
                          <a:srgbClr val="FFFFFF"/>
                        </a:solidFill>
                        <a:ln w="9525">
                          <a:noFill/>
                          <a:miter lim="800000"/>
                          <a:headEnd/>
                          <a:tailEnd/>
                        </a:ln>
                      </wps:spPr>
                      <wps:txbx>
                        <w:txbxContent>
                          <w:p w:rsidR="00086D52" w:rsidRDefault="00086D52">
                            <w:r>
                              <w:rPr>
                                <w:noProof/>
                              </w:rPr>
                              <w:drawing>
                                <wp:inline distT="0" distB="0" distL="0" distR="0">
                                  <wp:extent cx="6991985" cy="9894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985" cy="989454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CBB08" id="_x0000_t202" coordsize="21600,21600" o:spt="202" path="m,l,21600r21600,l21600,xe">
                <v:stroke joinstyle="miter"/>
                <v:path gradientshapeok="t" o:connecttype="rect"/>
              </v:shapetype>
              <v:shape id="Text Box 2" o:spid="_x0000_s1026" type="#_x0000_t202" style="position:absolute;left:0;text-align:left;margin-left:22.5pt;margin-top:-21pt;width:551.25pt;height:789.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" stroked="f">
                <v:textbox inset="0,0,0,0">
                  <w:txbxContent>
                    <w:p w:rsidR="00086D52" w:rsidRDefault="00086D52">
                      <w:r>
                        <w:rPr>
                          <w:noProof/>
                        </w:rPr>
                        <w:drawing>
                          <wp:inline distT="0" distB="0" distL="0" distR="0">
                            <wp:extent cx="6991985" cy="9894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985" cy="9894540"/>
                                    </a:xfrm>
                                    <a:prstGeom prst="rect">
                                      <a:avLst/>
                                    </a:prstGeom>
                                    <a:noFill/>
                                    <a:ln>
                                      <a:noFill/>
                                    </a:ln>
                                  </pic:spPr>
                                </pic:pic>
                              </a:graphicData>
                            </a:graphic>
                          </wp:inline>
                        </w:drawing>
                      </w:r>
                    </w:p>
                  </w:txbxContent>
                </v:textbox>
                <w10:wrap anchorx="page"/>
              </v:shape>
            </w:pict>
          </mc:Fallback>
        </mc:AlternateContent>
      </w:r>
      <w:r w:rsidR="00256BDB" w:rsidRPr="00256BDB">
        <w:rPr>
          <w:noProof/>
          <w:lang w:eastAsia="en-AU"/>
        </w:rPr>
        <w:t xml:space="preserve"> </w:t>
      </w:r>
      <w:r w:rsidR="00506679">
        <w:rPr>
          <w:noProof/>
          <w:lang w:eastAsia="en-AU"/>
        </w:rPr>
        <w:br w:type="page"/>
      </w:r>
    </w:p>
    <w:p w:rsidR="00AE78B8" w:rsidRDefault="00AE78B8"/>
    <w:sdt>
      <w:sdtPr>
        <w:rPr>
          <w:rFonts w:ascii="Arial" w:eastAsia="Calibri" w:hAnsi="Arial" w:cs="Times New Roman"/>
          <w:color w:val="auto"/>
          <w:sz w:val="22"/>
          <w:szCs w:val="22"/>
          <w:lang w:val="en-AU"/>
        </w:rPr>
        <w:id w:val="1405338122"/>
        <w:docPartObj>
          <w:docPartGallery w:val="Table of Contents"/>
          <w:docPartUnique/>
        </w:docPartObj>
      </w:sdtPr>
      <w:sdtEndPr>
        <w:rPr>
          <w:b/>
          <w:bCs/>
          <w:noProof/>
        </w:rPr>
      </w:sdtEndPr>
      <w:sdtContent>
        <w:p w:rsidR="007549F2" w:rsidRDefault="007549F2">
          <w:pPr>
            <w:pStyle w:val="TOCHeading"/>
          </w:pPr>
          <w:r w:rsidRPr="00715DFC">
            <w:rPr>
              <w:rStyle w:val="Heading1Char"/>
            </w:rPr>
            <w:t>Contents</w:t>
          </w:r>
        </w:p>
        <w:p w:rsidR="00A543F6" w:rsidRDefault="00A543F6">
          <w:pPr>
            <w:pStyle w:val="TOC1"/>
            <w:tabs>
              <w:tab w:val="right" w:leader="dot" w:pos="10456"/>
            </w:tabs>
          </w:pPr>
        </w:p>
        <w:p w:rsidR="001D0FCB" w:rsidRPr="006922A0" w:rsidRDefault="007549F2">
          <w:pPr>
            <w:pStyle w:val="TOC1"/>
            <w:tabs>
              <w:tab w:val="right" w:leader="dot" w:pos="1045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056349" w:history="1">
            <w:r w:rsidR="001D0FCB" w:rsidRPr="006922A0">
              <w:rPr>
                <w:rStyle w:val="Hyperlink"/>
                <w:noProof/>
              </w:rPr>
              <w:t>Message from the Mayor and Chief Executive Officer</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_Toc4056349 \h </w:instrText>
            </w:r>
            <w:r w:rsidR="001D0FCB" w:rsidRPr="006922A0">
              <w:rPr>
                <w:noProof/>
                <w:webHidden/>
              </w:rPr>
            </w:r>
            <w:r w:rsidR="001D0FCB" w:rsidRPr="006922A0">
              <w:rPr>
                <w:noProof/>
                <w:webHidden/>
              </w:rPr>
              <w:fldChar w:fldCharType="separate"/>
            </w:r>
            <w:r w:rsidR="004215F1">
              <w:rPr>
                <w:noProof/>
                <w:webHidden/>
              </w:rPr>
              <w:t>3</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50" w:history="1">
            <w:r w:rsidR="001D0FCB" w:rsidRPr="006922A0">
              <w:rPr>
                <w:rStyle w:val="Hyperlink"/>
                <w:noProof/>
                <w:lang w:eastAsia="en-AU"/>
              </w:rPr>
              <w:t>1. Link to the Council Plan</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_Toc4056350 \h </w:instrText>
            </w:r>
            <w:r w:rsidR="001D0FCB" w:rsidRPr="006922A0">
              <w:rPr>
                <w:noProof/>
                <w:webHidden/>
              </w:rPr>
            </w:r>
            <w:r w:rsidR="001D0FCB" w:rsidRPr="006922A0">
              <w:rPr>
                <w:noProof/>
                <w:webHidden/>
              </w:rPr>
              <w:fldChar w:fldCharType="separate"/>
            </w:r>
            <w:r w:rsidR="004215F1">
              <w:rPr>
                <w:noProof/>
                <w:webHidden/>
              </w:rPr>
              <w:t>7</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66" w:history="1">
            <w:r w:rsidR="001D0FCB" w:rsidRPr="006922A0">
              <w:rPr>
                <w:rStyle w:val="Hyperlink"/>
                <w:noProof/>
                <w:lang w:eastAsia="en-AU"/>
              </w:rPr>
              <w:t>2. Services and initiatives and service performance indicators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_Toc4056366 \h </w:instrText>
            </w:r>
            <w:r w:rsidR="001D0FCB" w:rsidRPr="006922A0">
              <w:rPr>
                <w:noProof/>
                <w:webHidden/>
              </w:rPr>
            </w:r>
            <w:r w:rsidR="001D0FCB" w:rsidRPr="006922A0">
              <w:rPr>
                <w:noProof/>
                <w:webHidden/>
              </w:rPr>
              <w:fldChar w:fldCharType="separate"/>
            </w:r>
            <w:r w:rsidR="004215F1">
              <w:rPr>
                <w:noProof/>
                <w:webHidden/>
              </w:rPr>
              <w:t>10</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75" w:history="1">
            <w:r w:rsidR="001D0FCB" w:rsidRPr="006922A0">
              <w:rPr>
                <w:rStyle w:val="Hyperlink"/>
                <w:noProof/>
              </w:rPr>
              <w:t>3. Summary of financial position</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_Toc4056375 \h </w:instrText>
            </w:r>
            <w:r w:rsidR="001D0FCB" w:rsidRPr="006922A0">
              <w:rPr>
                <w:noProof/>
                <w:webHidden/>
              </w:rPr>
            </w:r>
            <w:r w:rsidR="001D0FCB" w:rsidRPr="006922A0">
              <w:rPr>
                <w:noProof/>
                <w:webHidden/>
              </w:rPr>
              <w:fldChar w:fldCharType="separate"/>
            </w:r>
            <w:r w:rsidR="004215F1">
              <w:rPr>
                <w:noProof/>
                <w:webHidden/>
              </w:rPr>
              <w:t>27</w:t>
            </w:r>
            <w:r w:rsidR="001D0FCB" w:rsidRPr="006922A0">
              <w:rPr>
                <w:noProof/>
                <w:webHidden/>
              </w:rPr>
              <w:fldChar w:fldCharType="end"/>
            </w:r>
          </w:hyperlink>
        </w:p>
        <w:p w:rsidR="001D0FCB" w:rsidRPr="006922A0" w:rsidRDefault="00086D52">
          <w:pPr>
            <w:pStyle w:val="TOC3"/>
            <w:rPr>
              <w:rFonts w:asciiTheme="minorHAnsi" w:eastAsiaTheme="minorEastAsia" w:hAnsiTheme="minorHAnsi" w:cstheme="minorBidi"/>
              <w:noProof/>
              <w:lang w:eastAsia="en-AU"/>
            </w:rPr>
          </w:pPr>
          <w:hyperlink w:anchor="_Toc4056376" w:history="1">
            <w:r w:rsidR="001D0FCB" w:rsidRPr="006922A0">
              <w:rPr>
                <w:rStyle w:val="Hyperlink"/>
                <w:noProof/>
                <w:lang w:eastAsia="en-AU"/>
              </w:rPr>
              <w:t>4. Budget influences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_Toc4056376 \h </w:instrText>
            </w:r>
            <w:r w:rsidR="001D0FCB" w:rsidRPr="006922A0">
              <w:rPr>
                <w:noProof/>
                <w:webHidden/>
              </w:rPr>
            </w:r>
            <w:r w:rsidR="001D0FCB" w:rsidRPr="006922A0">
              <w:rPr>
                <w:noProof/>
                <w:webHidden/>
              </w:rPr>
              <w:fldChar w:fldCharType="separate"/>
            </w:r>
            <w:r w:rsidR="004215F1">
              <w:rPr>
                <w:noProof/>
                <w:webHidden/>
              </w:rPr>
              <w:t>34</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77" w:history="1">
            <w:r w:rsidR="001D0FCB" w:rsidRPr="006922A0">
              <w:rPr>
                <w:rStyle w:val="Hyperlink"/>
                <w:noProof/>
              </w:rPr>
              <w:t>5. Financial Statements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_Toc4056377 \h </w:instrText>
            </w:r>
            <w:r w:rsidR="001D0FCB" w:rsidRPr="006922A0">
              <w:rPr>
                <w:noProof/>
                <w:webHidden/>
              </w:rPr>
            </w:r>
            <w:r w:rsidR="001D0FCB" w:rsidRPr="006922A0">
              <w:rPr>
                <w:noProof/>
                <w:webHidden/>
              </w:rPr>
              <w:fldChar w:fldCharType="separate"/>
            </w:r>
            <w:r w:rsidR="004215F1">
              <w:rPr>
                <w:noProof/>
                <w:webHidden/>
              </w:rPr>
              <w:t>37</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78" w:history="1">
            <w:r w:rsidR="001D0FCB" w:rsidRPr="006922A0">
              <w:rPr>
                <w:rStyle w:val="Hyperlink"/>
                <w:noProof/>
                <w:lang w:eastAsia="en-AU"/>
              </w:rPr>
              <w:t>6. Notes to the financial statements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_Toc4056378 \h </w:instrText>
            </w:r>
            <w:r w:rsidR="001D0FCB" w:rsidRPr="006922A0">
              <w:rPr>
                <w:noProof/>
                <w:webHidden/>
              </w:rPr>
            </w:r>
            <w:r w:rsidR="001D0FCB" w:rsidRPr="006922A0">
              <w:rPr>
                <w:noProof/>
                <w:webHidden/>
              </w:rPr>
              <w:fldChar w:fldCharType="separate"/>
            </w:r>
            <w:r w:rsidR="004215F1">
              <w:rPr>
                <w:noProof/>
                <w:webHidden/>
              </w:rPr>
              <w:t>44</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79" w:history="1">
            <w:r w:rsidR="001D0FCB" w:rsidRPr="006922A0">
              <w:rPr>
                <w:rStyle w:val="Hyperlink"/>
                <w:noProof/>
                <w:lang w:eastAsia="en-AU"/>
              </w:rPr>
              <w:t>7. Financial performance indicators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_Toc4056379 \h </w:instrText>
            </w:r>
            <w:r w:rsidR="001D0FCB" w:rsidRPr="006922A0">
              <w:rPr>
                <w:noProof/>
                <w:webHidden/>
              </w:rPr>
            </w:r>
            <w:r w:rsidR="001D0FCB" w:rsidRPr="006922A0">
              <w:rPr>
                <w:noProof/>
                <w:webHidden/>
              </w:rPr>
              <w:fldChar w:fldCharType="separate"/>
            </w:r>
            <w:r w:rsidR="004215F1">
              <w:rPr>
                <w:noProof/>
                <w:webHidden/>
              </w:rPr>
              <w:t>73</w:t>
            </w:r>
            <w:r w:rsidR="001D0FCB" w:rsidRPr="006922A0">
              <w:rPr>
                <w:noProof/>
                <w:webHidden/>
              </w:rPr>
              <w:fldChar w:fldCharType="end"/>
            </w:r>
          </w:hyperlink>
        </w:p>
        <w:p w:rsidR="001D0FCB" w:rsidRPr="006922A0" w:rsidRDefault="00086D52">
          <w:pPr>
            <w:pStyle w:val="TOC1"/>
            <w:tabs>
              <w:tab w:val="right" w:leader="dot" w:pos="10456"/>
            </w:tabs>
            <w:rPr>
              <w:rFonts w:asciiTheme="minorHAnsi" w:eastAsiaTheme="minorEastAsia" w:hAnsiTheme="minorHAnsi" w:cstheme="minorBidi"/>
              <w:noProof/>
              <w:lang w:eastAsia="en-AU"/>
            </w:rPr>
          </w:pPr>
          <w:hyperlink w:anchor="_Toc4056380" w:history="1">
            <w:r w:rsidR="001D0FCB" w:rsidRPr="006922A0">
              <w:rPr>
                <w:rStyle w:val="Hyperlink"/>
                <w:noProof/>
              </w:rPr>
              <w:t>Appendices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_Toc4056380 \h </w:instrText>
            </w:r>
            <w:r w:rsidR="001D0FCB" w:rsidRPr="006922A0">
              <w:rPr>
                <w:noProof/>
                <w:webHidden/>
              </w:rPr>
            </w:r>
            <w:r w:rsidR="001D0FCB" w:rsidRPr="006922A0">
              <w:rPr>
                <w:noProof/>
                <w:webHidden/>
              </w:rPr>
              <w:fldChar w:fldCharType="separate"/>
            </w:r>
            <w:r w:rsidR="004215F1">
              <w:rPr>
                <w:noProof/>
                <w:webHidden/>
              </w:rPr>
              <w:t>75</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81" w:history="1">
            <w:r w:rsidR="001D0FCB" w:rsidRPr="006922A0">
              <w:rPr>
                <w:rStyle w:val="Hyperlink"/>
                <w:rFonts w:eastAsia="Times New Roman"/>
                <w:noProof/>
                <w:lang w:eastAsia="en-AU"/>
              </w:rPr>
              <w:t>Appendix A - Budget Process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_Toc4056381 \h </w:instrText>
            </w:r>
            <w:r w:rsidR="001D0FCB" w:rsidRPr="006922A0">
              <w:rPr>
                <w:noProof/>
                <w:webHidden/>
              </w:rPr>
            </w:r>
            <w:r w:rsidR="001D0FCB" w:rsidRPr="006922A0">
              <w:rPr>
                <w:noProof/>
                <w:webHidden/>
              </w:rPr>
              <w:fldChar w:fldCharType="separate"/>
            </w:r>
            <w:r w:rsidR="004215F1">
              <w:rPr>
                <w:noProof/>
                <w:webHidden/>
              </w:rPr>
              <w:t>75</w:t>
            </w:r>
            <w:r w:rsidR="001D0FCB" w:rsidRPr="006922A0">
              <w:rPr>
                <w:noProof/>
                <w:webHidden/>
              </w:rPr>
              <w:fldChar w:fldCharType="end"/>
            </w:r>
          </w:hyperlink>
        </w:p>
        <w:p w:rsidR="001D0FCB" w:rsidRPr="006922A0" w:rsidRDefault="00086D52">
          <w:pPr>
            <w:pStyle w:val="TOC2"/>
            <w:tabs>
              <w:tab w:val="right" w:leader="dot" w:pos="10456"/>
            </w:tabs>
            <w:rPr>
              <w:rFonts w:asciiTheme="minorHAnsi" w:eastAsiaTheme="minorEastAsia" w:hAnsiTheme="minorHAnsi" w:cstheme="minorBidi"/>
              <w:noProof/>
              <w:lang w:eastAsia="en-AU"/>
            </w:rPr>
          </w:pPr>
          <w:hyperlink w:anchor="_Toc4056382" w:history="1">
            <w:r w:rsidR="001D0FCB" w:rsidRPr="006922A0">
              <w:rPr>
                <w:rStyle w:val="Hyperlink"/>
                <w:rFonts w:eastAsia="Times New Roman"/>
                <w:noProof/>
                <w:lang w:eastAsia="en-AU"/>
              </w:rPr>
              <w:t>Appendix B - Statutory Disclosures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_Toc4056382 \h </w:instrText>
            </w:r>
            <w:r w:rsidR="001D0FCB" w:rsidRPr="006922A0">
              <w:rPr>
                <w:noProof/>
                <w:webHidden/>
              </w:rPr>
            </w:r>
            <w:r w:rsidR="001D0FCB" w:rsidRPr="006922A0">
              <w:rPr>
                <w:noProof/>
                <w:webHidden/>
              </w:rPr>
              <w:fldChar w:fldCharType="separate"/>
            </w:r>
            <w:r w:rsidR="004215F1">
              <w:rPr>
                <w:noProof/>
                <w:webHidden/>
              </w:rPr>
              <w:t>77</w:t>
            </w:r>
            <w:r w:rsidR="001D0FCB" w:rsidRPr="006922A0">
              <w:rPr>
                <w:noProof/>
                <w:webHidden/>
              </w:rPr>
              <w:fldChar w:fldCharType="end"/>
            </w:r>
          </w:hyperlink>
        </w:p>
        <w:p w:rsidR="001D0FCB" w:rsidRDefault="00086D52">
          <w:pPr>
            <w:pStyle w:val="TOC2"/>
            <w:tabs>
              <w:tab w:val="right" w:leader="dot" w:pos="10456"/>
            </w:tabs>
            <w:rPr>
              <w:rFonts w:asciiTheme="minorHAnsi" w:eastAsiaTheme="minorEastAsia" w:hAnsiTheme="minorHAnsi" w:cstheme="minorBidi"/>
              <w:noProof/>
              <w:lang w:eastAsia="en-AU"/>
            </w:rPr>
          </w:pPr>
          <w:hyperlink w:anchor="_Toc4056383" w:history="1">
            <w:r w:rsidR="001D0FCB" w:rsidRPr="006922A0">
              <w:rPr>
                <w:rStyle w:val="Hyperlink"/>
                <w:rFonts w:eastAsia="Times New Roman"/>
                <w:noProof/>
                <w:lang w:eastAsia="en-AU"/>
              </w:rPr>
              <w:t>Appendix C - Fees and Charges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_Toc4056383 \h </w:instrText>
            </w:r>
            <w:r w:rsidR="001D0FCB" w:rsidRPr="006922A0">
              <w:rPr>
                <w:noProof/>
                <w:webHidden/>
              </w:rPr>
            </w:r>
            <w:r w:rsidR="001D0FCB" w:rsidRPr="006922A0">
              <w:rPr>
                <w:noProof/>
                <w:webHidden/>
              </w:rPr>
              <w:fldChar w:fldCharType="separate"/>
            </w:r>
            <w:r w:rsidR="004215F1">
              <w:rPr>
                <w:noProof/>
                <w:webHidden/>
              </w:rPr>
              <w:t>79</w:t>
            </w:r>
            <w:r w:rsidR="001D0FCB" w:rsidRPr="006922A0">
              <w:rPr>
                <w:noProof/>
                <w:webHidden/>
              </w:rPr>
              <w:fldChar w:fldCharType="end"/>
            </w:r>
          </w:hyperlink>
        </w:p>
        <w:p w:rsidR="007549F2" w:rsidRDefault="007549F2">
          <w:r>
            <w:rPr>
              <w:b/>
              <w:bCs/>
              <w:noProof/>
            </w:rPr>
            <w:fldChar w:fldCharType="end"/>
          </w:r>
        </w:p>
      </w:sdtContent>
    </w:sdt>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685F67" w:rsidRDefault="00685F67"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24F55"/>
    <w:p w:rsidR="00B24F55" w:rsidRPr="000A0E26" w:rsidRDefault="00BE6A91" w:rsidP="000469B0">
      <w:pPr>
        <w:ind w:left="1843" w:hanging="1843"/>
        <w:rPr>
          <w:rFonts w:cs="Arial"/>
          <w:i/>
          <w:color w:val="FF0000"/>
          <w:sz w:val="20"/>
          <w:szCs w:val="20"/>
          <w:lang w:eastAsia="en-AU"/>
        </w:rPr>
      </w:pPr>
      <w:r w:rsidRPr="004D219B">
        <w:t xml:space="preserve">Front page image: </w:t>
      </w:r>
      <w:r w:rsidR="00BD241D" w:rsidRPr="00BD241D">
        <w:rPr>
          <w:rFonts w:cs="Arial"/>
          <w:i/>
          <w:sz w:val="20"/>
          <w:szCs w:val="20"/>
          <w:lang w:eastAsia="en-AU"/>
        </w:rPr>
        <w:t xml:space="preserve">Maroondah City Council’s annual Run Maroondah event at HE Parker Reserve is all about challenging yourself within a supportive environment – whether that means taking on the </w:t>
      </w:r>
      <w:proofErr w:type="gramStart"/>
      <w:r w:rsidR="00BD241D" w:rsidRPr="00BD241D">
        <w:rPr>
          <w:rFonts w:cs="Arial"/>
          <w:i/>
          <w:sz w:val="20"/>
          <w:szCs w:val="20"/>
          <w:lang w:eastAsia="en-AU"/>
        </w:rPr>
        <w:t>15 kilometre</w:t>
      </w:r>
      <w:proofErr w:type="gramEnd"/>
      <w:r w:rsidR="00BD241D" w:rsidRPr="00BD241D">
        <w:rPr>
          <w:rFonts w:cs="Arial"/>
          <w:i/>
          <w:sz w:val="20"/>
          <w:szCs w:val="20"/>
          <w:lang w:eastAsia="en-AU"/>
        </w:rPr>
        <w:t xml:space="preserve"> challenge, the 10 kilometre run, 5 kilometre run/walk or the 1.2 kilometre kids run!</w:t>
      </w:r>
      <w:r w:rsidR="00BD241D" w:rsidRPr="00BD241D">
        <w:rPr>
          <w:rFonts w:ascii="Helvetica" w:hAnsi="Helvetica" w:cs="Helvetica"/>
          <w:sz w:val="21"/>
          <w:szCs w:val="21"/>
        </w:rPr>
        <w:br/>
      </w:r>
      <w:r w:rsidR="00BD241D" w:rsidRPr="00BD241D">
        <w:rPr>
          <w:rFonts w:cs="Arial"/>
          <w:i/>
          <w:sz w:val="20"/>
          <w:szCs w:val="20"/>
          <w:lang w:eastAsia="en-AU"/>
        </w:rPr>
        <w:t>The aim is to encourage individuals and families to take part in physical activity together.</w:t>
      </w:r>
    </w:p>
    <w:p w:rsidR="00BE6A91" w:rsidRPr="006122B0" w:rsidRDefault="000D6D7F" w:rsidP="00B24F55">
      <w:pPr>
        <w:ind w:left="720"/>
      </w:pPr>
      <w:r w:rsidRPr="006122B0">
        <w:br w:type="page"/>
      </w:r>
    </w:p>
    <w:p w:rsidR="00561F45" w:rsidRDefault="00200141" w:rsidP="000561CD">
      <w:pPr>
        <w:pStyle w:val="Heading1"/>
      </w:pPr>
      <w:bookmarkStart w:id="0" w:name="_Toc4056349"/>
      <w:r w:rsidRPr="00A629E8">
        <w:lastRenderedPageBreak/>
        <w:t xml:space="preserve">Message from the </w:t>
      </w:r>
      <w:r w:rsidR="00150A4B" w:rsidRPr="00A629E8">
        <w:t>Mayor and C</w:t>
      </w:r>
      <w:r w:rsidRPr="00A629E8">
        <w:t xml:space="preserve">hief </w:t>
      </w:r>
      <w:r w:rsidR="00150A4B" w:rsidRPr="00A629E8">
        <w:t>E</w:t>
      </w:r>
      <w:r w:rsidRPr="00A629E8">
        <w:t xml:space="preserve">xecutive </w:t>
      </w:r>
      <w:r w:rsidR="00150A4B" w:rsidRPr="00A629E8">
        <w:t>O</w:t>
      </w:r>
      <w:r w:rsidRPr="00A629E8">
        <w:t>fficer</w:t>
      </w:r>
      <w:bookmarkEnd w:id="0"/>
    </w:p>
    <w:p w:rsidR="00537904" w:rsidRDefault="00AD45ED" w:rsidP="00150A4B">
      <w:r>
        <w:rPr>
          <w:noProof/>
        </w:rPr>
        <w:drawing>
          <wp:anchor distT="0" distB="0" distL="114300" distR="114300" simplePos="0" relativeHeight="251664384" behindDoc="0" locked="0" layoutInCell="1" allowOverlap="1" wp14:anchorId="3597C576" wp14:editId="2D7CA2F9">
            <wp:simplePos x="0" y="0"/>
            <wp:positionH relativeFrom="margin">
              <wp:align>right</wp:align>
            </wp:positionH>
            <wp:positionV relativeFrom="paragraph">
              <wp:posOffset>13335</wp:posOffset>
            </wp:positionV>
            <wp:extent cx="2896870" cy="22288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870" cy="2228850"/>
                    </a:xfrm>
                    <a:prstGeom prst="rect">
                      <a:avLst/>
                    </a:prstGeom>
                    <a:noFill/>
                    <a:ln>
                      <a:noFill/>
                    </a:ln>
                  </pic:spPr>
                </pic:pic>
              </a:graphicData>
            </a:graphic>
            <wp14:sizeRelV relativeFrom="margin">
              <wp14:pctHeight>0</wp14:pctHeight>
            </wp14:sizeRelV>
          </wp:anchor>
        </w:drawing>
      </w:r>
    </w:p>
    <w:p w:rsidR="00150A4B" w:rsidRDefault="00150A4B" w:rsidP="00F00B57">
      <w:pPr>
        <w:jc w:val="both"/>
      </w:pPr>
      <w:r>
        <w:t>On be</w:t>
      </w:r>
      <w:r w:rsidR="000561CD">
        <w:t>half of Maroondah City Council,</w:t>
      </w:r>
      <w:r w:rsidR="00A8240C" w:rsidRPr="00A8240C">
        <w:rPr>
          <w:noProof/>
          <w:lang w:eastAsia="en-AU"/>
        </w:rPr>
        <w:t xml:space="preserve"> </w:t>
      </w:r>
      <w:r>
        <w:t>we</w:t>
      </w:r>
      <w:r w:rsidRPr="00804785">
        <w:t xml:space="preserve"> are pleased to</w:t>
      </w:r>
      <w:r>
        <w:t xml:space="preserve"> present the proposed</w:t>
      </w:r>
      <w:r w:rsidRPr="00804785">
        <w:t xml:space="preserve"> 20</w:t>
      </w:r>
      <w:r w:rsidR="005168B6">
        <w:t>20</w:t>
      </w:r>
      <w:r w:rsidRPr="00804785">
        <w:t>/</w:t>
      </w:r>
      <w:r w:rsidR="00115139">
        <w:t>2</w:t>
      </w:r>
      <w:r w:rsidR="005168B6">
        <w:t>1</w:t>
      </w:r>
      <w:r w:rsidRPr="00804785">
        <w:t xml:space="preserve"> Budget to the Maroondah community.</w:t>
      </w:r>
      <w:r w:rsidR="000561CD" w:rsidRPr="000561CD">
        <w:rPr>
          <w:i/>
          <w:noProof/>
          <w:color w:val="FF0000"/>
          <w:lang w:eastAsia="en-AU"/>
        </w:rPr>
        <w:t xml:space="preserve"> </w:t>
      </w:r>
    </w:p>
    <w:p w:rsidR="00150A4B" w:rsidRDefault="00150A4B" w:rsidP="000561CD">
      <w:pPr>
        <w:jc w:val="both"/>
      </w:pPr>
    </w:p>
    <w:p w:rsidR="00126519" w:rsidRPr="00767515" w:rsidRDefault="00126519" w:rsidP="00126519">
      <w:pPr>
        <w:jc w:val="both"/>
      </w:pPr>
      <w:r w:rsidRPr="00767515">
        <w:t xml:space="preserve">Work on the proposed 2020/21 Budget was well underway when the COVID-19 pandemic was declared on 11 March by the World Health Organisation. </w:t>
      </w:r>
    </w:p>
    <w:p w:rsidR="00126519" w:rsidRPr="00767515" w:rsidRDefault="00126519" w:rsidP="00126519">
      <w:pPr>
        <w:jc w:val="both"/>
      </w:pPr>
    </w:p>
    <w:p w:rsidR="00126519" w:rsidRPr="00767515" w:rsidRDefault="00126519" w:rsidP="00126519">
      <w:pPr>
        <w:jc w:val="both"/>
      </w:pPr>
      <w:r w:rsidRPr="00767515">
        <w:t xml:space="preserve">The impact of the Pandemic on Council has been profound. While Council has continued to provide </w:t>
      </w:r>
      <w:proofErr w:type="gramStart"/>
      <w:r w:rsidRPr="00767515">
        <w:t>the majority of</w:t>
      </w:r>
      <w:proofErr w:type="gramEnd"/>
      <w:r w:rsidRPr="00767515">
        <w:t xml:space="preserve"> its services during the various stages of the COVID-19 pandemic, the required closure of our leisure facilities, such as Karralyka, Aquanation, Aquahub, Ringwood and Dorset Golf, The Rings and Maroondah Nets resulted in a loss of $10 million in user fees and a redirection of in excess of $5million of expenditure to COVID-19 response in the 2019/20 financial year. </w:t>
      </w:r>
    </w:p>
    <w:p w:rsidR="00126519" w:rsidRPr="00767515" w:rsidRDefault="00126519" w:rsidP="00126519">
      <w:pPr>
        <w:jc w:val="both"/>
      </w:pPr>
    </w:p>
    <w:p w:rsidR="00126519" w:rsidRPr="00767515" w:rsidRDefault="00126519" w:rsidP="00126519">
      <w:pPr>
        <w:jc w:val="both"/>
      </w:pPr>
      <w:r w:rsidRPr="00767515">
        <w:t xml:space="preserve">As a consequence, the proposed Budget has been reviewed to take in to account the financial outcomes for 2019/20 and ongoing impacts for 2020/21 of the COVID-19 pandemic on Council’s services, income and capital work projects, including a detailed review of the </w:t>
      </w:r>
      <w:proofErr w:type="gramStart"/>
      <w:r w:rsidRPr="00767515">
        <w:t>Long Term</w:t>
      </w:r>
      <w:proofErr w:type="gramEnd"/>
      <w:r w:rsidRPr="00767515">
        <w:t xml:space="preserve"> Financial Strategy. </w:t>
      </w:r>
    </w:p>
    <w:p w:rsidR="00126519" w:rsidRPr="00767515" w:rsidRDefault="00126519" w:rsidP="00126519">
      <w:pPr>
        <w:jc w:val="both"/>
      </w:pPr>
    </w:p>
    <w:p w:rsidR="00126519" w:rsidRPr="00767515" w:rsidRDefault="00126519" w:rsidP="00126519">
      <w:pPr>
        <w:jc w:val="both"/>
      </w:pPr>
      <w:r w:rsidRPr="00767515">
        <w:t xml:space="preserve">Specifically, for the 2020/21 financial year, Council proposes to adapt its service delivery resulting in a $7.43 million realignment of budget towards COVID-19 relief and recovery responses for the Maroondah community. </w:t>
      </w:r>
    </w:p>
    <w:p w:rsidR="00126519" w:rsidRPr="00767515" w:rsidRDefault="00126519" w:rsidP="00126519">
      <w:pPr>
        <w:jc w:val="both"/>
      </w:pPr>
    </w:p>
    <w:p w:rsidR="009C1394" w:rsidRDefault="00126519" w:rsidP="00126519">
      <w:pPr>
        <w:pBdr>
          <w:top w:val="nil"/>
          <w:left w:val="nil"/>
          <w:bottom w:val="nil"/>
          <w:right w:val="nil"/>
          <w:between w:val="nil"/>
          <w:bar w:val="nil"/>
        </w:pBdr>
        <w:jc w:val="both"/>
        <w:rPr>
          <w:i/>
          <w:noProof/>
          <w:color w:val="FF0000"/>
          <w:lang w:eastAsia="en-AU"/>
        </w:rPr>
      </w:pPr>
      <w:r w:rsidRPr="00767515">
        <w:rPr>
          <w:rFonts w:eastAsia="Arial Unicode MS" w:cs="Arial Unicode MS"/>
          <w:u w:color="000000"/>
          <w:bdr w:val="nil"/>
          <w:lang w:val="en-US" w:eastAsia="en-AU"/>
        </w:rPr>
        <w:t>While we manage the COVID-19 impacts, Council continues to work towards the community’s vision as outlined in M</w:t>
      </w:r>
      <w:r w:rsidRPr="00767515">
        <w:rPr>
          <w:rFonts w:eastAsia="Arial Unicode MS" w:cs="Arial Unicode MS"/>
          <w:i/>
          <w:iCs/>
          <w:u w:color="000000"/>
          <w:bdr w:val="nil"/>
          <w:lang w:val="en-US" w:eastAsia="en-AU"/>
        </w:rPr>
        <w:t>aroondah 2040: Our Future Together</w:t>
      </w:r>
      <w:r w:rsidRPr="00767515">
        <w:rPr>
          <w:rFonts w:eastAsia="Arial Unicode MS" w:cs="Arial Unicode MS"/>
          <w:u w:color="000000"/>
          <w:bdr w:val="nil"/>
          <w:lang w:val="en-US" w:eastAsia="en-AU"/>
        </w:rPr>
        <w:t xml:space="preserve">. The vision is the foundation from which Council shapes its </w:t>
      </w:r>
      <w:proofErr w:type="gramStart"/>
      <w:r w:rsidRPr="00767515">
        <w:rPr>
          <w:rFonts w:eastAsia="Arial Unicode MS" w:cs="Arial Unicode MS"/>
          <w:u w:color="000000"/>
          <w:bdr w:val="nil"/>
          <w:lang w:val="en-US" w:eastAsia="en-AU"/>
        </w:rPr>
        <w:t>long term</w:t>
      </w:r>
      <w:proofErr w:type="gramEnd"/>
      <w:r w:rsidRPr="00767515">
        <w:rPr>
          <w:rFonts w:eastAsia="Arial Unicode MS" w:cs="Arial Unicode MS"/>
          <w:u w:color="000000"/>
          <w:bdr w:val="nil"/>
          <w:lang w:val="en-US" w:eastAsia="en-AU"/>
        </w:rPr>
        <w:t xml:space="preserve"> plans for the municipality. Following extensive community and key stakeholder </w:t>
      </w:r>
      <w:r w:rsidRPr="00767515">
        <w:rPr>
          <w:rFonts w:eastAsia="Arial Unicode MS" w:cs="Arial Unicode MS"/>
          <w:u w:color="000000"/>
          <w:bdr w:val="nil"/>
          <w:lang w:val="fr-FR" w:eastAsia="en-AU"/>
        </w:rPr>
        <w:t xml:space="preserve">consultation </w:t>
      </w:r>
      <w:r w:rsidRPr="00767515">
        <w:rPr>
          <w:rFonts w:eastAsia="Arial Unicode MS" w:cs="Arial Unicode MS"/>
          <w:u w:color="000000"/>
          <w:bdr w:val="nil"/>
          <w:lang w:val="en-US" w:eastAsia="en-AU"/>
        </w:rPr>
        <w:t xml:space="preserve">this </w:t>
      </w:r>
      <w:proofErr w:type="gramStart"/>
      <w:r w:rsidRPr="00767515">
        <w:rPr>
          <w:rFonts w:eastAsia="Arial Unicode MS" w:cs="Arial Unicode MS"/>
          <w:u w:color="000000"/>
          <w:bdr w:val="nil"/>
          <w:lang w:val="en-US" w:eastAsia="en-AU"/>
        </w:rPr>
        <w:t>long term</w:t>
      </w:r>
      <w:proofErr w:type="gramEnd"/>
      <w:r w:rsidRPr="00767515">
        <w:rPr>
          <w:rFonts w:eastAsia="Arial Unicode MS" w:cs="Arial Unicode MS"/>
          <w:u w:color="000000"/>
          <w:bdr w:val="nil"/>
          <w:lang w:val="en-US" w:eastAsia="en-AU"/>
        </w:rPr>
        <w:t xml:space="preserve"> vision for the future of Maroondah was adopted in late 2014. Over the past 18 months it has undergone further consultation with our community to provide a revised vision that continues to reflect emerging needs and future opportunities. The community aspirations and priorities are grouped into eight broad outcome areas that provide the structure for the Maroondah City Council Plan 2017-2021 (Council Plan).</w:t>
      </w:r>
    </w:p>
    <w:p w:rsidR="009C1394" w:rsidRDefault="009C1394" w:rsidP="009C1394">
      <w:pPr>
        <w:pBdr>
          <w:top w:val="nil"/>
          <w:left w:val="nil"/>
          <w:bottom w:val="nil"/>
          <w:right w:val="nil"/>
          <w:between w:val="nil"/>
          <w:bar w:val="nil"/>
        </w:pBdr>
        <w:jc w:val="both"/>
        <w:rPr>
          <w:rFonts w:eastAsia="Arial Unicode MS" w:cs="Arial Unicode MS"/>
          <w:u w:color="000000"/>
          <w:bdr w:val="nil"/>
          <w:lang w:val="en-US" w:eastAsia="en-AU"/>
        </w:rPr>
      </w:pPr>
    </w:p>
    <w:p w:rsidR="00126519" w:rsidRDefault="00126519" w:rsidP="00126519">
      <w:pPr>
        <w:pBdr>
          <w:top w:val="nil"/>
          <w:left w:val="nil"/>
          <w:bottom w:val="nil"/>
          <w:right w:val="nil"/>
          <w:between w:val="nil"/>
          <w:bar w:val="nil"/>
        </w:pBdr>
        <w:jc w:val="both"/>
        <w:rPr>
          <w:rFonts w:eastAsia="Arial Unicode MS" w:cs="Arial Unicode MS"/>
          <w:u w:color="000000"/>
          <w:bdr w:val="nil"/>
          <w:lang w:val="en-US" w:eastAsia="en-AU"/>
        </w:rPr>
      </w:pPr>
      <w:r w:rsidRPr="009A5AC6">
        <w:rPr>
          <w:rFonts w:eastAsia="Arial Unicode MS" w:cs="Arial Unicode MS"/>
          <w:u w:color="000000"/>
          <w:bdr w:val="nil"/>
          <w:lang w:val="en-US" w:eastAsia="en-AU"/>
        </w:rPr>
        <w:t>The Council Pla</w:t>
      </w:r>
      <w:r>
        <w:rPr>
          <w:rFonts w:eastAsia="Arial Unicode MS" w:cs="Arial Unicode MS"/>
          <w:u w:color="000000"/>
          <w:bdr w:val="nil"/>
          <w:lang w:val="en-US" w:eastAsia="en-AU"/>
        </w:rPr>
        <w:t xml:space="preserve">n has been developed based on the community directions in Maroondah </w:t>
      </w:r>
      <w:r w:rsidRPr="004A7C0B">
        <w:rPr>
          <w:rFonts w:eastAsia="Arial Unicode MS" w:cs="Arial Unicode MS"/>
          <w:u w:color="000000"/>
          <w:bdr w:val="nil"/>
          <w:lang w:val="en-US" w:eastAsia="en-AU"/>
        </w:rPr>
        <w:t>2040 and a range of community consultation activities undertaken over recent months. The Council Plan sets the k</w:t>
      </w:r>
      <w:r w:rsidRPr="009A5AC6">
        <w:rPr>
          <w:rFonts w:eastAsia="Arial Unicode MS" w:cs="Arial Unicode MS"/>
          <w:u w:color="000000"/>
          <w:bdr w:val="nil"/>
          <w:lang w:val="en-US" w:eastAsia="en-AU"/>
        </w:rPr>
        <w:t>ey directions and priority actions for the medium term to work towards the aspirations of the Maroondah community looking ahe</w:t>
      </w:r>
      <w:r>
        <w:rPr>
          <w:rFonts w:eastAsia="Arial Unicode MS" w:cs="Arial Unicode MS"/>
          <w:u w:color="000000"/>
          <w:bdr w:val="nil"/>
          <w:lang w:val="en-US" w:eastAsia="en-AU"/>
        </w:rPr>
        <w:t>ad to the year 2040. The</w:t>
      </w:r>
      <w:r w:rsidRPr="009A5AC6">
        <w:rPr>
          <w:rFonts w:eastAsia="Arial Unicode MS" w:cs="Arial Unicode MS"/>
          <w:u w:color="000000"/>
          <w:bdr w:val="nil"/>
          <w:lang w:val="en-US" w:eastAsia="en-AU"/>
        </w:rPr>
        <w:t xml:space="preserve"> community outcome</w:t>
      </w:r>
      <w:r>
        <w:rPr>
          <w:rFonts w:eastAsia="Arial Unicode MS" w:cs="Arial Unicode MS"/>
          <w:u w:color="000000"/>
          <w:bdr w:val="nil"/>
          <w:lang w:val="en-US" w:eastAsia="en-AU"/>
        </w:rPr>
        <w:t xml:space="preserve"> areas</w:t>
      </w:r>
      <w:r w:rsidRPr="009A5AC6">
        <w:rPr>
          <w:rFonts w:eastAsia="Arial Unicode MS" w:cs="Arial Unicode MS"/>
          <w:u w:color="000000"/>
          <w:bdr w:val="nil"/>
          <w:lang w:val="en-US" w:eastAsia="en-AU"/>
        </w:rPr>
        <w:t xml:space="preserve"> (Strategic Objectives) and</w:t>
      </w:r>
      <w:r>
        <w:rPr>
          <w:rFonts w:eastAsia="Arial Unicode MS" w:cs="Arial Unicode MS"/>
          <w:u w:color="000000"/>
          <w:bdr w:val="nil"/>
          <w:lang w:val="en-US" w:eastAsia="en-AU"/>
        </w:rPr>
        <w:t xml:space="preserve"> </w:t>
      </w:r>
      <w:r w:rsidR="00065232">
        <w:rPr>
          <w:rFonts w:eastAsia="Arial Unicode MS" w:cs="Arial Unicode MS"/>
          <w:u w:color="000000"/>
          <w:bdr w:val="nil"/>
          <w:lang w:val="en-US" w:eastAsia="en-AU"/>
        </w:rPr>
        <w:t>65</w:t>
      </w:r>
      <w:r w:rsidRPr="004A7C0B">
        <w:rPr>
          <w:rFonts w:eastAsia="Arial Unicode MS" w:cs="Arial Unicode MS"/>
          <w:u w:color="000000"/>
          <w:bdr w:val="nil"/>
          <w:lang w:val="en-US" w:eastAsia="en-AU"/>
        </w:rPr>
        <w:t xml:space="preserve"> prio</w:t>
      </w:r>
      <w:r w:rsidRPr="000E1473">
        <w:rPr>
          <w:rFonts w:eastAsia="Arial Unicode MS" w:cs="Arial Unicode MS"/>
          <w:u w:color="000000"/>
          <w:bdr w:val="nil"/>
          <w:lang w:val="en-US" w:eastAsia="en-AU"/>
        </w:rPr>
        <w:t xml:space="preserve">rity actions </w:t>
      </w:r>
      <w:r w:rsidRPr="009A5AC6">
        <w:rPr>
          <w:rFonts w:eastAsia="Arial Unicode MS" w:cs="Arial Unicode MS"/>
          <w:u w:color="000000"/>
          <w:bdr w:val="nil"/>
          <w:lang w:val="en-US" w:eastAsia="en-AU"/>
        </w:rPr>
        <w:t xml:space="preserve">(Major Initiatives and Initiatives) are detailed in </w:t>
      </w:r>
      <w:r>
        <w:rPr>
          <w:rFonts w:eastAsia="Arial Unicode MS" w:cs="Arial Unicode MS"/>
          <w:u w:color="000000"/>
          <w:bdr w:val="nil"/>
          <w:lang w:val="en-US" w:eastAsia="en-AU"/>
        </w:rPr>
        <w:t>Section 2 of this document</w:t>
      </w:r>
      <w:r w:rsidRPr="009A5AC6">
        <w:rPr>
          <w:rFonts w:eastAsia="Arial Unicode MS" w:cs="Arial Unicode MS"/>
          <w:u w:color="000000"/>
          <w:bdr w:val="nil"/>
          <w:lang w:val="en-US" w:eastAsia="en-AU"/>
        </w:rPr>
        <w:t>.</w:t>
      </w:r>
      <w:r w:rsidRPr="00A422E2">
        <w:t xml:space="preserve"> </w:t>
      </w:r>
    </w:p>
    <w:p w:rsidR="00126519" w:rsidRDefault="00126519" w:rsidP="00126519">
      <w:pPr>
        <w:pBdr>
          <w:top w:val="nil"/>
          <w:left w:val="nil"/>
          <w:bottom w:val="nil"/>
          <w:right w:val="nil"/>
          <w:between w:val="nil"/>
          <w:bar w:val="nil"/>
        </w:pBdr>
        <w:jc w:val="both"/>
        <w:rPr>
          <w:rFonts w:eastAsia="Arial Unicode MS" w:cs="Arial Unicode MS"/>
          <w:u w:color="000000"/>
          <w:bdr w:val="nil"/>
          <w:lang w:val="en-US" w:eastAsia="en-AU"/>
        </w:rPr>
      </w:pPr>
    </w:p>
    <w:p w:rsidR="00126519" w:rsidRDefault="00126519" w:rsidP="00126519">
      <w:pPr>
        <w:pBdr>
          <w:top w:val="nil"/>
          <w:left w:val="nil"/>
          <w:bottom w:val="nil"/>
          <w:right w:val="nil"/>
          <w:between w:val="nil"/>
          <w:bar w:val="nil"/>
        </w:pBdr>
        <w:jc w:val="both"/>
      </w:pPr>
      <w:r>
        <w:rPr>
          <w:rFonts w:eastAsia="Arial Unicode MS" w:cs="Arial Unicode MS"/>
          <w:u w:color="000000"/>
          <w:bdr w:val="nil"/>
          <w:lang w:val="en-US" w:eastAsia="en-AU"/>
        </w:rPr>
        <w:t>The Maroondah City Council budget for 2020/21</w:t>
      </w:r>
      <w:r w:rsidRPr="00362C02">
        <w:rPr>
          <w:rFonts w:eastAsia="Arial Unicode MS" w:cs="Arial Unicode MS"/>
          <w:u w:color="000000"/>
          <w:bdr w:val="nil"/>
          <w:lang w:val="en-US" w:eastAsia="en-AU"/>
        </w:rPr>
        <w:t xml:space="preserve"> links to the achi</w:t>
      </w:r>
      <w:r>
        <w:rPr>
          <w:rFonts w:eastAsia="Arial Unicode MS" w:cs="Arial Unicode MS"/>
          <w:u w:color="000000"/>
          <w:bdr w:val="nil"/>
          <w:lang w:val="en-US" w:eastAsia="en-AU"/>
        </w:rPr>
        <w:t xml:space="preserve">evement of the Council Plan </w:t>
      </w:r>
      <w:r w:rsidRPr="00362C02">
        <w:rPr>
          <w:rFonts w:eastAsia="Arial Unicode MS" w:cs="Arial Unicode MS"/>
          <w:u w:color="000000"/>
          <w:bdr w:val="nil"/>
          <w:lang w:val="en-US" w:eastAsia="en-AU"/>
        </w:rPr>
        <w:t xml:space="preserve">as part of an integrated planning framework. </w:t>
      </w:r>
      <w:r>
        <w:t>The 2020/21 b</w:t>
      </w:r>
      <w:r w:rsidRPr="00804785">
        <w:t>udget outlines the provision of financial resources for the next 12 months and details how these resourc</w:t>
      </w:r>
      <w:r>
        <w:t>es will be applied to meet the</w:t>
      </w:r>
      <w:r w:rsidRPr="00804785">
        <w:t xml:space="preserve"> actions and initiatives</w:t>
      </w:r>
      <w:r>
        <w:t xml:space="preserve"> detailed in the Council Plan</w:t>
      </w:r>
      <w:r w:rsidRPr="00804785">
        <w:t xml:space="preserve">, as well as delivering more than </w:t>
      </w:r>
      <w:r w:rsidRPr="00AD45ED">
        <w:t xml:space="preserve">120 services </w:t>
      </w:r>
      <w:r w:rsidRPr="00804785">
        <w:t>and the extensive range of programs and activities that Council provides to the Maroondah community.</w:t>
      </w:r>
    </w:p>
    <w:p w:rsidR="00537904" w:rsidRDefault="00537904" w:rsidP="00150A4B">
      <w:pPr>
        <w:pBdr>
          <w:top w:val="nil"/>
          <w:left w:val="nil"/>
          <w:bottom w:val="nil"/>
          <w:right w:val="nil"/>
          <w:between w:val="nil"/>
          <w:bar w:val="nil"/>
        </w:pBdr>
      </w:pPr>
    </w:p>
    <w:p w:rsidR="00787485" w:rsidRPr="00176A8A" w:rsidRDefault="00787485" w:rsidP="00ED2902">
      <w:pPr>
        <w:spacing w:after="200" w:line="276" w:lineRule="auto"/>
        <w:contextualSpacing/>
        <w:rPr>
          <w:rFonts w:cs="Arial"/>
          <w:b/>
          <w:color w:val="1E5E9F" w:themeColor="accent3" w:themeShade="BF"/>
        </w:rPr>
      </w:pPr>
      <w:r w:rsidRPr="00176A8A">
        <w:rPr>
          <w:rFonts w:cs="Arial"/>
          <w:b/>
          <w:color w:val="1E5E9F" w:themeColor="accent3" w:themeShade="BF"/>
        </w:rPr>
        <w:t>Budget Highlights</w:t>
      </w: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Pr>
          <w:rFonts w:eastAsia="Arial Unicode MS" w:cs="Arial Unicode MS"/>
          <w:u w:color="000000"/>
          <w:bdr w:val="nil"/>
          <w:lang w:val="en-US" w:eastAsia="en-AU"/>
        </w:rPr>
        <w:t>The 20</w:t>
      </w:r>
      <w:r w:rsidR="005168B6">
        <w:rPr>
          <w:rFonts w:eastAsia="Arial Unicode MS" w:cs="Arial Unicode MS"/>
          <w:u w:color="000000"/>
          <w:bdr w:val="nil"/>
          <w:lang w:val="en-US" w:eastAsia="en-AU"/>
        </w:rPr>
        <w:t>20</w:t>
      </w:r>
      <w:r>
        <w:rPr>
          <w:rFonts w:eastAsia="Arial Unicode MS" w:cs="Arial Unicode MS"/>
          <w:u w:color="000000"/>
          <w:bdr w:val="nil"/>
          <w:lang w:val="en-US" w:eastAsia="en-AU"/>
        </w:rPr>
        <w:t>/</w:t>
      </w:r>
      <w:r w:rsidR="00115139">
        <w:rPr>
          <w:rFonts w:eastAsia="Arial Unicode MS" w:cs="Arial Unicode MS"/>
          <w:u w:color="000000"/>
          <w:bdr w:val="nil"/>
          <w:lang w:val="en-US" w:eastAsia="en-AU"/>
        </w:rPr>
        <w:t>2</w:t>
      </w:r>
      <w:r w:rsidR="005168B6">
        <w:rPr>
          <w:rFonts w:eastAsia="Arial Unicode MS" w:cs="Arial Unicode MS"/>
          <w:u w:color="000000"/>
          <w:bdr w:val="nil"/>
          <w:lang w:val="en-US" w:eastAsia="en-AU"/>
        </w:rPr>
        <w:t>1</w:t>
      </w:r>
      <w:r>
        <w:rPr>
          <w:rFonts w:eastAsia="Arial Unicode MS" w:cs="Arial Unicode MS"/>
          <w:u w:color="000000"/>
          <w:bdr w:val="nil"/>
          <w:lang w:val="en-US" w:eastAsia="en-AU"/>
        </w:rPr>
        <w:t xml:space="preserve"> budget </w:t>
      </w:r>
      <w:r w:rsidRPr="00B46174">
        <w:rPr>
          <w:rFonts w:eastAsia="Arial Unicode MS" w:cs="Arial Unicode MS"/>
          <w:u w:color="000000"/>
          <w:bdr w:val="nil"/>
          <w:lang w:val="en-US" w:eastAsia="en-AU"/>
        </w:rPr>
        <w:t xml:space="preserve">contains </w:t>
      </w:r>
      <w:r w:rsidR="00E53BCC" w:rsidRPr="00B46174">
        <w:rPr>
          <w:rFonts w:eastAsia="Arial Unicode MS" w:cs="Arial Unicode MS"/>
          <w:u w:color="000000"/>
          <w:bdr w:val="nil"/>
          <w:lang w:val="en-US" w:eastAsia="en-AU"/>
        </w:rPr>
        <w:t>65</w:t>
      </w:r>
      <w:r w:rsidRPr="00B46174">
        <w:rPr>
          <w:rFonts w:eastAsia="Arial Unicode MS" w:cs="Arial Unicode MS"/>
          <w:u w:color="000000"/>
          <w:bdr w:val="nil"/>
          <w:lang w:val="en-US" w:eastAsia="en-AU"/>
        </w:rPr>
        <w:t xml:space="preserve"> initiatives,</w:t>
      </w:r>
      <w:r w:rsidRPr="00B46174">
        <w:rPr>
          <w:rFonts w:eastAsia="Arial Unicode MS" w:cs="Arial Unicode MS"/>
          <w:u w:color="000000"/>
          <w:bdr w:val="nil"/>
          <w:lang w:val="fr-FR" w:eastAsia="en-AU"/>
        </w:rPr>
        <w:t xml:space="preserve"> </w:t>
      </w:r>
      <w:r w:rsidRPr="00B46174">
        <w:rPr>
          <w:rFonts w:eastAsia="Arial Unicode MS" w:cs="Arial Unicode MS"/>
          <w:u w:color="000000"/>
          <w:bdr w:val="nil"/>
          <w:lang w:val="en-US" w:eastAsia="en-AU"/>
        </w:rPr>
        <w:t xml:space="preserve">including </w:t>
      </w:r>
      <w:r w:rsidR="00015AC0" w:rsidRPr="00B46174">
        <w:rPr>
          <w:rFonts w:eastAsia="Arial Unicode MS" w:cs="Arial Unicode MS"/>
          <w:u w:color="000000"/>
          <w:bdr w:val="nil"/>
          <w:lang w:val="en-US" w:eastAsia="en-AU"/>
        </w:rPr>
        <w:t>2</w:t>
      </w:r>
      <w:r w:rsidR="00E53BCC" w:rsidRPr="00B46174">
        <w:rPr>
          <w:rFonts w:eastAsia="Arial Unicode MS" w:cs="Arial Unicode MS"/>
          <w:u w:color="000000"/>
          <w:bdr w:val="nil"/>
          <w:lang w:val="en-US" w:eastAsia="en-AU"/>
        </w:rPr>
        <w:t>6</w:t>
      </w:r>
      <w:r w:rsidRPr="00B46174">
        <w:rPr>
          <w:rFonts w:eastAsia="Arial Unicode MS" w:cs="Arial Unicode MS"/>
          <w:u w:color="000000"/>
          <w:bdr w:val="nil"/>
          <w:lang w:val="en-US" w:eastAsia="en-AU"/>
        </w:rPr>
        <w:t xml:space="preserve"> major initiatives,</w:t>
      </w:r>
      <w:r w:rsidRPr="00891632">
        <w:rPr>
          <w:rFonts w:eastAsia="Arial Unicode MS" w:cs="Arial Unicode MS"/>
          <w:u w:color="000000"/>
          <w:bdr w:val="nil"/>
          <w:lang w:val="en-US" w:eastAsia="en-AU"/>
        </w:rPr>
        <w:t xml:space="preserve"> as</w:t>
      </w:r>
      <w:r>
        <w:rPr>
          <w:rFonts w:eastAsia="Arial Unicode MS" w:cs="Arial Unicode MS"/>
          <w:u w:color="000000"/>
          <w:bdr w:val="nil"/>
          <w:lang w:val="en-US" w:eastAsia="en-AU"/>
        </w:rPr>
        <w:t xml:space="preserve"> </w:t>
      </w:r>
      <w:r w:rsidRPr="00AD5176">
        <w:rPr>
          <w:rFonts w:eastAsia="Arial Unicode MS" w:cs="Arial Unicode MS"/>
          <w:u w:color="000000"/>
          <w:bdr w:val="nil"/>
          <w:lang w:val="en-US" w:eastAsia="en-AU"/>
        </w:rPr>
        <w:t xml:space="preserve">identified in the </w:t>
      </w:r>
      <w:r>
        <w:rPr>
          <w:rFonts w:eastAsia="Arial Unicode MS" w:cs="Arial Unicode MS"/>
          <w:u w:color="000000"/>
          <w:bdr w:val="nil"/>
          <w:lang w:val="en-US" w:eastAsia="en-AU"/>
        </w:rPr>
        <w:t>Council Plan. These initiatives</w:t>
      </w:r>
      <w:r w:rsidRPr="00AD5176">
        <w:rPr>
          <w:rFonts w:eastAsia="Arial Unicode MS" w:cs="Arial Unicode MS"/>
          <w:u w:color="000000"/>
          <w:bdr w:val="nil"/>
          <w:lang w:val="en-US" w:eastAsia="en-AU"/>
        </w:rPr>
        <w:t xml:space="preserve"> will contribute to the achievement of the four-year Council Plan key directions and ultimately the preferred outcome</w:t>
      </w:r>
      <w:r>
        <w:rPr>
          <w:rFonts w:eastAsia="Arial Unicode MS" w:cs="Arial Unicode MS"/>
          <w:u w:color="000000"/>
          <w:bdr w:val="nil"/>
          <w:lang w:val="en-US" w:eastAsia="en-AU"/>
        </w:rPr>
        <w:t xml:space="preserve"> as</w:t>
      </w:r>
      <w:r w:rsidRPr="00AD5176">
        <w:rPr>
          <w:rFonts w:eastAsia="Arial Unicode MS" w:cs="Arial Unicode MS"/>
          <w:u w:color="000000"/>
          <w:bdr w:val="nil"/>
          <w:lang w:val="en-US" w:eastAsia="en-AU"/>
        </w:rPr>
        <w:t xml:space="preserve"> outlined in Maroondah 2040. </w:t>
      </w: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sidRPr="00413D57">
        <w:rPr>
          <w:rFonts w:eastAsia="Arial Unicode MS" w:cs="Arial Unicode MS"/>
          <w:u w:color="000000"/>
          <w:bdr w:val="nil"/>
          <w:lang w:val="en-US" w:eastAsia="en-AU"/>
        </w:rPr>
        <w:t>Some initiatives include:</w:t>
      </w:r>
    </w:p>
    <w:p w:rsidR="008266CE" w:rsidRDefault="008266CE" w:rsidP="006958CF">
      <w:pPr>
        <w:pBdr>
          <w:top w:val="nil"/>
          <w:left w:val="nil"/>
          <w:bottom w:val="nil"/>
          <w:right w:val="nil"/>
          <w:between w:val="nil"/>
          <w:bar w:val="nil"/>
        </w:pBdr>
        <w:jc w:val="both"/>
        <w:rPr>
          <w:rFonts w:eastAsia="Arial Unicode MS" w:cs="Arial Unicode MS"/>
          <w:u w:color="000000"/>
          <w:bdr w:val="nil"/>
          <w:lang w:val="en-US" w:eastAsia="en-AU"/>
        </w:rPr>
      </w:pPr>
    </w:p>
    <w:p w:rsidR="00115139" w:rsidRDefault="00A630CA" w:rsidP="002024AD">
      <w:pPr>
        <w:pStyle w:val="ListParagraph"/>
        <w:numPr>
          <w:ilvl w:val="0"/>
          <w:numId w:val="26"/>
        </w:numPr>
        <w:jc w:val="both"/>
        <w:rPr>
          <w:rFonts w:ascii="Arial" w:hAnsi="Arial" w:cs="Arial"/>
          <w:color w:val="FF0000"/>
        </w:rPr>
      </w:pPr>
      <w:r w:rsidRPr="00A630CA">
        <w:rPr>
          <w:rFonts w:ascii="Arial" w:hAnsi="Arial" w:cs="Arial"/>
        </w:rPr>
        <w:lastRenderedPageBreak/>
        <w:t>Design and construct multi-level commuter carparks in Croydon; Ringwood; Heathmont; and Heatherdale station</w:t>
      </w:r>
      <w:r w:rsidR="00115139" w:rsidRPr="00D65B57">
        <w:rPr>
          <w:rFonts w:ascii="Arial" w:hAnsi="Arial" w:cs="Arial"/>
        </w:rPr>
        <w:t>;</w:t>
      </w:r>
    </w:p>
    <w:p w:rsidR="00A630CA" w:rsidRDefault="00A630CA" w:rsidP="00A630CA">
      <w:pPr>
        <w:pStyle w:val="ListParagraph"/>
        <w:numPr>
          <w:ilvl w:val="0"/>
          <w:numId w:val="26"/>
        </w:numPr>
        <w:jc w:val="both"/>
        <w:rPr>
          <w:rFonts w:ascii="Arial" w:hAnsi="Arial" w:cs="Arial"/>
        </w:rPr>
      </w:pPr>
      <w:r w:rsidRPr="000968D9">
        <w:rPr>
          <w:rFonts w:ascii="Arial" w:hAnsi="Arial" w:cs="Arial"/>
        </w:rPr>
        <w:t>Undertake a strategic review of shopping centres in Maroondah and develop a Community Shopping Centre Strategy</w:t>
      </w:r>
      <w:r>
        <w:rPr>
          <w:rFonts w:ascii="Arial" w:hAnsi="Arial" w:cs="Arial"/>
        </w:rPr>
        <w:t>;</w:t>
      </w:r>
    </w:p>
    <w:p w:rsidR="00A630CA" w:rsidRDefault="00A630CA" w:rsidP="00A630CA">
      <w:pPr>
        <w:pStyle w:val="ListParagraph"/>
        <w:numPr>
          <w:ilvl w:val="0"/>
          <w:numId w:val="26"/>
        </w:numPr>
        <w:jc w:val="both"/>
        <w:rPr>
          <w:rFonts w:ascii="Arial" w:hAnsi="Arial" w:cs="Arial"/>
        </w:rPr>
      </w:pPr>
      <w:r w:rsidRPr="00DD43B4">
        <w:rPr>
          <w:rFonts w:ascii="Arial" w:hAnsi="Arial" w:cs="Arial"/>
        </w:rPr>
        <w:t>Design and construct sporting / multipurpose pavilion redevelopments at HE Parker Reserve, Silcock Reserve, Proclamation Park</w:t>
      </w:r>
      <w:r w:rsidR="000A6856">
        <w:rPr>
          <w:rFonts w:ascii="Arial" w:hAnsi="Arial" w:cs="Arial"/>
        </w:rPr>
        <w:t xml:space="preserve">, </w:t>
      </w:r>
      <w:r w:rsidRPr="00DD43B4">
        <w:rPr>
          <w:rFonts w:ascii="Arial" w:hAnsi="Arial" w:cs="Arial"/>
        </w:rPr>
        <w:t>Springfield</w:t>
      </w:r>
      <w:r w:rsidR="000A6856">
        <w:rPr>
          <w:rFonts w:ascii="Arial" w:hAnsi="Arial" w:cs="Arial"/>
        </w:rPr>
        <w:t xml:space="preserve"> Park</w:t>
      </w:r>
      <w:r w:rsidRPr="00DD43B4">
        <w:rPr>
          <w:rFonts w:ascii="Arial" w:hAnsi="Arial" w:cs="Arial"/>
        </w:rPr>
        <w:t xml:space="preserve"> and Ainslie Park</w:t>
      </w:r>
      <w:r>
        <w:rPr>
          <w:rFonts w:ascii="Arial" w:hAnsi="Arial" w:cs="Arial"/>
        </w:rPr>
        <w:t>;</w:t>
      </w:r>
    </w:p>
    <w:p w:rsidR="00435BBC" w:rsidRPr="00DD43B4" w:rsidRDefault="00435BBC" w:rsidP="00435BBC">
      <w:pPr>
        <w:pStyle w:val="ListParagraph"/>
        <w:numPr>
          <w:ilvl w:val="0"/>
          <w:numId w:val="26"/>
        </w:numPr>
        <w:jc w:val="both"/>
        <w:rPr>
          <w:rFonts w:ascii="Arial" w:hAnsi="Arial" w:cs="Arial"/>
        </w:rPr>
      </w:pPr>
      <w:r w:rsidRPr="00DD43B4">
        <w:rPr>
          <w:rFonts w:ascii="Arial" w:hAnsi="Arial" w:cs="Arial"/>
        </w:rPr>
        <w:t>Establish a regional cricket hub at Jubilee Park sporting precinct</w:t>
      </w:r>
      <w:r>
        <w:rPr>
          <w:rFonts w:ascii="Arial" w:hAnsi="Arial" w:cs="Arial"/>
        </w:rPr>
        <w:t>;</w:t>
      </w:r>
    </w:p>
    <w:p w:rsidR="00435BBC" w:rsidRDefault="00435BBC" w:rsidP="002024AD">
      <w:pPr>
        <w:pStyle w:val="ListParagraph"/>
        <w:numPr>
          <w:ilvl w:val="0"/>
          <w:numId w:val="26"/>
        </w:numPr>
        <w:jc w:val="both"/>
        <w:rPr>
          <w:rFonts w:ascii="Arial" w:hAnsi="Arial" w:cs="Arial"/>
        </w:rPr>
      </w:pPr>
      <w:r w:rsidRPr="00435BBC">
        <w:rPr>
          <w:rFonts w:ascii="Arial" w:hAnsi="Arial" w:cs="Arial"/>
        </w:rPr>
        <w:t>Complete the Lincoln Road upgrade, east of Dorset Road, Croydon;</w:t>
      </w:r>
    </w:p>
    <w:p w:rsidR="0030482A" w:rsidRPr="00CE642D" w:rsidRDefault="0030482A" w:rsidP="0030482A">
      <w:pPr>
        <w:pStyle w:val="ListParagraph"/>
        <w:numPr>
          <w:ilvl w:val="0"/>
          <w:numId w:val="26"/>
        </w:numPr>
        <w:jc w:val="both"/>
        <w:rPr>
          <w:rFonts w:ascii="Arial" w:hAnsi="Arial" w:cs="Arial"/>
        </w:rPr>
      </w:pPr>
      <w:r w:rsidRPr="00CE642D">
        <w:rPr>
          <w:rFonts w:ascii="Arial" w:hAnsi="Arial" w:cs="Arial"/>
        </w:rPr>
        <w:t>Implement the Greening the Greyfields project in partnership with stakeholders to facilitate a sustainable approach to urban redevelopment in identified residential precincts</w:t>
      </w:r>
      <w:r w:rsidR="00A40982">
        <w:rPr>
          <w:rFonts w:ascii="Arial" w:hAnsi="Arial" w:cs="Arial"/>
        </w:rPr>
        <w:t>;</w:t>
      </w:r>
      <w:r w:rsidR="00D65B57">
        <w:rPr>
          <w:rFonts w:ascii="Arial" w:hAnsi="Arial" w:cs="Arial"/>
        </w:rPr>
        <w:t xml:space="preserve"> and</w:t>
      </w:r>
    </w:p>
    <w:p w:rsidR="00A630CA" w:rsidRDefault="00A630CA" w:rsidP="00A630CA">
      <w:pPr>
        <w:pStyle w:val="ListParagraph"/>
        <w:numPr>
          <w:ilvl w:val="0"/>
          <w:numId w:val="26"/>
        </w:numPr>
        <w:jc w:val="both"/>
        <w:rPr>
          <w:rFonts w:ascii="Arial" w:hAnsi="Arial" w:cs="Arial"/>
        </w:rPr>
      </w:pPr>
      <w:r w:rsidRPr="00CE642D">
        <w:rPr>
          <w:rFonts w:ascii="Arial" w:hAnsi="Arial" w:cs="Arial"/>
        </w:rPr>
        <w:t>Undertake the staged redevelopment of the Croydon Community Precinct</w:t>
      </w:r>
      <w:r w:rsidR="00435BBC">
        <w:rPr>
          <w:rFonts w:ascii="Arial" w:hAnsi="Arial" w:cs="Arial"/>
        </w:rPr>
        <w:t>.</w:t>
      </w:r>
    </w:p>
    <w:p w:rsidR="00B56882" w:rsidRPr="009C6F9C" w:rsidRDefault="00B56882" w:rsidP="006011BA">
      <w:pPr>
        <w:jc w:val="both"/>
        <w:rPr>
          <w:rFonts w:eastAsia="Times New Roman" w:cs="Arial"/>
        </w:rPr>
      </w:pPr>
      <w:r w:rsidRPr="00AE6E83">
        <w:rPr>
          <w:rFonts w:eastAsia="Arial Unicode MS" w:cs="Arial Unicode MS"/>
          <w:u w:color="000000"/>
          <w:bdr w:val="nil"/>
          <w:lang w:val="en-US" w:eastAsia="en-AU"/>
        </w:rPr>
        <w:t xml:space="preserve">An extensive </w:t>
      </w:r>
      <w:r>
        <w:rPr>
          <w:rFonts w:eastAsia="Arial Unicode MS" w:cs="Arial Unicode MS"/>
          <w:u w:color="000000"/>
          <w:bdr w:val="nil"/>
          <w:lang w:val="en-US" w:eastAsia="en-AU"/>
        </w:rPr>
        <w:t xml:space="preserve">Capital Works Program </w:t>
      </w:r>
      <w:r w:rsidRPr="00CD3BFE">
        <w:rPr>
          <w:rFonts w:eastAsia="Arial Unicode MS" w:cs="Arial Unicode MS"/>
          <w:u w:color="000000"/>
          <w:bdr w:val="nil"/>
          <w:lang w:val="en-US" w:eastAsia="en-AU"/>
        </w:rPr>
        <w:t xml:space="preserve">of </w:t>
      </w:r>
      <w:r w:rsidRPr="009C6F9C">
        <w:rPr>
          <w:rFonts w:eastAsia="Arial Unicode MS" w:cs="Arial Unicode MS"/>
          <w:u w:color="000000"/>
          <w:bdr w:val="nil"/>
          <w:lang w:val="en-US" w:eastAsia="en-AU"/>
        </w:rPr>
        <w:t>$85.</w:t>
      </w:r>
      <w:r>
        <w:rPr>
          <w:rFonts w:eastAsia="Arial Unicode MS" w:cs="Arial Unicode MS"/>
          <w:u w:color="000000"/>
          <w:bdr w:val="nil"/>
          <w:lang w:val="en-US" w:eastAsia="en-AU"/>
        </w:rPr>
        <w:t>47</w:t>
      </w:r>
      <w:r w:rsidRPr="009C6F9C">
        <w:rPr>
          <w:rFonts w:eastAsia="Arial Unicode MS" w:cs="Arial Unicode MS"/>
          <w:u w:color="000000"/>
          <w:bdr w:val="nil"/>
          <w:lang w:val="en-US" w:eastAsia="en-AU"/>
        </w:rPr>
        <w:t xml:space="preserve"> million </w:t>
      </w:r>
      <w:r w:rsidRPr="00CD3BFE">
        <w:rPr>
          <w:rFonts w:eastAsia="Arial Unicode MS" w:cs="Arial Unicode MS"/>
          <w:u w:color="000000"/>
          <w:bdr w:val="nil"/>
          <w:lang w:val="en-US" w:eastAsia="en-AU"/>
        </w:rPr>
        <w:t xml:space="preserve">will be undertaken in 2020/21. This capital investment includes funding of </w:t>
      </w:r>
      <w:r w:rsidRPr="00C74E18">
        <w:rPr>
          <w:rFonts w:eastAsia="Arial Unicode MS" w:cs="Arial Unicode MS"/>
          <w:u w:color="000000"/>
          <w:bdr w:val="nil"/>
          <w:lang w:val="en-US" w:eastAsia="en-AU"/>
        </w:rPr>
        <w:t xml:space="preserve">$26.56 million from external grants; $0.20 million from contributions; </w:t>
      </w:r>
      <w:r w:rsidRPr="009C6F9C">
        <w:rPr>
          <w:rFonts w:eastAsia="Arial Unicode MS" w:cs="Arial Unicode MS"/>
          <w:u w:color="000000"/>
          <w:bdr w:val="nil"/>
          <w:lang w:val="en-US" w:eastAsia="en-AU"/>
        </w:rPr>
        <w:t>$20.65 million from asset sales; and $38.0</w:t>
      </w:r>
      <w:r>
        <w:rPr>
          <w:rFonts w:eastAsia="Arial Unicode MS" w:cs="Arial Unicode MS"/>
          <w:u w:color="000000"/>
          <w:bdr w:val="nil"/>
          <w:lang w:val="en-US" w:eastAsia="en-AU"/>
        </w:rPr>
        <w:t>6</w:t>
      </w:r>
      <w:r w:rsidRPr="009C6F9C">
        <w:rPr>
          <w:rFonts w:eastAsia="Arial Unicode MS" w:cs="Arial Unicode MS"/>
          <w:u w:color="000000"/>
          <w:bdr w:val="nil"/>
          <w:lang w:val="en-US" w:eastAsia="en-AU"/>
        </w:rPr>
        <w:t xml:space="preserve"> million from Council operations and cash holdings.</w:t>
      </w:r>
    </w:p>
    <w:p w:rsidR="00C932D9" w:rsidRPr="00CD3BFE" w:rsidRDefault="00C932D9">
      <w:pPr>
        <w:rPr>
          <w:rFonts w:eastAsia="Times New Roman" w:cs="Arial"/>
        </w:rPr>
      </w:pPr>
    </w:p>
    <w:p w:rsidR="00537904" w:rsidRPr="00DD5944" w:rsidRDefault="00537904" w:rsidP="00537904">
      <w:pPr>
        <w:rPr>
          <w:rFonts w:eastAsia="Times New Roman" w:cs="Arial"/>
        </w:rPr>
      </w:pPr>
      <w:r w:rsidRPr="00C9232E">
        <w:rPr>
          <w:rFonts w:eastAsia="Times New Roman" w:cs="Arial"/>
        </w:rPr>
        <w:t>Highlights of the 20</w:t>
      </w:r>
      <w:r w:rsidR="000A0E26" w:rsidRPr="00C9232E">
        <w:rPr>
          <w:rFonts w:eastAsia="Times New Roman" w:cs="Arial"/>
        </w:rPr>
        <w:t>20</w:t>
      </w:r>
      <w:r w:rsidRPr="00C9232E">
        <w:rPr>
          <w:rFonts w:eastAsia="Times New Roman" w:cs="Arial"/>
        </w:rPr>
        <w:t>/</w:t>
      </w:r>
      <w:r w:rsidR="007D7FA7" w:rsidRPr="00C9232E">
        <w:rPr>
          <w:rFonts w:eastAsia="Times New Roman" w:cs="Arial"/>
        </w:rPr>
        <w:t>2</w:t>
      </w:r>
      <w:r w:rsidR="000A0E26" w:rsidRPr="00C9232E">
        <w:rPr>
          <w:rFonts w:eastAsia="Times New Roman" w:cs="Arial"/>
        </w:rPr>
        <w:t>1</w:t>
      </w:r>
      <w:r w:rsidRPr="00C9232E">
        <w:rPr>
          <w:rFonts w:eastAsia="Times New Roman" w:cs="Arial"/>
        </w:rPr>
        <w:t xml:space="preserve"> Capital Works Program include:</w:t>
      </w:r>
    </w:p>
    <w:p w:rsidR="00CF2C1C" w:rsidRPr="00DD5944" w:rsidRDefault="00CF2C1C" w:rsidP="00787485">
      <w:pPr>
        <w:jc w:val="both"/>
        <w:rPr>
          <w:rFonts w:eastAsia="Times New Roman" w:cs="Arial"/>
        </w:rPr>
      </w:pPr>
    </w:p>
    <w:tbl>
      <w:tblPr>
        <w:tblStyle w:val="GridTable4-Accent2"/>
        <w:tblW w:w="0" w:type="auto"/>
        <w:tblLook w:val="04A0" w:firstRow="1" w:lastRow="0" w:firstColumn="1" w:lastColumn="0" w:noHBand="0" w:noVBand="1"/>
      </w:tblPr>
      <w:tblGrid>
        <w:gridCol w:w="2405"/>
        <w:gridCol w:w="1418"/>
        <w:gridCol w:w="6633"/>
      </w:tblGrid>
      <w:tr w:rsidR="000A0E26" w:rsidRPr="000A0E26" w:rsidTr="00C23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D7FA7" w:rsidRPr="00F53326" w:rsidRDefault="007D7FA7" w:rsidP="00C23FF0">
            <w:pPr>
              <w:jc w:val="both"/>
              <w:rPr>
                <w:rFonts w:eastAsia="Times New Roman" w:cs="Arial"/>
              </w:rPr>
            </w:pPr>
            <w:r w:rsidRPr="00F53326">
              <w:rPr>
                <w:rFonts w:eastAsia="Times New Roman" w:cs="Arial"/>
              </w:rPr>
              <w:t>Program</w:t>
            </w:r>
          </w:p>
        </w:tc>
        <w:tc>
          <w:tcPr>
            <w:tcW w:w="1418" w:type="dxa"/>
          </w:tcPr>
          <w:p w:rsidR="007D7FA7" w:rsidRPr="00F53326" w:rsidRDefault="007D7FA7" w:rsidP="00C23FF0">
            <w:pPr>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 (million)</w:t>
            </w:r>
          </w:p>
        </w:tc>
        <w:tc>
          <w:tcPr>
            <w:tcW w:w="6633" w:type="dxa"/>
          </w:tcPr>
          <w:p w:rsidR="007D7FA7" w:rsidRPr="00F53326" w:rsidRDefault="007D7FA7" w:rsidP="00C23FF0">
            <w:pPr>
              <w:jc w:val="both"/>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Details</w:t>
            </w:r>
          </w:p>
        </w:tc>
      </w:tr>
      <w:tr w:rsidR="000A0E26" w:rsidRPr="000A0E26"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D7FA7" w:rsidRPr="00F53326" w:rsidRDefault="007D7FA7" w:rsidP="00C23FF0">
            <w:pPr>
              <w:jc w:val="both"/>
              <w:rPr>
                <w:rFonts w:eastAsia="Times New Roman" w:cs="Arial"/>
              </w:rPr>
            </w:pPr>
            <w:r w:rsidRPr="00F53326">
              <w:rPr>
                <w:rFonts w:eastAsia="Times New Roman" w:cs="Arial"/>
              </w:rPr>
              <w:t>Buildings</w:t>
            </w:r>
          </w:p>
        </w:tc>
        <w:tc>
          <w:tcPr>
            <w:tcW w:w="1418" w:type="dxa"/>
          </w:tcPr>
          <w:p w:rsidR="007D7FA7" w:rsidRPr="00F53326"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53326">
              <w:rPr>
                <w:rFonts w:cs="Arial"/>
                <w:b/>
              </w:rPr>
              <w:t>$</w:t>
            </w:r>
            <w:r w:rsidR="00210FA4">
              <w:rPr>
                <w:rFonts w:cs="Arial"/>
                <w:b/>
              </w:rPr>
              <w:t>69.284</w:t>
            </w:r>
          </w:p>
        </w:tc>
        <w:tc>
          <w:tcPr>
            <w:tcW w:w="6633" w:type="dxa"/>
          </w:tcPr>
          <w:p w:rsidR="00B2570B" w:rsidRPr="00461315" w:rsidRDefault="00B2570B" w:rsidP="00461315">
            <w:pPr>
              <w:pStyle w:val="ListParagraph"/>
              <w:numPr>
                <w:ilvl w:val="0"/>
                <w:numId w:val="13"/>
              </w:numPr>
              <w:overflowPunct w:val="0"/>
              <w:autoSpaceDE w:val="0"/>
              <w:autoSpaceDN w:val="0"/>
              <w:adjustRightInd w:val="0"/>
              <w:spacing w:line="240" w:lineRule="exact"/>
              <w:ind w:left="749" w:hanging="425"/>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61315">
              <w:rPr>
                <w:rFonts w:ascii="Arial" w:hAnsi="Arial" w:cs="Arial"/>
              </w:rPr>
              <w:t>Multilevel Carpark Development Program -</w:t>
            </w:r>
            <w:r w:rsidR="00461315" w:rsidRPr="00461315">
              <w:rPr>
                <w:rFonts w:ascii="Arial" w:hAnsi="Arial" w:cs="Arial"/>
              </w:rPr>
              <w:t xml:space="preserve"> at</w:t>
            </w:r>
            <w:r w:rsidRPr="00461315">
              <w:rPr>
                <w:rFonts w:ascii="Arial" w:hAnsi="Arial" w:cs="Arial"/>
              </w:rPr>
              <w:t xml:space="preserve"> Croydon, Heathmont </w:t>
            </w:r>
            <w:r w:rsidR="00461315" w:rsidRPr="00461315">
              <w:rPr>
                <w:rFonts w:ascii="Arial" w:hAnsi="Arial" w:cs="Arial"/>
              </w:rPr>
              <w:t>and Ringwood</w:t>
            </w:r>
            <w:r w:rsidR="00210FA4">
              <w:rPr>
                <w:rFonts w:ascii="Arial" w:hAnsi="Arial" w:cs="Arial"/>
              </w:rPr>
              <w:t xml:space="preserve"> ($29.75</w:t>
            </w:r>
            <w:r w:rsidR="00C2368F">
              <w:rPr>
                <w:rFonts w:ascii="Arial" w:hAnsi="Arial" w:cs="Arial"/>
              </w:rPr>
              <w:t>million</w:t>
            </w:r>
            <w:r w:rsidR="00210FA4">
              <w:rPr>
                <w:rFonts w:ascii="Arial" w:hAnsi="Arial" w:cs="Arial"/>
              </w:rPr>
              <w:t>).</w:t>
            </w:r>
          </w:p>
          <w:p w:rsidR="002A5342" w:rsidRPr="00B2570B"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2570B">
              <w:rPr>
                <w:rFonts w:ascii="Arial" w:hAnsi="Arial" w:cs="Arial"/>
              </w:rPr>
              <w:t>Community Facilities Improvement Program ($</w:t>
            </w:r>
            <w:r w:rsidR="00B2570B" w:rsidRPr="00B2570B">
              <w:rPr>
                <w:rFonts w:ascii="Arial" w:hAnsi="Arial" w:cs="Arial"/>
              </w:rPr>
              <w:t>1.52</w:t>
            </w:r>
            <w:r w:rsidRPr="00B2570B">
              <w:rPr>
                <w:rFonts w:ascii="Arial" w:hAnsi="Arial" w:cs="Arial"/>
              </w:rPr>
              <w:t xml:space="preserve"> million) – Council continues to maintain assets at a high standard to ensure our community has access to safe and appropriate facilities. </w:t>
            </w:r>
          </w:p>
          <w:p w:rsidR="007D7FA7" w:rsidRPr="007E4C62" w:rsidRDefault="00F53326"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E4C62">
              <w:rPr>
                <w:rFonts w:ascii="Arial" w:hAnsi="Arial" w:cs="Arial"/>
              </w:rPr>
              <w:t>Pavillion</w:t>
            </w:r>
            <w:proofErr w:type="spellEnd"/>
            <w:r w:rsidRPr="007E4C62">
              <w:rPr>
                <w:rFonts w:ascii="Arial" w:hAnsi="Arial" w:cs="Arial"/>
              </w:rPr>
              <w:t xml:space="preserve"> redevelopment</w:t>
            </w:r>
            <w:r w:rsidR="007E4C62">
              <w:rPr>
                <w:rFonts w:ascii="Arial" w:hAnsi="Arial" w:cs="Arial"/>
              </w:rPr>
              <w:t xml:space="preserve"> ($</w:t>
            </w:r>
            <w:r w:rsidR="00210FA4">
              <w:rPr>
                <w:rFonts w:ascii="Arial" w:hAnsi="Arial" w:cs="Arial"/>
              </w:rPr>
              <w:t>11.96</w:t>
            </w:r>
            <w:r w:rsidR="007E4C62">
              <w:rPr>
                <w:rFonts w:ascii="Arial" w:hAnsi="Arial" w:cs="Arial"/>
              </w:rPr>
              <w:t xml:space="preserve"> million</w:t>
            </w:r>
            <w:r w:rsidR="00CB206E">
              <w:rPr>
                <w:rFonts w:ascii="Arial" w:hAnsi="Arial" w:cs="Arial"/>
              </w:rPr>
              <w:t>)</w:t>
            </w:r>
            <w:r w:rsidRPr="007E4C62">
              <w:rPr>
                <w:rFonts w:ascii="Arial" w:hAnsi="Arial" w:cs="Arial"/>
              </w:rPr>
              <w:t xml:space="preserve"> - </w:t>
            </w:r>
            <w:r w:rsidR="007E4C62">
              <w:rPr>
                <w:rFonts w:ascii="Arial" w:hAnsi="Arial" w:cs="Arial"/>
              </w:rPr>
              <w:t xml:space="preserve">including Ainslie Multipurpose pavilion, Cheong Multipurpose pavilion, Silcock Sporting pavilion, </w:t>
            </w:r>
            <w:r w:rsidRPr="007E4C62">
              <w:rPr>
                <w:rFonts w:ascii="Arial" w:hAnsi="Arial" w:cs="Arial"/>
              </w:rPr>
              <w:t>Springfield Sporting pavilion</w:t>
            </w:r>
            <w:r w:rsidR="007E4C62">
              <w:rPr>
                <w:rFonts w:ascii="Arial" w:hAnsi="Arial" w:cs="Arial"/>
              </w:rPr>
              <w:t>,</w:t>
            </w:r>
            <w:r w:rsidRPr="007E4C62">
              <w:rPr>
                <w:rFonts w:ascii="Arial" w:hAnsi="Arial" w:cs="Arial"/>
              </w:rPr>
              <w:t xml:space="preserve"> Dorset Multipurpose pavilion, Jubilee Park Sporting pavilion</w:t>
            </w:r>
            <w:r w:rsidR="007E4C62" w:rsidRPr="007E4C62">
              <w:rPr>
                <w:rFonts w:ascii="Arial" w:hAnsi="Arial" w:cs="Arial"/>
              </w:rPr>
              <w:t xml:space="preserve"> and </w:t>
            </w:r>
            <w:r w:rsidRPr="007E4C62">
              <w:rPr>
                <w:rFonts w:ascii="Arial" w:hAnsi="Arial" w:cs="Arial"/>
              </w:rPr>
              <w:t xml:space="preserve">Proclamation Park </w:t>
            </w:r>
            <w:r w:rsidR="007E4C62" w:rsidRPr="007E4C62">
              <w:rPr>
                <w:rFonts w:ascii="Arial" w:hAnsi="Arial" w:cs="Arial"/>
              </w:rPr>
              <w:t>Sporting pavilion.</w:t>
            </w:r>
          </w:p>
          <w:p w:rsidR="007D7FA7" w:rsidRPr="00B2570B"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2570B">
              <w:rPr>
                <w:rFonts w:ascii="Arial" w:hAnsi="Arial" w:cs="Arial"/>
              </w:rPr>
              <w:t>Community Facilities major plant renewal ($0.</w:t>
            </w:r>
            <w:r w:rsidR="00B2570B" w:rsidRPr="00B2570B">
              <w:rPr>
                <w:rFonts w:ascii="Arial" w:hAnsi="Arial" w:cs="Arial"/>
              </w:rPr>
              <w:t>52</w:t>
            </w:r>
            <w:r w:rsidRPr="00B2570B">
              <w:rPr>
                <w:rFonts w:ascii="Arial" w:hAnsi="Arial" w:cs="Arial"/>
              </w:rPr>
              <w:t xml:space="preserve"> million)</w:t>
            </w:r>
          </w:p>
          <w:p w:rsidR="007D7FA7" w:rsidRPr="007E4C62"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 xml:space="preserve">Upgrade and renewal of Sporting </w:t>
            </w:r>
            <w:r w:rsidR="000A6DEE" w:rsidRPr="007E4C62">
              <w:rPr>
                <w:rFonts w:ascii="Arial" w:hAnsi="Arial" w:cs="Arial"/>
              </w:rPr>
              <w:t>and Community Group facilities on Council land</w:t>
            </w:r>
            <w:r w:rsidRPr="007E4C62">
              <w:rPr>
                <w:rFonts w:ascii="Arial" w:hAnsi="Arial" w:cs="Arial"/>
              </w:rPr>
              <w:t xml:space="preserve"> ($0.3</w:t>
            </w:r>
            <w:r w:rsidR="00210FA4">
              <w:rPr>
                <w:rFonts w:ascii="Arial" w:hAnsi="Arial" w:cs="Arial"/>
              </w:rPr>
              <w:t>2</w:t>
            </w:r>
            <w:r w:rsidRPr="007E4C62">
              <w:rPr>
                <w:rFonts w:ascii="Arial" w:hAnsi="Arial" w:cs="Arial"/>
              </w:rPr>
              <w:t xml:space="preserve"> million)</w:t>
            </w:r>
          </w:p>
          <w:p w:rsidR="007D7FA7" w:rsidRPr="00B770D5"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Community Facilities Improvements ($0.2</w:t>
            </w:r>
            <w:r w:rsidR="00B2570B" w:rsidRPr="007E4C62">
              <w:rPr>
                <w:rFonts w:ascii="Arial" w:hAnsi="Arial" w:cs="Arial"/>
              </w:rPr>
              <w:t>2</w:t>
            </w:r>
            <w:r w:rsidRPr="007E4C62">
              <w:rPr>
                <w:rFonts w:ascii="Arial" w:hAnsi="Arial" w:cs="Arial"/>
              </w:rPr>
              <w:t xml:space="preserve"> million) – to improve accessibility to Council facilities for people with disabilities</w:t>
            </w:r>
          </w:p>
          <w:p w:rsidR="00B2570B" w:rsidRPr="00B770D5" w:rsidRDefault="00B2570B" w:rsidP="007E4C62">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770D5">
              <w:rPr>
                <w:rFonts w:ascii="Arial" w:hAnsi="Arial" w:cs="Arial"/>
              </w:rPr>
              <w:t xml:space="preserve">Realm Extension </w:t>
            </w:r>
            <w:r w:rsidR="00F53326" w:rsidRPr="00B770D5">
              <w:rPr>
                <w:rFonts w:ascii="Arial" w:hAnsi="Arial" w:cs="Arial"/>
              </w:rPr>
              <w:t>Base Build</w:t>
            </w:r>
            <w:r w:rsidR="00A1298B">
              <w:rPr>
                <w:rFonts w:ascii="Arial" w:hAnsi="Arial" w:cs="Arial"/>
              </w:rPr>
              <w:t xml:space="preserve"> and </w:t>
            </w:r>
            <w:proofErr w:type="spellStart"/>
            <w:r w:rsidR="00A1298B">
              <w:rPr>
                <w:rFonts w:ascii="Arial" w:hAnsi="Arial" w:cs="Arial"/>
              </w:rPr>
              <w:t>Fitout</w:t>
            </w:r>
            <w:proofErr w:type="spellEnd"/>
            <w:r w:rsidR="00F53326" w:rsidRPr="00B770D5">
              <w:rPr>
                <w:rFonts w:ascii="Arial" w:hAnsi="Arial" w:cs="Arial"/>
              </w:rPr>
              <w:t xml:space="preserve"> ($2</w:t>
            </w:r>
            <w:r w:rsidR="00A1298B">
              <w:rPr>
                <w:rFonts w:ascii="Arial" w:hAnsi="Arial" w:cs="Arial"/>
              </w:rPr>
              <w:t>3</w:t>
            </w:r>
            <w:r w:rsidR="00F53326" w:rsidRPr="00B770D5">
              <w:rPr>
                <w:rFonts w:ascii="Arial" w:hAnsi="Arial" w:cs="Arial"/>
              </w:rPr>
              <w:t xml:space="preserve"> million)</w:t>
            </w:r>
          </w:p>
        </w:tc>
      </w:tr>
      <w:tr w:rsidR="000A0E26" w:rsidRPr="000A0E26" w:rsidTr="00C23FF0">
        <w:tc>
          <w:tcPr>
            <w:cnfStyle w:val="001000000000" w:firstRow="0" w:lastRow="0" w:firstColumn="1" w:lastColumn="0" w:oddVBand="0" w:evenVBand="0" w:oddHBand="0" w:evenHBand="0" w:firstRowFirstColumn="0" w:firstRowLastColumn="0" w:lastRowFirstColumn="0" w:lastRowLastColumn="0"/>
            <w:tcW w:w="2405" w:type="dxa"/>
          </w:tcPr>
          <w:p w:rsidR="007D7FA7" w:rsidRPr="00F53326" w:rsidRDefault="007D7FA7" w:rsidP="00C23FF0">
            <w:pPr>
              <w:jc w:val="both"/>
              <w:rPr>
                <w:rFonts w:eastAsia="Times New Roman" w:cs="Arial"/>
              </w:rPr>
            </w:pPr>
            <w:r w:rsidRPr="00F53326">
              <w:rPr>
                <w:rFonts w:eastAsia="Times New Roman" w:cs="Arial"/>
              </w:rPr>
              <w:t>Roads</w:t>
            </w:r>
          </w:p>
        </w:tc>
        <w:tc>
          <w:tcPr>
            <w:tcW w:w="1418" w:type="dxa"/>
          </w:tcPr>
          <w:p w:rsidR="007D7FA7" w:rsidRPr="00F53326"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53326">
              <w:rPr>
                <w:rFonts w:cs="Arial"/>
                <w:b/>
              </w:rPr>
              <w:t>$</w:t>
            </w:r>
            <w:r w:rsidR="00F44799">
              <w:rPr>
                <w:rFonts w:cs="Arial"/>
                <w:b/>
              </w:rPr>
              <w:t>2.890</w:t>
            </w:r>
          </w:p>
        </w:tc>
        <w:tc>
          <w:tcPr>
            <w:tcW w:w="6633" w:type="dxa"/>
          </w:tcPr>
          <w:p w:rsidR="007D7FA7" w:rsidRPr="006E026A" w:rsidRDefault="007D7FA7" w:rsidP="00274DF7">
            <w:pPr>
              <w:pStyle w:val="ListParagraph"/>
              <w:numPr>
                <w:ilvl w:val="0"/>
                <w:numId w:val="14"/>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E026A">
              <w:rPr>
                <w:rFonts w:ascii="Arial" w:hAnsi="Arial" w:cs="Arial"/>
              </w:rPr>
              <w:t>Local road renewal program ($1.</w:t>
            </w:r>
            <w:r w:rsidR="00A1298B">
              <w:rPr>
                <w:rFonts w:ascii="Arial" w:hAnsi="Arial" w:cs="Arial"/>
              </w:rPr>
              <w:t>27</w:t>
            </w:r>
            <w:r w:rsidRPr="006E026A">
              <w:rPr>
                <w:rFonts w:ascii="Arial" w:hAnsi="Arial" w:cs="Arial"/>
              </w:rPr>
              <w:t xml:space="preserve"> million)</w:t>
            </w:r>
          </w:p>
          <w:p w:rsidR="00F53326" w:rsidRPr="006E026A" w:rsidRDefault="00F53326" w:rsidP="00274DF7">
            <w:pPr>
              <w:pStyle w:val="ListParagraph"/>
              <w:numPr>
                <w:ilvl w:val="0"/>
                <w:numId w:val="14"/>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E026A">
              <w:rPr>
                <w:rFonts w:ascii="Arial" w:hAnsi="Arial" w:cs="Arial"/>
              </w:rPr>
              <w:t>Local road reconstruction ($0.</w:t>
            </w:r>
            <w:r w:rsidR="00A1298B">
              <w:rPr>
                <w:rFonts w:ascii="Arial" w:hAnsi="Arial" w:cs="Arial"/>
              </w:rPr>
              <w:t>38</w:t>
            </w:r>
            <w:r w:rsidRPr="006E026A">
              <w:rPr>
                <w:rFonts w:ascii="Arial" w:hAnsi="Arial" w:cs="Arial"/>
              </w:rPr>
              <w:t xml:space="preserve"> million)</w:t>
            </w:r>
          </w:p>
          <w:p w:rsidR="007D7FA7" w:rsidRPr="006E026A" w:rsidRDefault="007D7FA7" w:rsidP="00274DF7">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E026A">
              <w:rPr>
                <w:rFonts w:ascii="Arial" w:hAnsi="Arial" w:cs="Arial"/>
              </w:rPr>
              <w:t xml:space="preserve">Kerb and channel replacement </w:t>
            </w:r>
            <w:proofErr w:type="gramStart"/>
            <w:r w:rsidRPr="006E026A">
              <w:rPr>
                <w:rFonts w:ascii="Arial" w:hAnsi="Arial" w:cs="Arial"/>
              </w:rPr>
              <w:t>works</w:t>
            </w:r>
            <w:proofErr w:type="gramEnd"/>
            <w:r w:rsidRPr="006E026A">
              <w:rPr>
                <w:rFonts w:ascii="Arial" w:hAnsi="Arial" w:cs="Arial"/>
              </w:rPr>
              <w:t xml:space="preserve"> ($0.</w:t>
            </w:r>
            <w:r w:rsidR="00A1298B">
              <w:rPr>
                <w:rFonts w:ascii="Arial" w:hAnsi="Arial" w:cs="Arial"/>
              </w:rPr>
              <w:t>5</w:t>
            </w:r>
            <w:r w:rsidR="00F53326" w:rsidRPr="006E026A">
              <w:rPr>
                <w:rFonts w:ascii="Arial" w:hAnsi="Arial" w:cs="Arial"/>
              </w:rPr>
              <w:t>8</w:t>
            </w:r>
            <w:r w:rsidRPr="006E026A">
              <w:rPr>
                <w:rFonts w:ascii="Arial" w:hAnsi="Arial" w:cs="Arial"/>
              </w:rPr>
              <w:t xml:space="preserve"> million)</w:t>
            </w:r>
          </w:p>
          <w:p w:rsidR="007D7FA7" w:rsidRPr="006E026A" w:rsidRDefault="007D7FA7" w:rsidP="00A1298B">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6E026A">
              <w:rPr>
                <w:rFonts w:ascii="Arial" w:hAnsi="Arial" w:cs="Arial"/>
              </w:rPr>
              <w:t>Local area traffic management ($0.</w:t>
            </w:r>
            <w:r w:rsidR="00A1298B">
              <w:rPr>
                <w:rFonts w:ascii="Arial" w:hAnsi="Arial" w:cs="Arial"/>
              </w:rPr>
              <w:t>26</w:t>
            </w:r>
            <w:r w:rsidRPr="006E026A">
              <w:rPr>
                <w:rFonts w:ascii="Arial" w:hAnsi="Arial" w:cs="Arial"/>
              </w:rPr>
              <w:t xml:space="preserve"> million)</w:t>
            </w:r>
          </w:p>
        </w:tc>
      </w:tr>
      <w:tr w:rsidR="000A0E26" w:rsidRPr="000A0E26"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D7FA7" w:rsidRPr="00F53326" w:rsidRDefault="007D7FA7" w:rsidP="00C23FF0">
            <w:pPr>
              <w:rPr>
                <w:rFonts w:eastAsia="Times New Roman" w:cs="Arial"/>
              </w:rPr>
            </w:pPr>
            <w:r w:rsidRPr="00F53326">
              <w:rPr>
                <w:rFonts w:eastAsia="Times New Roman" w:cs="Arial"/>
              </w:rPr>
              <w:t>Footpaths &amp; cycleways</w:t>
            </w:r>
          </w:p>
        </w:tc>
        <w:tc>
          <w:tcPr>
            <w:tcW w:w="1418" w:type="dxa"/>
          </w:tcPr>
          <w:p w:rsidR="007D7FA7" w:rsidRPr="00F53326"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53326">
              <w:rPr>
                <w:rFonts w:cs="Arial"/>
                <w:b/>
              </w:rPr>
              <w:t>$3.</w:t>
            </w:r>
            <w:r w:rsidR="00F44799">
              <w:rPr>
                <w:rFonts w:cs="Arial"/>
                <w:b/>
              </w:rPr>
              <w:t>051</w:t>
            </w:r>
          </w:p>
        </w:tc>
        <w:tc>
          <w:tcPr>
            <w:tcW w:w="6633" w:type="dxa"/>
          </w:tcPr>
          <w:p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E026A">
              <w:rPr>
                <w:rFonts w:ascii="Arial" w:hAnsi="Arial" w:cs="Arial"/>
              </w:rPr>
              <w:t>Footpath replacement works ($</w:t>
            </w:r>
            <w:r w:rsidR="001E67E6">
              <w:rPr>
                <w:rFonts w:ascii="Arial" w:hAnsi="Arial" w:cs="Arial"/>
              </w:rPr>
              <w:t>0.84</w:t>
            </w:r>
            <w:r w:rsidRPr="006E026A">
              <w:rPr>
                <w:rFonts w:ascii="Arial" w:hAnsi="Arial" w:cs="Arial"/>
              </w:rPr>
              <w:t xml:space="preserve"> million)</w:t>
            </w:r>
          </w:p>
          <w:p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E026A">
              <w:rPr>
                <w:rFonts w:ascii="Arial" w:hAnsi="Arial" w:cs="Arial"/>
              </w:rPr>
              <w:t>Footpath construction program ($</w:t>
            </w:r>
            <w:r w:rsidR="00F53326" w:rsidRPr="006E026A">
              <w:rPr>
                <w:rFonts w:ascii="Arial" w:hAnsi="Arial" w:cs="Arial"/>
              </w:rPr>
              <w:t>1.167</w:t>
            </w:r>
            <w:r w:rsidRPr="006E026A">
              <w:rPr>
                <w:rFonts w:ascii="Arial" w:hAnsi="Arial" w:cs="Arial"/>
              </w:rPr>
              <w:t xml:space="preserve"> million)</w:t>
            </w:r>
          </w:p>
          <w:p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E026A">
              <w:rPr>
                <w:rFonts w:ascii="Arial" w:hAnsi="Arial" w:cs="Arial"/>
              </w:rPr>
              <w:t>Taralla</w:t>
            </w:r>
            <w:proofErr w:type="spellEnd"/>
            <w:r w:rsidRPr="006E026A">
              <w:rPr>
                <w:rFonts w:ascii="Arial" w:hAnsi="Arial" w:cs="Arial"/>
              </w:rPr>
              <w:t xml:space="preserve"> Creek Trail improvement works ($0.3 million)</w:t>
            </w:r>
          </w:p>
          <w:p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E026A">
              <w:rPr>
                <w:rFonts w:ascii="Arial" w:hAnsi="Arial" w:cs="Arial"/>
              </w:rPr>
              <w:t>Disability footpath access ($0.31 million)</w:t>
            </w:r>
          </w:p>
          <w:p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rPr>
            </w:pPr>
            <w:r w:rsidRPr="006E026A">
              <w:rPr>
                <w:rFonts w:ascii="Arial" w:hAnsi="Arial" w:cs="Arial"/>
              </w:rPr>
              <w:t>Shared bike path improvement program ($0.</w:t>
            </w:r>
            <w:r w:rsidR="001E67E6">
              <w:rPr>
                <w:rFonts w:ascii="Arial" w:hAnsi="Arial" w:cs="Arial"/>
              </w:rPr>
              <w:t>43</w:t>
            </w:r>
            <w:r w:rsidRPr="006E026A">
              <w:rPr>
                <w:rFonts w:ascii="Arial" w:hAnsi="Arial" w:cs="Arial"/>
              </w:rPr>
              <w:t xml:space="preserve"> million)</w:t>
            </w:r>
          </w:p>
        </w:tc>
      </w:tr>
      <w:tr w:rsidR="000A0E26" w:rsidRPr="000A0E26" w:rsidTr="00C23FF0">
        <w:tc>
          <w:tcPr>
            <w:cnfStyle w:val="001000000000" w:firstRow="0" w:lastRow="0" w:firstColumn="1" w:lastColumn="0" w:oddVBand="0" w:evenVBand="0" w:oddHBand="0" w:evenHBand="0" w:firstRowFirstColumn="0" w:firstRowLastColumn="0" w:lastRowFirstColumn="0" w:lastRowLastColumn="0"/>
            <w:tcW w:w="2405" w:type="dxa"/>
          </w:tcPr>
          <w:p w:rsidR="007D7FA7" w:rsidRPr="0026130F" w:rsidRDefault="007D7FA7" w:rsidP="00C23FF0">
            <w:pPr>
              <w:jc w:val="both"/>
              <w:rPr>
                <w:rFonts w:eastAsia="Times New Roman" w:cs="Arial"/>
              </w:rPr>
            </w:pPr>
            <w:r w:rsidRPr="0026130F">
              <w:rPr>
                <w:rFonts w:eastAsia="Times New Roman" w:cs="Arial"/>
              </w:rPr>
              <w:t>Carparks</w:t>
            </w:r>
          </w:p>
        </w:tc>
        <w:tc>
          <w:tcPr>
            <w:tcW w:w="1418" w:type="dxa"/>
          </w:tcPr>
          <w:p w:rsidR="007D7FA7" w:rsidRPr="0026130F"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26130F">
              <w:rPr>
                <w:rFonts w:cs="Arial"/>
                <w:b/>
              </w:rPr>
              <w:t>$0.</w:t>
            </w:r>
            <w:r w:rsidR="0026130F" w:rsidRPr="0026130F">
              <w:rPr>
                <w:rFonts w:cs="Arial"/>
                <w:b/>
              </w:rPr>
              <w:t>250</w:t>
            </w:r>
          </w:p>
        </w:tc>
        <w:tc>
          <w:tcPr>
            <w:tcW w:w="6633" w:type="dxa"/>
          </w:tcPr>
          <w:p w:rsidR="007D7FA7" w:rsidRPr="0026130F" w:rsidRDefault="007D7FA7" w:rsidP="00B770D5">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26130F">
              <w:rPr>
                <w:rFonts w:ascii="Arial" w:hAnsi="Arial" w:cs="Arial"/>
              </w:rPr>
              <w:t>Carpark improvement program ($0.</w:t>
            </w:r>
            <w:r w:rsidR="0026130F" w:rsidRPr="0026130F">
              <w:rPr>
                <w:rFonts w:ascii="Arial" w:hAnsi="Arial" w:cs="Arial"/>
              </w:rPr>
              <w:t>25</w:t>
            </w:r>
            <w:r w:rsidRPr="0026130F">
              <w:rPr>
                <w:rFonts w:ascii="Arial" w:hAnsi="Arial" w:cs="Arial"/>
              </w:rPr>
              <w:t xml:space="preserve"> million)</w:t>
            </w:r>
          </w:p>
        </w:tc>
      </w:tr>
      <w:tr w:rsidR="000A0E26" w:rsidRPr="000A0E26"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D7FA7" w:rsidRPr="00FE4A1E" w:rsidRDefault="007D7FA7" w:rsidP="00C23FF0">
            <w:pPr>
              <w:jc w:val="both"/>
              <w:rPr>
                <w:rFonts w:eastAsia="Times New Roman" w:cs="Arial"/>
              </w:rPr>
            </w:pPr>
            <w:bookmarkStart w:id="1" w:name="_Hlk34042972"/>
            <w:r w:rsidRPr="00FE4A1E">
              <w:rPr>
                <w:rFonts w:eastAsia="Times New Roman" w:cs="Arial"/>
              </w:rPr>
              <w:t>Drainage</w:t>
            </w:r>
          </w:p>
        </w:tc>
        <w:tc>
          <w:tcPr>
            <w:tcW w:w="1418" w:type="dxa"/>
          </w:tcPr>
          <w:p w:rsidR="007D7FA7" w:rsidRPr="00FE4A1E"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E4A1E">
              <w:rPr>
                <w:rFonts w:cs="Arial"/>
                <w:b/>
              </w:rPr>
              <w:t>$</w:t>
            </w:r>
            <w:r w:rsidR="00F44799">
              <w:rPr>
                <w:rFonts w:cs="Arial"/>
                <w:b/>
              </w:rPr>
              <w:t>2.576</w:t>
            </w:r>
          </w:p>
        </w:tc>
        <w:tc>
          <w:tcPr>
            <w:tcW w:w="6633" w:type="dxa"/>
          </w:tcPr>
          <w:p w:rsidR="007D7FA7" w:rsidRPr="00733955" w:rsidRDefault="007D7FA7" w:rsidP="0073395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733955">
              <w:rPr>
                <w:rFonts w:ascii="Arial" w:hAnsi="Arial" w:cs="Arial"/>
              </w:rPr>
              <w:t xml:space="preserve">Stormwater drainage renewal program including </w:t>
            </w:r>
            <w:r w:rsidR="00EB5B8A" w:rsidRPr="00733955">
              <w:rPr>
                <w:rFonts w:ascii="Arial" w:hAnsi="Arial" w:cs="Arial"/>
              </w:rPr>
              <w:t xml:space="preserve">but not limited to, </w:t>
            </w:r>
            <w:r w:rsidR="00733955" w:rsidRPr="00733955">
              <w:rPr>
                <w:rFonts w:ascii="Arial" w:hAnsi="Arial" w:cs="Arial"/>
                <w:lang w:eastAsia="en-AU"/>
              </w:rPr>
              <w:t xml:space="preserve">New Street, Ringwood - Flood Mitigation Works (Continuation of New Street Road Renewal) $0.5 million; Scenic Avenue Flood Mitigation Works $0.45 million, Wingate Avenue Flood Mitigation Works $0.3 million, Lionel Crescent, Croydon - Easement Drainage </w:t>
            </w:r>
            <w:r w:rsidR="00733955" w:rsidRPr="00733955">
              <w:rPr>
                <w:rFonts w:ascii="Arial" w:hAnsi="Arial" w:cs="Arial"/>
                <w:lang w:eastAsia="en-AU"/>
              </w:rPr>
              <w:lastRenderedPageBreak/>
              <w:t>Construction $0.15 million; Murray Road, Croydon - Easement Drainage Construction $0.25 million; Drainage Relining Works $0.15 million</w:t>
            </w:r>
          </w:p>
        </w:tc>
      </w:tr>
      <w:bookmarkEnd w:id="1"/>
      <w:tr w:rsidR="000A0E26" w:rsidRPr="000A0E26" w:rsidTr="00C23FF0">
        <w:tc>
          <w:tcPr>
            <w:cnfStyle w:val="001000000000" w:firstRow="0" w:lastRow="0" w:firstColumn="1" w:lastColumn="0" w:oddVBand="0" w:evenVBand="0" w:oddHBand="0" w:evenHBand="0" w:firstRowFirstColumn="0" w:firstRowLastColumn="0" w:lastRowFirstColumn="0" w:lastRowLastColumn="0"/>
            <w:tcW w:w="2405" w:type="dxa"/>
          </w:tcPr>
          <w:p w:rsidR="007D7FA7" w:rsidRPr="00FE4A1E" w:rsidRDefault="007D7FA7" w:rsidP="00C23FF0">
            <w:pPr>
              <w:rPr>
                <w:rFonts w:eastAsia="Times New Roman" w:cs="Arial"/>
              </w:rPr>
            </w:pPr>
            <w:r w:rsidRPr="00FE4A1E">
              <w:rPr>
                <w:rFonts w:cs="Arial"/>
              </w:rPr>
              <w:lastRenderedPageBreak/>
              <w:t>Recreational, leisure and community facilities</w:t>
            </w:r>
          </w:p>
        </w:tc>
        <w:tc>
          <w:tcPr>
            <w:tcW w:w="1418" w:type="dxa"/>
          </w:tcPr>
          <w:p w:rsidR="007D7FA7" w:rsidRPr="00FE4A1E"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E4A1E">
              <w:rPr>
                <w:rFonts w:cs="Arial"/>
                <w:b/>
              </w:rPr>
              <w:t>$2.</w:t>
            </w:r>
            <w:r w:rsidR="00F44799">
              <w:rPr>
                <w:rFonts w:cs="Arial"/>
                <w:b/>
              </w:rPr>
              <w:t>702</w:t>
            </w:r>
          </w:p>
        </w:tc>
        <w:tc>
          <w:tcPr>
            <w:tcW w:w="6633" w:type="dxa"/>
          </w:tcPr>
          <w:p w:rsidR="007D7FA7" w:rsidRPr="00095E02"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095E02">
              <w:rPr>
                <w:rFonts w:ascii="Arial" w:hAnsi="Arial" w:cs="Arial"/>
              </w:rPr>
              <w:t xml:space="preserve">Sports fields improvement program for </w:t>
            </w:r>
            <w:r w:rsidR="00B770D5" w:rsidRPr="00095E02">
              <w:rPr>
                <w:rFonts w:ascii="Arial" w:hAnsi="Arial" w:cs="Arial"/>
              </w:rPr>
              <w:t>Silcock</w:t>
            </w:r>
            <w:r w:rsidRPr="00095E02">
              <w:rPr>
                <w:rFonts w:ascii="Arial" w:hAnsi="Arial" w:cs="Arial"/>
              </w:rPr>
              <w:t xml:space="preserve"> Reserve ($</w:t>
            </w:r>
            <w:r w:rsidR="00FE4A1E" w:rsidRPr="00095E02">
              <w:rPr>
                <w:rFonts w:ascii="Arial" w:hAnsi="Arial" w:cs="Arial"/>
              </w:rPr>
              <w:t>1.</w:t>
            </w:r>
            <w:r w:rsidR="00C81490">
              <w:rPr>
                <w:rFonts w:ascii="Arial" w:hAnsi="Arial" w:cs="Arial"/>
              </w:rPr>
              <w:t>9</w:t>
            </w:r>
            <w:r w:rsidRPr="00095E02">
              <w:rPr>
                <w:rFonts w:ascii="Arial" w:hAnsi="Arial" w:cs="Arial"/>
              </w:rPr>
              <w:t xml:space="preserve"> million)</w:t>
            </w:r>
          </w:p>
          <w:p w:rsidR="007D7FA7" w:rsidRPr="00095E02"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095E02">
              <w:rPr>
                <w:rFonts w:ascii="Arial" w:hAnsi="Arial" w:cs="Arial"/>
              </w:rPr>
              <w:t>Sports field lighting improvement program ($0.</w:t>
            </w:r>
            <w:r w:rsidR="007979CF">
              <w:rPr>
                <w:rFonts w:ascii="Arial" w:hAnsi="Arial" w:cs="Arial"/>
              </w:rPr>
              <w:t>15</w:t>
            </w:r>
            <w:r w:rsidRPr="00095E02">
              <w:rPr>
                <w:rFonts w:ascii="Arial" w:hAnsi="Arial" w:cs="Arial"/>
              </w:rPr>
              <w:t xml:space="preserve"> million)</w:t>
            </w:r>
          </w:p>
          <w:p w:rsidR="007D7FA7" w:rsidRPr="00095E02"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095E02">
              <w:rPr>
                <w:rFonts w:ascii="Arial" w:hAnsi="Arial" w:cs="Arial"/>
              </w:rPr>
              <w:t xml:space="preserve">Sports infrastructure renewal including cricket nets, </w:t>
            </w:r>
            <w:proofErr w:type="gramStart"/>
            <w:r w:rsidRPr="00095E02">
              <w:rPr>
                <w:rFonts w:ascii="Arial" w:hAnsi="Arial" w:cs="Arial"/>
              </w:rPr>
              <w:t>coaches</w:t>
            </w:r>
            <w:proofErr w:type="gramEnd"/>
            <w:r w:rsidRPr="00095E02">
              <w:rPr>
                <w:rFonts w:ascii="Arial" w:hAnsi="Arial" w:cs="Arial"/>
              </w:rPr>
              <w:t xml:space="preserve"> boxes and scoreboards ($0.</w:t>
            </w:r>
            <w:r w:rsidR="009121E4" w:rsidRPr="00095E02">
              <w:rPr>
                <w:rFonts w:ascii="Arial" w:hAnsi="Arial" w:cs="Arial"/>
              </w:rPr>
              <w:t>2</w:t>
            </w:r>
            <w:r w:rsidR="007979CF">
              <w:rPr>
                <w:rFonts w:ascii="Arial" w:hAnsi="Arial" w:cs="Arial"/>
              </w:rPr>
              <w:t>0</w:t>
            </w:r>
            <w:r w:rsidRPr="00095E02">
              <w:rPr>
                <w:rFonts w:ascii="Arial" w:hAnsi="Arial" w:cs="Arial"/>
              </w:rPr>
              <w:t xml:space="preserve"> million)</w:t>
            </w:r>
          </w:p>
          <w:p w:rsidR="00095E02" w:rsidRPr="00095E02" w:rsidRDefault="00095E02" w:rsidP="00095E02">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095E02">
              <w:rPr>
                <w:rFonts w:ascii="Arial" w:hAnsi="Arial" w:cs="Arial"/>
              </w:rPr>
              <w:t>Golf Course improvement program ($0.</w:t>
            </w:r>
            <w:r w:rsidR="007979CF">
              <w:rPr>
                <w:rFonts w:ascii="Arial" w:hAnsi="Arial" w:cs="Arial"/>
              </w:rPr>
              <w:t>25</w:t>
            </w:r>
            <w:r w:rsidRPr="00095E02">
              <w:rPr>
                <w:rFonts w:ascii="Arial" w:hAnsi="Arial" w:cs="Arial"/>
              </w:rPr>
              <w:t xml:space="preserve"> million)</w:t>
            </w:r>
          </w:p>
        </w:tc>
      </w:tr>
      <w:tr w:rsidR="000A0E26" w:rsidRPr="000A0E26"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D7FA7" w:rsidRPr="00E354CF" w:rsidRDefault="007D7FA7" w:rsidP="00C23FF0">
            <w:pPr>
              <w:rPr>
                <w:rFonts w:eastAsia="Times New Roman" w:cs="Arial"/>
              </w:rPr>
            </w:pPr>
            <w:r w:rsidRPr="00E354CF">
              <w:rPr>
                <w:rFonts w:cs="Arial"/>
              </w:rPr>
              <w:t>Parks and open space</w:t>
            </w:r>
          </w:p>
        </w:tc>
        <w:tc>
          <w:tcPr>
            <w:tcW w:w="1418" w:type="dxa"/>
          </w:tcPr>
          <w:p w:rsidR="007D7FA7" w:rsidRPr="00E354CF"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354CF">
              <w:rPr>
                <w:rFonts w:cs="Arial"/>
                <w:b/>
              </w:rPr>
              <w:t>$</w:t>
            </w:r>
            <w:r w:rsidR="00F44799">
              <w:rPr>
                <w:rFonts w:cs="Arial"/>
                <w:b/>
              </w:rPr>
              <w:t>1.415</w:t>
            </w:r>
          </w:p>
        </w:tc>
        <w:tc>
          <w:tcPr>
            <w:tcW w:w="6633" w:type="dxa"/>
          </w:tcPr>
          <w:p w:rsidR="007D7FA7" w:rsidRPr="0039373A"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Open space playground improvement program ($0.</w:t>
            </w:r>
            <w:r w:rsidR="001D33C8">
              <w:rPr>
                <w:rFonts w:ascii="Arial" w:hAnsi="Arial" w:cs="Arial"/>
              </w:rPr>
              <w:t>48</w:t>
            </w:r>
            <w:r w:rsidRPr="0039373A">
              <w:rPr>
                <w:rFonts w:ascii="Arial" w:hAnsi="Arial" w:cs="Arial"/>
              </w:rPr>
              <w:t xml:space="preserve"> million)</w:t>
            </w:r>
          </w:p>
          <w:p w:rsidR="007D7FA7" w:rsidRPr="0039373A"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Open space improvement program ($0.</w:t>
            </w:r>
            <w:r w:rsidR="00E354CF" w:rsidRPr="0039373A">
              <w:rPr>
                <w:rFonts w:ascii="Arial" w:hAnsi="Arial" w:cs="Arial"/>
              </w:rPr>
              <w:t>3</w:t>
            </w:r>
            <w:r w:rsidR="001D33C8">
              <w:rPr>
                <w:rFonts w:ascii="Arial" w:hAnsi="Arial" w:cs="Arial"/>
              </w:rPr>
              <w:t>0</w:t>
            </w:r>
            <w:r w:rsidRPr="0039373A">
              <w:rPr>
                <w:rFonts w:ascii="Arial" w:hAnsi="Arial" w:cs="Arial"/>
              </w:rPr>
              <w:t xml:space="preserve"> million)</w:t>
            </w:r>
          </w:p>
          <w:p w:rsidR="007D7FA7" w:rsidRPr="0039373A" w:rsidRDefault="00E354CF" w:rsidP="00E354CF">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Tree improvement program ($0.</w:t>
            </w:r>
            <w:r w:rsidR="001D33C8">
              <w:rPr>
                <w:rFonts w:ascii="Arial" w:hAnsi="Arial" w:cs="Arial"/>
              </w:rPr>
              <w:t>54</w:t>
            </w:r>
            <w:r w:rsidRPr="0039373A">
              <w:rPr>
                <w:rFonts w:ascii="Arial" w:hAnsi="Arial" w:cs="Arial"/>
              </w:rPr>
              <w:t xml:space="preserve"> million)</w:t>
            </w:r>
          </w:p>
        </w:tc>
      </w:tr>
    </w:tbl>
    <w:p w:rsidR="00AD41A5" w:rsidRDefault="00AD41A5">
      <w:pPr>
        <w:rPr>
          <w:rFonts w:cs="Arial"/>
          <w:b/>
          <w:color w:val="FF0000"/>
        </w:rPr>
      </w:pPr>
    </w:p>
    <w:p w:rsidR="003D1423" w:rsidRPr="00787485" w:rsidRDefault="003D1423" w:rsidP="00787485">
      <w:pPr>
        <w:rPr>
          <w:rFonts w:cs="Arial"/>
          <w:b/>
          <w:color w:val="FF0000"/>
        </w:rPr>
      </w:pPr>
    </w:p>
    <w:p w:rsidR="002A5342" w:rsidRDefault="002A5342" w:rsidP="002A5342">
      <w:pPr>
        <w:spacing w:after="200" w:line="276" w:lineRule="auto"/>
        <w:contextualSpacing/>
        <w:rPr>
          <w:rFonts w:cs="Arial"/>
          <w:b/>
          <w:color w:val="1E5E9F" w:themeColor="accent3" w:themeShade="BF"/>
        </w:rPr>
      </w:pPr>
      <w:r w:rsidRPr="00176A8A">
        <w:rPr>
          <w:rFonts w:cs="Arial"/>
          <w:b/>
          <w:color w:val="1E5E9F" w:themeColor="accent3" w:themeShade="BF"/>
        </w:rPr>
        <w:t>The Rate Rise</w:t>
      </w:r>
      <w:r>
        <w:rPr>
          <w:rFonts w:cs="Arial"/>
          <w:b/>
          <w:color w:val="1E5E9F" w:themeColor="accent3" w:themeShade="BF"/>
        </w:rPr>
        <w:t xml:space="preserve"> &amp; Rate Capping</w:t>
      </w:r>
    </w:p>
    <w:p w:rsidR="002A5342" w:rsidRPr="002A5342" w:rsidRDefault="002A5342" w:rsidP="002A5342">
      <w:pPr>
        <w:pStyle w:val="NormalWeb"/>
        <w:jc w:val="both"/>
        <w:rPr>
          <w:rFonts w:ascii="Arial" w:eastAsia="Calibri" w:hAnsi="Arial" w:cs="Arial"/>
          <w:color w:val="000000" w:themeColor="text1"/>
          <w:sz w:val="22"/>
          <w:szCs w:val="22"/>
        </w:rPr>
      </w:pPr>
      <w:r w:rsidRPr="002A5342">
        <w:rPr>
          <w:rFonts w:ascii="Arial" w:eastAsia="Calibri" w:hAnsi="Arial" w:cs="Arial"/>
          <w:color w:val="000000" w:themeColor="text1"/>
          <w:sz w:val="22"/>
          <w:szCs w:val="22"/>
        </w:rPr>
        <w:t xml:space="preserve">Councils have the </w:t>
      </w:r>
      <w:r w:rsidR="00282AD9">
        <w:rPr>
          <w:rFonts w:ascii="Arial" w:eastAsia="Calibri" w:hAnsi="Arial" w:cs="Arial"/>
          <w:color w:val="000000" w:themeColor="text1"/>
          <w:sz w:val="22"/>
          <w:szCs w:val="22"/>
        </w:rPr>
        <w:t>obligation</w:t>
      </w:r>
      <w:r w:rsidRPr="002A5342">
        <w:rPr>
          <w:rFonts w:ascii="Arial" w:eastAsia="Calibri" w:hAnsi="Arial" w:cs="Arial"/>
          <w:color w:val="000000" w:themeColor="text1"/>
          <w:sz w:val="22"/>
          <w:szCs w:val="22"/>
        </w:rPr>
        <w:t xml:space="preserve"> to levy rates and charges under the Local Government Act 1989 </w:t>
      </w:r>
      <w:proofErr w:type="gramStart"/>
      <w:r w:rsidRPr="002A5342">
        <w:rPr>
          <w:rFonts w:ascii="Arial" w:eastAsia="Calibri" w:hAnsi="Arial" w:cs="Arial"/>
          <w:color w:val="000000" w:themeColor="text1"/>
          <w:sz w:val="22"/>
          <w:szCs w:val="22"/>
        </w:rPr>
        <w:t>in order to</w:t>
      </w:r>
      <w:proofErr w:type="gramEnd"/>
      <w:r w:rsidRPr="002A5342">
        <w:rPr>
          <w:rFonts w:ascii="Arial" w:eastAsia="Calibri" w:hAnsi="Arial" w:cs="Arial"/>
          <w:color w:val="000000" w:themeColor="text1"/>
          <w:sz w:val="22"/>
          <w:szCs w:val="22"/>
        </w:rPr>
        <w:t xml:space="preserve"> fund and deliver essential community infrastructure and services. The rates </w:t>
      </w:r>
      <w:r w:rsidR="00FB3094">
        <w:rPr>
          <w:rFonts w:ascii="Arial" w:eastAsia="Calibri" w:hAnsi="Arial" w:cs="Arial"/>
          <w:color w:val="000000" w:themeColor="text1"/>
          <w:sz w:val="22"/>
          <w:szCs w:val="22"/>
        </w:rPr>
        <w:t>C</w:t>
      </w:r>
      <w:r w:rsidRPr="002A5342">
        <w:rPr>
          <w:rFonts w:ascii="Arial" w:eastAsia="Calibri" w:hAnsi="Arial" w:cs="Arial"/>
          <w:color w:val="000000" w:themeColor="text1"/>
          <w:sz w:val="22"/>
          <w:szCs w:val="22"/>
        </w:rPr>
        <w:t>ouncils collect are a form of property tax. The value of each property is used as the basis for calculating what each property owner will pay.</w:t>
      </w:r>
    </w:p>
    <w:p w:rsidR="002A5342" w:rsidRPr="002A5342" w:rsidRDefault="002A5342" w:rsidP="002A5342">
      <w:pPr>
        <w:pStyle w:val="NormalWeb"/>
        <w:jc w:val="both"/>
        <w:rPr>
          <w:rFonts w:ascii="Arial" w:eastAsia="Calibri" w:hAnsi="Arial" w:cs="Arial"/>
          <w:color w:val="000000" w:themeColor="text1"/>
          <w:sz w:val="22"/>
          <w:szCs w:val="22"/>
        </w:rPr>
      </w:pPr>
      <w:r w:rsidRPr="002A5342">
        <w:rPr>
          <w:rFonts w:ascii="Arial" w:eastAsia="Calibri" w:hAnsi="Arial" w:cs="Arial"/>
          <w:color w:val="000000" w:themeColor="text1"/>
          <w:sz w:val="22"/>
          <w:szCs w:val="22"/>
        </w:rPr>
        <w:t>Calculating how much each property owner pays in rates involves determining the total amount of rate revenue required and dividing this across the total value of all rateable properties to establish a rate in the dollar. The rate in the dollar is then applied against each individual property value to calculate how much each property owner pays.</w:t>
      </w: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All of Victoria</w:t>
      </w:r>
      <w:r w:rsidR="00C94527">
        <w:rPr>
          <w:rFonts w:cs="Arial"/>
          <w:color w:val="000000" w:themeColor="text1"/>
          <w:lang w:eastAsia="en-AU"/>
        </w:rPr>
        <w:t>’</w:t>
      </w:r>
      <w:r w:rsidRPr="002A5342">
        <w:rPr>
          <w:rFonts w:cs="Arial"/>
          <w:color w:val="000000" w:themeColor="text1"/>
          <w:lang w:eastAsia="en-AU"/>
        </w:rPr>
        <w:t>s 79 councils have been operating under rate caps since 1 July 2016. Each year the Minister for Local Government sets a cap on rate increases based on that period’s Consumer Price Index (CPI) and advice from the Essential Services Commission (ESC). The rate cap limits the total amount a council can increase its rates each year based on the amount it levied in the previous year.</w:t>
      </w: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The decision must be made by 31 December each year to apply to rates in the following financial year.</w:t>
      </w: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For the 20</w:t>
      </w:r>
      <w:r w:rsidR="000717DC">
        <w:rPr>
          <w:rFonts w:cs="Arial"/>
          <w:color w:val="000000" w:themeColor="text1"/>
          <w:lang w:eastAsia="en-AU"/>
        </w:rPr>
        <w:t>20</w:t>
      </w:r>
      <w:r w:rsidR="005D267C">
        <w:rPr>
          <w:rFonts w:cs="Arial"/>
          <w:color w:val="000000" w:themeColor="text1"/>
          <w:lang w:eastAsia="en-AU"/>
        </w:rPr>
        <w:t>/</w:t>
      </w:r>
      <w:r w:rsidR="00E753C1">
        <w:rPr>
          <w:rFonts w:cs="Arial"/>
          <w:color w:val="000000" w:themeColor="text1"/>
          <w:lang w:eastAsia="en-AU"/>
        </w:rPr>
        <w:t>2</w:t>
      </w:r>
      <w:r w:rsidR="000717DC">
        <w:rPr>
          <w:rFonts w:cs="Arial"/>
          <w:color w:val="000000" w:themeColor="text1"/>
          <w:lang w:eastAsia="en-AU"/>
        </w:rPr>
        <w:t>1</w:t>
      </w:r>
      <w:r w:rsidR="00E753C1">
        <w:rPr>
          <w:rFonts w:cs="Arial"/>
          <w:color w:val="000000" w:themeColor="text1"/>
          <w:lang w:eastAsia="en-AU"/>
        </w:rPr>
        <w:t xml:space="preserve"> financial year, C</w:t>
      </w:r>
      <w:r w:rsidRPr="002A5342">
        <w:rPr>
          <w:rFonts w:cs="Arial"/>
          <w:color w:val="000000" w:themeColor="text1"/>
          <w:lang w:eastAsia="en-AU"/>
        </w:rPr>
        <w:t>ouncil</w:t>
      </w:r>
      <w:r w:rsidR="00E753C1">
        <w:rPr>
          <w:rFonts w:cs="Arial"/>
          <w:color w:val="000000" w:themeColor="text1"/>
          <w:lang w:eastAsia="en-AU"/>
        </w:rPr>
        <w:t>’</w:t>
      </w:r>
      <w:r w:rsidR="000B4724">
        <w:rPr>
          <w:rFonts w:cs="Arial"/>
          <w:color w:val="000000" w:themeColor="text1"/>
          <w:lang w:eastAsia="en-AU"/>
        </w:rPr>
        <w:t>s rate rise has</w:t>
      </w:r>
      <w:r w:rsidRPr="002A5342">
        <w:rPr>
          <w:rFonts w:cs="Arial"/>
          <w:color w:val="000000" w:themeColor="text1"/>
          <w:lang w:eastAsia="en-AU"/>
        </w:rPr>
        <w:t xml:space="preserve"> been capped at 2.</w:t>
      </w:r>
      <w:r w:rsidR="000717DC">
        <w:rPr>
          <w:rFonts w:cs="Arial"/>
          <w:color w:val="000000" w:themeColor="text1"/>
          <w:lang w:eastAsia="en-AU"/>
        </w:rPr>
        <w:t>0</w:t>
      </w:r>
      <w:r w:rsidRPr="002A5342">
        <w:rPr>
          <w:rFonts w:cs="Arial"/>
          <w:color w:val="000000" w:themeColor="text1"/>
          <w:lang w:eastAsia="en-AU"/>
        </w:rPr>
        <w:t>%.</w:t>
      </w:r>
    </w:p>
    <w:p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rsidR="002A5342" w:rsidRPr="002A5342" w:rsidRDefault="002A5342" w:rsidP="002A5342">
      <w:pPr>
        <w:spacing w:before="100" w:beforeAutospacing="1" w:after="100" w:afterAutospacing="1"/>
        <w:jc w:val="both"/>
        <w:rPr>
          <w:rFonts w:cs="Arial"/>
          <w:color w:val="000000" w:themeColor="text1"/>
          <w:lang w:eastAsia="en-AU"/>
        </w:rPr>
      </w:pPr>
      <w:r w:rsidRPr="002A5342">
        <w:rPr>
          <w:rFonts w:cs="Arial"/>
          <w:color w:val="000000" w:themeColor="text1"/>
          <w:lang w:eastAsia="en-AU"/>
        </w:rPr>
        <w:t>The rate cap applies to the council’s total rate revenue and not individual properties.  In many cases,</w:t>
      </w:r>
      <w:r w:rsidR="00E753C1">
        <w:rPr>
          <w:rFonts w:cs="Arial"/>
          <w:color w:val="000000" w:themeColor="text1"/>
          <w:lang w:eastAsia="en-AU"/>
        </w:rPr>
        <w:t xml:space="preserve"> an</w:t>
      </w:r>
      <w:r w:rsidRPr="002A5342">
        <w:rPr>
          <w:rFonts w:cs="Arial"/>
          <w:color w:val="000000" w:themeColor="text1"/>
          <w:lang w:eastAsia="en-AU"/>
        </w:rPr>
        <w:t xml:space="preserve"> individual rates bill may increase or decrease by more (or less) than the capped rise amount.  This may happen because:</w:t>
      </w:r>
    </w:p>
    <w:p w:rsidR="002A5342" w:rsidRP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the value of the property has increased or decreased in relation to the value of other properties in the council</w:t>
      </w:r>
      <w:r w:rsidR="000A4A98">
        <w:rPr>
          <w:rFonts w:cs="Arial"/>
          <w:color w:val="000000" w:themeColor="text1"/>
          <w:lang w:eastAsia="en-AU"/>
        </w:rPr>
        <w:t>;</w:t>
      </w:r>
    </w:p>
    <w:p w:rsidR="002A5342" w:rsidRP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other charges and levies that are not subject to the cap, such as the waste charge, has risen. The capped increases apply to the general rates only</w:t>
      </w:r>
      <w:r w:rsidR="000A4A98">
        <w:rPr>
          <w:rFonts w:cs="Arial"/>
          <w:color w:val="000000" w:themeColor="text1"/>
          <w:lang w:eastAsia="en-AU"/>
        </w:rPr>
        <w:t>; and</w:t>
      </w:r>
    </w:p>
    <w:p w:rsid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 xml:space="preserve">the </w:t>
      </w:r>
      <w:proofErr w:type="gramStart"/>
      <w:r w:rsidRPr="002A5342">
        <w:rPr>
          <w:rFonts w:cs="Arial"/>
          <w:color w:val="000000" w:themeColor="text1"/>
          <w:lang w:eastAsia="en-AU"/>
        </w:rPr>
        <w:t>amount</w:t>
      </w:r>
      <w:proofErr w:type="gramEnd"/>
      <w:r w:rsidRPr="002A5342">
        <w:rPr>
          <w:rFonts w:cs="Arial"/>
          <w:color w:val="000000" w:themeColor="text1"/>
          <w:lang w:eastAsia="en-AU"/>
        </w:rPr>
        <w:t xml:space="preserve"> of rates levied from properties of that type (residential, commercial or industrial) has changed through the council’s application of differential rates</w:t>
      </w:r>
      <w:r w:rsidR="000A4A98">
        <w:rPr>
          <w:rFonts w:cs="Arial"/>
          <w:color w:val="000000" w:themeColor="text1"/>
          <w:lang w:eastAsia="en-AU"/>
        </w:rPr>
        <w:t>.</w:t>
      </w:r>
    </w:p>
    <w:p w:rsidR="00126519" w:rsidRDefault="00126519" w:rsidP="002A5342">
      <w:pPr>
        <w:autoSpaceDE w:val="0"/>
        <w:autoSpaceDN w:val="0"/>
        <w:adjustRightInd w:val="0"/>
        <w:spacing w:after="200" w:line="276" w:lineRule="auto"/>
        <w:contextualSpacing/>
        <w:jc w:val="both"/>
        <w:rPr>
          <w:rFonts w:cs="Arial"/>
          <w:color w:val="000000" w:themeColor="text1"/>
          <w:lang w:eastAsia="en-AU"/>
        </w:rPr>
      </w:pPr>
    </w:p>
    <w:p w:rsidR="00126519" w:rsidRDefault="00126519" w:rsidP="00126519">
      <w:pPr>
        <w:autoSpaceDE w:val="0"/>
        <w:autoSpaceDN w:val="0"/>
        <w:adjustRightInd w:val="0"/>
        <w:spacing w:after="200" w:line="276" w:lineRule="auto"/>
        <w:contextualSpacing/>
        <w:jc w:val="both"/>
        <w:rPr>
          <w:rFonts w:cs="Arial"/>
          <w:color w:val="000000" w:themeColor="text1"/>
          <w:lang w:eastAsia="en-AU"/>
        </w:rPr>
      </w:pPr>
      <w:r w:rsidRPr="00767515">
        <w:rPr>
          <w:rFonts w:cs="Arial"/>
          <w:color w:val="000000" w:themeColor="text1"/>
          <w:lang w:eastAsia="en-AU"/>
        </w:rPr>
        <w:t>Council recognises that in the COVID-19 pandemic environment that some members of the community may have difficulty paying their rates, and has a Financial Hardship Policy, which includes offering payment arrangements based on individual ratepayer circumstances.</w:t>
      </w:r>
    </w:p>
    <w:p w:rsidR="009C1394" w:rsidRDefault="009C1394" w:rsidP="002A5342">
      <w:pPr>
        <w:autoSpaceDE w:val="0"/>
        <w:autoSpaceDN w:val="0"/>
        <w:adjustRightInd w:val="0"/>
        <w:spacing w:after="200" w:line="276" w:lineRule="auto"/>
        <w:contextualSpacing/>
        <w:jc w:val="both"/>
        <w:rPr>
          <w:rFonts w:cs="Arial"/>
          <w:color w:val="000000" w:themeColor="text1"/>
          <w:lang w:eastAsia="en-AU"/>
        </w:rPr>
      </w:pPr>
    </w:p>
    <w:p w:rsidR="002A5342" w:rsidRPr="009B73DF" w:rsidRDefault="002A5342" w:rsidP="002A5342">
      <w:pPr>
        <w:autoSpaceDE w:val="0"/>
        <w:autoSpaceDN w:val="0"/>
        <w:adjustRightInd w:val="0"/>
        <w:spacing w:after="200" w:line="276" w:lineRule="auto"/>
        <w:contextualSpacing/>
        <w:jc w:val="both"/>
        <w:rPr>
          <w:rFonts w:cs="Arial"/>
          <w:color w:val="000000" w:themeColor="text1"/>
          <w:lang w:eastAsia="en-AU"/>
        </w:rPr>
      </w:pPr>
      <w:r w:rsidRPr="002A5342">
        <w:rPr>
          <w:rFonts w:cs="Arial"/>
          <w:color w:val="000000" w:themeColor="text1"/>
          <w:lang w:eastAsia="en-AU"/>
        </w:rPr>
        <w:t>Further information on Rates and Charges can be found in Section 6 Notes to financial statements within this document.</w:t>
      </w:r>
    </w:p>
    <w:p w:rsidR="002A5342" w:rsidRDefault="002A5342" w:rsidP="002A5342">
      <w:pPr>
        <w:jc w:val="both"/>
        <w:rPr>
          <w:lang w:val="en-US"/>
        </w:rPr>
      </w:pPr>
    </w:p>
    <w:p w:rsidR="002A5342" w:rsidRPr="009C1394" w:rsidRDefault="002A5342" w:rsidP="002A5342">
      <w:pPr>
        <w:spacing w:after="200" w:line="276" w:lineRule="auto"/>
        <w:contextualSpacing/>
        <w:rPr>
          <w:rFonts w:cs="Arial"/>
          <w:b/>
          <w:color w:val="297FD5" w:themeColor="accent3"/>
        </w:rPr>
      </w:pPr>
      <w:r w:rsidRPr="009C1394">
        <w:rPr>
          <w:rFonts w:cs="Arial"/>
          <w:b/>
          <w:color w:val="297FD5" w:themeColor="accent3"/>
        </w:rPr>
        <w:lastRenderedPageBreak/>
        <w:t>Waste Management - Recycling</w:t>
      </w:r>
    </w:p>
    <w:p w:rsidR="00AE4BED" w:rsidRPr="009C1394" w:rsidRDefault="00AE4BED" w:rsidP="00AE4BED">
      <w:pPr>
        <w:pStyle w:val="Bullet1"/>
        <w:numPr>
          <w:ilvl w:val="0"/>
          <w:numId w:val="0"/>
        </w:numPr>
        <w:tabs>
          <w:tab w:val="left" w:pos="720"/>
        </w:tabs>
        <w:spacing w:after="0"/>
        <w:jc w:val="both"/>
        <w:rPr>
          <w:color w:val="auto"/>
          <w:sz w:val="22"/>
          <w:szCs w:val="22"/>
        </w:rPr>
      </w:pPr>
      <w:r w:rsidRPr="009C1394">
        <w:rPr>
          <w:color w:val="auto"/>
          <w:sz w:val="22"/>
          <w:szCs w:val="22"/>
        </w:rPr>
        <w:t xml:space="preserve">Over the last 30 years, recycling has been considered a critical service experienced by all and one that should be an expected service. As documented in the past two years, the recycling industry has been through some challenging moments and events that are disrupters on a global scale. These challenging events are still foreseeable into the </w:t>
      </w:r>
      <w:proofErr w:type="gramStart"/>
      <w:r w:rsidRPr="009C1394">
        <w:rPr>
          <w:color w:val="auto"/>
          <w:sz w:val="22"/>
          <w:szCs w:val="22"/>
        </w:rPr>
        <w:t>future,</w:t>
      </w:r>
      <w:proofErr w:type="gramEnd"/>
      <w:r w:rsidRPr="009C1394">
        <w:rPr>
          <w:color w:val="auto"/>
          <w:sz w:val="22"/>
          <w:szCs w:val="22"/>
        </w:rPr>
        <w:t xml:space="preserve"> however, Maroondah will be working towards a pathway that results in an efficient and resilient recycling system. Maroondah will continue to work closely with the State and Federal Governments to make inroads in the recycling sector. On the 6 March 2020, the State Government issued a paper and Policy to </w:t>
      </w:r>
      <w:proofErr w:type="spellStart"/>
      <w:r w:rsidRPr="009C1394">
        <w:rPr>
          <w:color w:val="auto"/>
          <w:sz w:val="22"/>
          <w:szCs w:val="22"/>
        </w:rPr>
        <w:t>Tranform</w:t>
      </w:r>
      <w:proofErr w:type="spellEnd"/>
      <w:r w:rsidRPr="009C1394">
        <w:rPr>
          <w:color w:val="auto"/>
          <w:sz w:val="22"/>
          <w:szCs w:val="22"/>
        </w:rPr>
        <w:t xml:space="preserve"> Recycling in Victoria. It is a circular economy policy with a </w:t>
      </w:r>
      <w:proofErr w:type="gramStart"/>
      <w:r w:rsidRPr="009C1394">
        <w:rPr>
          <w:color w:val="auto"/>
          <w:sz w:val="22"/>
          <w:szCs w:val="22"/>
        </w:rPr>
        <w:t>10 year</w:t>
      </w:r>
      <w:proofErr w:type="gramEnd"/>
      <w:r w:rsidRPr="009C1394">
        <w:rPr>
          <w:color w:val="auto"/>
          <w:sz w:val="22"/>
          <w:szCs w:val="22"/>
        </w:rPr>
        <w:t xml:space="preserve"> action plan. The State Government will look to invest more than $300 million to help transform the recycling sector and reduce waste. Maroondah will look to align its </w:t>
      </w:r>
      <w:proofErr w:type="gramStart"/>
      <w:r w:rsidRPr="009C1394">
        <w:rPr>
          <w:color w:val="auto"/>
          <w:sz w:val="22"/>
          <w:szCs w:val="22"/>
        </w:rPr>
        <w:t>10 year</w:t>
      </w:r>
      <w:proofErr w:type="gramEnd"/>
      <w:r w:rsidRPr="009C1394">
        <w:rPr>
          <w:color w:val="auto"/>
          <w:sz w:val="22"/>
          <w:szCs w:val="22"/>
        </w:rPr>
        <w:t xml:space="preserve"> waste strategy, with the State Government Policy and pending funding announcements, will look to undertaken such initiatives.</w:t>
      </w:r>
    </w:p>
    <w:p w:rsidR="00AE4BED" w:rsidRPr="009C1394" w:rsidRDefault="00AE4BED" w:rsidP="00AE4BED">
      <w:pPr>
        <w:pStyle w:val="Bullet1"/>
        <w:numPr>
          <w:ilvl w:val="0"/>
          <w:numId w:val="0"/>
        </w:numPr>
        <w:tabs>
          <w:tab w:val="left" w:pos="720"/>
        </w:tabs>
        <w:spacing w:after="0"/>
        <w:jc w:val="both"/>
        <w:rPr>
          <w:color w:val="auto"/>
          <w:sz w:val="22"/>
          <w:szCs w:val="22"/>
        </w:rPr>
      </w:pPr>
    </w:p>
    <w:p w:rsidR="00AE4BED" w:rsidRPr="009C1394" w:rsidRDefault="00AE4BED" w:rsidP="00AE4BED">
      <w:pPr>
        <w:pStyle w:val="Bullet1"/>
        <w:numPr>
          <w:ilvl w:val="0"/>
          <w:numId w:val="0"/>
        </w:numPr>
        <w:tabs>
          <w:tab w:val="left" w:pos="720"/>
        </w:tabs>
        <w:spacing w:after="0"/>
        <w:jc w:val="both"/>
        <w:rPr>
          <w:color w:val="auto"/>
          <w:sz w:val="22"/>
          <w:szCs w:val="22"/>
        </w:rPr>
      </w:pPr>
      <w:r w:rsidRPr="009C1394">
        <w:rPr>
          <w:color w:val="auto"/>
          <w:sz w:val="22"/>
          <w:szCs w:val="22"/>
        </w:rPr>
        <w:t xml:space="preserve">Additionally, Maroondah has also had to manage its recycling processing during times of great uncertainty, however, </w:t>
      </w:r>
      <w:proofErr w:type="spellStart"/>
      <w:r w:rsidRPr="009C1394">
        <w:rPr>
          <w:color w:val="auto"/>
          <w:sz w:val="22"/>
          <w:szCs w:val="22"/>
        </w:rPr>
        <w:t>allthesame</w:t>
      </w:r>
      <w:proofErr w:type="spellEnd"/>
      <w:r w:rsidRPr="009C1394">
        <w:rPr>
          <w:color w:val="auto"/>
          <w:sz w:val="22"/>
          <w:szCs w:val="22"/>
        </w:rPr>
        <w:t>, ensure recycling lives strong in the municipality.</w:t>
      </w:r>
    </w:p>
    <w:p w:rsidR="00AE4BED" w:rsidRPr="009C1394" w:rsidRDefault="00AE4BED" w:rsidP="00AE4BED">
      <w:pPr>
        <w:spacing w:after="200" w:line="276" w:lineRule="auto"/>
        <w:contextualSpacing/>
        <w:jc w:val="both"/>
        <w:rPr>
          <w:rFonts w:cs="Arial"/>
          <w:b/>
        </w:rPr>
      </w:pPr>
    </w:p>
    <w:p w:rsidR="00AE4BED" w:rsidRPr="00AE4BED" w:rsidRDefault="00AE4BED" w:rsidP="00AE4BED">
      <w:pPr>
        <w:autoSpaceDE w:val="0"/>
        <w:autoSpaceDN w:val="0"/>
        <w:adjustRightInd w:val="0"/>
        <w:spacing w:after="200"/>
        <w:contextualSpacing/>
        <w:jc w:val="both"/>
        <w:rPr>
          <w:rFonts w:cs="Arial"/>
          <w:lang w:eastAsia="en-AU"/>
        </w:rPr>
      </w:pPr>
      <w:r w:rsidRPr="009C1394">
        <w:rPr>
          <w:rFonts w:cs="Arial"/>
          <w:lang w:eastAsia="en-AU"/>
        </w:rPr>
        <w:t xml:space="preserve">To ensure waste services and </w:t>
      </w:r>
      <w:proofErr w:type="gramStart"/>
      <w:r w:rsidRPr="009C1394">
        <w:rPr>
          <w:rFonts w:cs="Arial"/>
          <w:lang w:eastAsia="en-AU"/>
        </w:rPr>
        <w:t>in particular recycling</w:t>
      </w:r>
      <w:proofErr w:type="gramEnd"/>
      <w:r w:rsidRPr="009C1394">
        <w:rPr>
          <w:rFonts w:cs="Arial"/>
          <w:lang w:eastAsia="en-AU"/>
        </w:rPr>
        <w:t xml:space="preserve"> can continue, the charge for 2020/21, incorporating kerbside collection, green waste and recycling, will increase by just over 6% from the 2019/20 level. This increase in price, assists the municipality in maintaining its contractual relationship with its recycling contractor and ensure a reliable and environmentally friendly waste processing service is delivered.</w:t>
      </w:r>
    </w:p>
    <w:p w:rsidR="002A5342" w:rsidRDefault="002A5342" w:rsidP="002A5342">
      <w:pPr>
        <w:rPr>
          <w:rFonts w:eastAsiaTheme="minorHAnsi" w:cs="Arial"/>
          <w:highlight w:val="yellow"/>
          <w:lang w:val="en-US"/>
        </w:rPr>
      </w:pPr>
    </w:p>
    <w:p w:rsidR="002A5342" w:rsidRDefault="002A5342" w:rsidP="002A5342">
      <w:pPr>
        <w:spacing w:after="200" w:line="276" w:lineRule="auto"/>
        <w:contextualSpacing/>
        <w:rPr>
          <w:rFonts w:cs="Arial"/>
          <w:b/>
          <w:color w:val="1E5E9F" w:themeColor="accent3" w:themeShade="BF"/>
        </w:rPr>
      </w:pPr>
      <w:r w:rsidRPr="009C1394">
        <w:rPr>
          <w:rFonts w:cs="Arial"/>
          <w:b/>
          <w:color w:val="1E5E9F" w:themeColor="accent3" w:themeShade="BF"/>
        </w:rPr>
        <w:t>Other Challenges</w:t>
      </w:r>
    </w:p>
    <w:p w:rsidR="002A5342" w:rsidRPr="00A20B47" w:rsidRDefault="002A5342" w:rsidP="002A5342">
      <w:pPr>
        <w:rPr>
          <w:rFonts w:eastAsiaTheme="minorHAnsi" w:cs="Arial"/>
          <w:lang w:val="en-US"/>
        </w:rPr>
      </w:pPr>
    </w:p>
    <w:p w:rsidR="009C1394" w:rsidRPr="00A20B47" w:rsidRDefault="009C1394" w:rsidP="006011BA">
      <w:pPr>
        <w:jc w:val="both"/>
        <w:rPr>
          <w:rFonts w:eastAsiaTheme="minorHAnsi" w:cs="Arial"/>
          <w:lang w:val="en-US"/>
        </w:rPr>
      </w:pPr>
      <w:r w:rsidRPr="00A629E8">
        <w:rPr>
          <w:rFonts w:eastAsiaTheme="minorHAnsi" w:cs="Arial"/>
          <w:lang w:val="en-US"/>
        </w:rPr>
        <w:t>In addition to the COVID-19 pandemic impacts on the proposed 2020/21 Budget, the Victorian Government cap on rates and the waste management challenges, Maroondah also faces a range of other challenges, which include:</w:t>
      </w:r>
    </w:p>
    <w:p w:rsidR="002A5342" w:rsidRPr="00A20B47" w:rsidRDefault="002A5342" w:rsidP="002A5342">
      <w:pPr>
        <w:rPr>
          <w:rFonts w:eastAsiaTheme="minorHAnsi" w:cs="Arial"/>
          <w:lang w:val="en-US"/>
        </w:rPr>
      </w:pPr>
    </w:p>
    <w:p w:rsidR="009446AC" w:rsidRPr="00A20B47" w:rsidRDefault="009446AC" w:rsidP="009446AC">
      <w:pPr>
        <w:numPr>
          <w:ilvl w:val="0"/>
          <w:numId w:val="4"/>
        </w:numPr>
        <w:pBdr>
          <w:top w:val="nil"/>
          <w:left w:val="nil"/>
          <w:bottom w:val="nil"/>
          <w:right w:val="nil"/>
          <w:between w:val="nil"/>
          <w:bar w:val="nil"/>
        </w:pBdr>
        <w:spacing w:after="200" w:line="276" w:lineRule="auto"/>
        <w:jc w:val="both"/>
        <w:rPr>
          <w:lang w:val="en-US"/>
        </w:rPr>
      </w:pPr>
      <w:r w:rsidRPr="00A20B47">
        <w:rPr>
          <w:lang w:val="en-US"/>
        </w:rPr>
        <w:t>Funding the renewal of infrastructure and community assets</w:t>
      </w:r>
      <w:r>
        <w:rPr>
          <w:lang w:val="en-US"/>
        </w:rPr>
        <w:t xml:space="preserve"> in a COVID19 envi</w:t>
      </w:r>
      <w:r w:rsidR="007D6756">
        <w:rPr>
          <w:lang w:val="en-US"/>
        </w:rPr>
        <w:t>r</w:t>
      </w:r>
      <w:r>
        <w:rPr>
          <w:lang w:val="en-US"/>
        </w:rPr>
        <w:t>onment</w:t>
      </w:r>
      <w:r w:rsidRPr="00A20B47">
        <w:rPr>
          <w:lang w:val="en-US"/>
        </w:rPr>
        <w:t>;</w:t>
      </w:r>
    </w:p>
    <w:p w:rsidR="009446AC" w:rsidRPr="00A20B47" w:rsidRDefault="009446AC" w:rsidP="009446AC">
      <w:pPr>
        <w:numPr>
          <w:ilvl w:val="0"/>
          <w:numId w:val="4"/>
        </w:numPr>
        <w:pBdr>
          <w:top w:val="nil"/>
          <w:left w:val="nil"/>
          <w:bottom w:val="nil"/>
          <w:right w:val="nil"/>
          <w:between w:val="nil"/>
          <w:bar w:val="nil"/>
        </w:pBdr>
        <w:spacing w:after="200" w:line="276" w:lineRule="auto"/>
        <w:jc w:val="both"/>
        <w:rPr>
          <w:lang w:val="en-US"/>
        </w:rPr>
      </w:pPr>
      <w:r>
        <w:rPr>
          <w:lang w:val="en-US"/>
        </w:rPr>
        <w:t>Cost shifting from other levels of g</w:t>
      </w:r>
      <w:r w:rsidRPr="00A20B47">
        <w:rPr>
          <w:lang w:val="en-US"/>
        </w:rPr>
        <w:t>overnment;</w:t>
      </w:r>
    </w:p>
    <w:p w:rsidR="009446AC" w:rsidRPr="00A20B47" w:rsidRDefault="009446AC" w:rsidP="009446AC">
      <w:pPr>
        <w:numPr>
          <w:ilvl w:val="0"/>
          <w:numId w:val="4"/>
        </w:numPr>
        <w:pBdr>
          <w:top w:val="nil"/>
          <w:left w:val="nil"/>
          <w:bottom w:val="nil"/>
          <w:right w:val="nil"/>
          <w:between w:val="nil"/>
          <w:bar w:val="nil"/>
        </w:pBdr>
        <w:spacing w:after="200" w:line="276" w:lineRule="auto"/>
        <w:jc w:val="both"/>
        <w:rPr>
          <w:lang w:val="en-US"/>
        </w:rPr>
      </w:pPr>
      <w:r w:rsidRPr="00A20B47">
        <w:rPr>
          <w:lang w:val="en-US"/>
        </w:rPr>
        <w:t>Technology and Opportunity - complex environments amongst emerging technologies; and</w:t>
      </w:r>
    </w:p>
    <w:p w:rsidR="009446AC" w:rsidRPr="00A20B47" w:rsidRDefault="009446AC" w:rsidP="009446AC">
      <w:pPr>
        <w:numPr>
          <w:ilvl w:val="0"/>
          <w:numId w:val="4"/>
        </w:numPr>
        <w:pBdr>
          <w:top w:val="nil"/>
          <w:left w:val="nil"/>
          <w:bottom w:val="nil"/>
          <w:right w:val="nil"/>
          <w:between w:val="nil"/>
          <w:bar w:val="nil"/>
        </w:pBdr>
        <w:spacing w:after="200" w:line="276" w:lineRule="auto"/>
        <w:jc w:val="both"/>
        <w:rPr>
          <w:lang w:val="en-US"/>
        </w:rPr>
      </w:pPr>
      <w:r w:rsidRPr="00A20B47">
        <w:rPr>
          <w:lang w:val="en-US"/>
        </w:rPr>
        <w:t>Funding expectations of enhanced service provision.</w:t>
      </w:r>
    </w:p>
    <w:p w:rsidR="00CF7E5E" w:rsidRDefault="00595591" w:rsidP="006B3AF2">
      <w:pPr>
        <w:jc w:val="both"/>
        <w:rPr>
          <w:rFonts w:eastAsia="Times New Roman" w:cs="Arial"/>
        </w:rPr>
      </w:pPr>
      <w:r w:rsidRPr="00370D46">
        <w:rPr>
          <w:rFonts w:eastAsia="Times New Roman" w:cs="Arial"/>
        </w:rPr>
        <w:t xml:space="preserve">This Proposed Budget has been developed at a difficult time in the history of the Maroondah community, however it has been set using a rigorous process of consultation and review and Council </w:t>
      </w:r>
      <w:r w:rsidRPr="0044717E">
        <w:rPr>
          <w:rFonts w:eastAsia="Times New Roman" w:cs="Arial"/>
        </w:rPr>
        <w:t xml:space="preserve">endorses it as a balanced, sustainable and responsible platform to ensure enhanced services, protection of Council’s $1.91 billion in net assets, the delivery of $85.5 million extensive capital projects, </w:t>
      </w:r>
      <w:r w:rsidRPr="007703AB">
        <w:rPr>
          <w:rFonts w:eastAsia="Times New Roman" w:cs="Arial"/>
        </w:rPr>
        <w:t>a</w:t>
      </w:r>
      <w:r w:rsidR="007703AB" w:rsidRPr="007703AB">
        <w:rPr>
          <w:rFonts w:eastAsia="Times New Roman" w:cs="Arial"/>
        </w:rPr>
        <w:t xml:space="preserve">n underlying </w:t>
      </w:r>
      <w:r w:rsidRPr="007703AB">
        <w:rPr>
          <w:rFonts w:eastAsia="Times New Roman" w:cs="Arial"/>
        </w:rPr>
        <w:t>surplus of $</w:t>
      </w:r>
      <w:r w:rsidR="006B6A83">
        <w:rPr>
          <w:rFonts w:eastAsia="Times New Roman" w:cs="Arial"/>
        </w:rPr>
        <w:t>1.3 million excluding extraordinary items</w:t>
      </w:r>
      <w:r w:rsidRPr="007703AB">
        <w:rPr>
          <w:rFonts w:eastAsia="Times New Roman" w:cs="Arial"/>
        </w:rPr>
        <w:t>, and a financially prudent future for our community</w:t>
      </w:r>
      <w:r w:rsidR="006B6A83">
        <w:rPr>
          <w:rFonts w:eastAsia="Times New Roman" w:cs="Arial"/>
        </w:rPr>
        <w:t>.</w:t>
      </w:r>
    </w:p>
    <w:p w:rsidR="00787485" w:rsidRDefault="00787485" w:rsidP="00787485">
      <w:pPr>
        <w:spacing w:after="200" w:line="276" w:lineRule="auto"/>
        <w:ind w:left="720"/>
        <w:contextualSpacing/>
        <w:jc w:val="both"/>
        <w:rPr>
          <w:rFonts w:cs="Arial"/>
        </w:rPr>
      </w:pPr>
    </w:p>
    <w:p w:rsidR="00E4145D" w:rsidRPr="00787485" w:rsidRDefault="00E4145D" w:rsidP="00787485">
      <w:pPr>
        <w:spacing w:after="200" w:line="276" w:lineRule="auto"/>
        <w:ind w:left="720"/>
        <w:contextualSpacing/>
        <w:jc w:val="both"/>
        <w:rPr>
          <w:rFonts w:cs="Arial"/>
        </w:rPr>
      </w:pPr>
    </w:p>
    <w:p w:rsidR="00537904" w:rsidRPr="00787485" w:rsidRDefault="000F1C48" w:rsidP="00D71CD8">
      <w:pPr>
        <w:ind w:left="1440" w:hanging="1440"/>
        <w:jc w:val="both"/>
        <w:rPr>
          <w:rFonts w:ascii="Book Antiqua" w:eastAsia="Times New Roman" w:hAnsi="Book Antiqua"/>
          <w:szCs w:val="20"/>
          <w:highlight w:val="green"/>
        </w:rPr>
      </w:pPr>
      <w:r>
        <w:rPr>
          <w:noProof/>
        </w:rPr>
        <w:drawing>
          <wp:inline distT="0" distB="0" distL="0" distR="0" wp14:anchorId="7F12A8CF" wp14:editId="5E24615C">
            <wp:extent cx="1543050" cy="771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771525"/>
                    </a:xfrm>
                    <a:prstGeom prst="rect">
                      <a:avLst/>
                    </a:prstGeom>
                    <a:noFill/>
                    <a:ln>
                      <a:noFill/>
                    </a:ln>
                  </pic:spPr>
                </pic:pic>
              </a:graphicData>
            </a:graphic>
          </wp:inline>
        </w:drawing>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787485">
        <w:rPr>
          <w:rFonts w:ascii="Book Antiqua" w:eastAsia="Times New Roman" w:hAnsi="Book Antiqua"/>
          <w:noProof/>
          <w:szCs w:val="20"/>
          <w:lang w:eastAsia="en-AU"/>
        </w:rPr>
        <w:drawing>
          <wp:inline distT="0" distB="0" distL="0" distR="0" wp14:anchorId="1DA83250" wp14:editId="589EE6D3">
            <wp:extent cx="1543050" cy="800100"/>
            <wp:effectExtent l="0" t="0" r="0" b="0"/>
            <wp:docPr id="20" name="Picture 1" descr="C:\Users\asomers\AppData\Local\Temp\notesA8699B\SKoz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mers\AppData\Local\Temp\notesA8699B\SKozlows.jpg"/>
                    <pic:cNvPicPr>
                      <a:picLocks noChangeAspect="1" noChangeArrowheads="1"/>
                    </pic:cNvPicPr>
                  </pic:nvPicPr>
                  <pic:blipFill>
                    <a:blip r:embed="rId11"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p w:rsidR="00537904" w:rsidRPr="00787485" w:rsidRDefault="00537904" w:rsidP="00537904">
      <w:pPr>
        <w:jc w:val="both"/>
        <w:rPr>
          <w:rFonts w:eastAsia="Times New Roman" w:cs="Arial"/>
          <w:sz w:val="20"/>
          <w:szCs w:val="20"/>
          <w:highlight w:val="green"/>
          <w:lang w:eastAsia="en-AU"/>
        </w:rPr>
      </w:pPr>
    </w:p>
    <w:p w:rsidR="00537904" w:rsidRPr="00787485" w:rsidRDefault="00537904" w:rsidP="00537904">
      <w:pPr>
        <w:pBdr>
          <w:top w:val="nil"/>
          <w:left w:val="nil"/>
          <w:bottom w:val="nil"/>
          <w:right w:val="nil"/>
          <w:between w:val="nil"/>
          <w:bar w:val="nil"/>
        </w:pBdr>
        <w:jc w:val="both"/>
        <w:rPr>
          <w:rFonts w:eastAsia="Arial" w:cs="Arial"/>
          <w:b/>
          <w:bCs/>
          <w:color w:val="000000"/>
          <w:sz w:val="20"/>
          <w:szCs w:val="20"/>
          <w:u w:color="000000"/>
          <w:bdr w:val="nil"/>
          <w:lang w:val="en-US" w:eastAsia="en-AU"/>
        </w:rPr>
      </w:pPr>
      <w:r>
        <w:rPr>
          <w:rFonts w:eastAsia="Arial Unicode MS" w:cs="Arial Unicode MS"/>
          <w:b/>
          <w:bCs/>
          <w:color w:val="000000"/>
          <w:sz w:val="20"/>
          <w:szCs w:val="20"/>
          <w:u w:color="000000"/>
          <w:bdr w:val="nil"/>
          <w:lang w:val="de-DE" w:eastAsia="en-AU"/>
        </w:rPr>
        <w:t xml:space="preserve">Cr </w:t>
      </w:r>
      <w:r w:rsidR="000F1C48">
        <w:rPr>
          <w:rFonts w:eastAsia="Arial Unicode MS" w:cs="Arial Unicode MS"/>
          <w:b/>
          <w:bCs/>
          <w:color w:val="000000"/>
          <w:sz w:val="20"/>
          <w:szCs w:val="20"/>
          <w:u w:color="000000"/>
          <w:bdr w:val="nil"/>
          <w:lang w:val="de-DE" w:eastAsia="en-AU"/>
        </w:rPr>
        <w:t>Mike Symon</w:t>
      </w:r>
      <w:r w:rsidR="00586198">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0F1C48">
        <w:rPr>
          <w:rFonts w:eastAsia="Arial Unicode MS" w:cs="Arial Unicode MS"/>
          <w:b/>
          <w:bCs/>
          <w:color w:val="000000"/>
          <w:sz w:val="20"/>
          <w:szCs w:val="20"/>
          <w:u w:color="000000"/>
          <w:bdr w:val="nil"/>
          <w:lang w:val="de-DE" w:eastAsia="en-AU"/>
        </w:rPr>
        <w:tab/>
      </w:r>
      <w:r>
        <w:rPr>
          <w:rFonts w:eastAsia="Arial Unicode MS" w:cs="Arial Unicode MS"/>
          <w:b/>
          <w:bCs/>
          <w:color w:val="000000"/>
          <w:sz w:val="20"/>
          <w:szCs w:val="20"/>
          <w:u w:color="000000"/>
          <w:bdr w:val="nil"/>
          <w:lang w:val="de-DE" w:eastAsia="en-AU"/>
        </w:rPr>
        <w:t xml:space="preserve"> </w:t>
      </w:r>
      <w:r w:rsidRPr="00787485">
        <w:rPr>
          <w:rFonts w:eastAsia="Arial Unicode MS" w:cs="Arial Unicode MS"/>
          <w:b/>
          <w:bCs/>
          <w:color w:val="000000"/>
          <w:sz w:val="20"/>
          <w:szCs w:val="20"/>
          <w:u w:color="000000"/>
          <w:bdr w:val="nil"/>
          <w:lang w:val="de-DE" w:eastAsia="en-AU"/>
        </w:rPr>
        <w:t>Mr Ste</w:t>
      </w:r>
      <w:proofErr w:type="spellStart"/>
      <w:r w:rsidRPr="00787485">
        <w:rPr>
          <w:rFonts w:eastAsia="Arial Unicode MS" w:cs="Arial Unicode MS"/>
          <w:b/>
          <w:bCs/>
          <w:color w:val="000000"/>
          <w:sz w:val="20"/>
          <w:szCs w:val="20"/>
          <w:u w:color="000000"/>
          <w:bdr w:val="nil"/>
          <w:lang w:val="en-US" w:eastAsia="en-AU"/>
        </w:rPr>
        <w:t>ve</w:t>
      </w:r>
      <w:proofErr w:type="spellEnd"/>
      <w:r w:rsidRPr="00787485">
        <w:rPr>
          <w:rFonts w:eastAsia="Arial Unicode MS" w:cs="Arial Unicode MS"/>
          <w:b/>
          <w:bCs/>
          <w:color w:val="000000"/>
          <w:sz w:val="20"/>
          <w:szCs w:val="20"/>
          <w:u w:color="000000"/>
          <w:bdr w:val="nil"/>
          <w:lang w:val="en-US" w:eastAsia="en-AU"/>
        </w:rPr>
        <w:t xml:space="preserve"> Kozlowski</w:t>
      </w:r>
    </w:p>
    <w:p w:rsidR="00787485" w:rsidRPr="00537904" w:rsidRDefault="00537904" w:rsidP="00EC31DC">
      <w:pPr>
        <w:pBdr>
          <w:top w:val="nil"/>
          <w:left w:val="nil"/>
          <w:bottom w:val="nil"/>
          <w:right w:val="nil"/>
          <w:between w:val="nil"/>
          <w:bar w:val="nil"/>
        </w:pBdr>
        <w:tabs>
          <w:tab w:val="left" w:pos="720"/>
          <w:tab w:val="left" w:pos="1440"/>
          <w:tab w:val="left" w:pos="2160"/>
          <w:tab w:val="left" w:pos="2880"/>
          <w:tab w:val="left" w:pos="3600"/>
          <w:tab w:val="left" w:pos="4320"/>
          <w:tab w:val="left" w:pos="5529"/>
        </w:tabs>
        <w:jc w:val="both"/>
        <w:rPr>
          <w:rFonts w:eastAsia="Arial" w:cs="Arial"/>
          <w:b/>
          <w:bCs/>
          <w:color w:val="000000"/>
          <w:sz w:val="20"/>
          <w:szCs w:val="20"/>
          <w:u w:color="000000"/>
          <w:bdr w:val="nil"/>
          <w:lang w:val="en-US" w:eastAsia="en-AU"/>
        </w:rPr>
      </w:pPr>
      <w:r>
        <w:rPr>
          <w:rFonts w:cs="Arial"/>
          <w:b/>
        </w:rPr>
        <w:t>Mayor</w:t>
      </w:r>
      <w:r>
        <w:rPr>
          <w:rFonts w:cs="Arial"/>
          <w:b/>
        </w:rPr>
        <w:tab/>
      </w:r>
      <w:r>
        <w:rPr>
          <w:rFonts w:cs="Arial"/>
          <w:b/>
        </w:rPr>
        <w:tab/>
      </w:r>
      <w:r>
        <w:rPr>
          <w:rFonts w:cs="Arial"/>
          <w:b/>
        </w:rPr>
        <w:tab/>
      </w:r>
      <w:r w:rsidR="007E65C7">
        <w:rPr>
          <w:rFonts w:cs="Arial"/>
          <w:b/>
        </w:rPr>
        <w:tab/>
      </w:r>
      <w:r>
        <w:rPr>
          <w:rFonts w:cs="Arial"/>
          <w:b/>
        </w:rPr>
        <w:tab/>
      </w:r>
      <w:r>
        <w:rPr>
          <w:rFonts w:cs="Arial"/>
          <w:b/>
        </w:rPr>
        <w:tab/>
      </w:r>
      <w:r>
        <w:rPr>
          <w:rFonts w:cs="Arial"/>
          <w:b/>
        </w:rPr>
        <w:tab/>
      </w:r>
      <w:r w:rsidR="000F1C48">
        <w:rPr>
          <w:rFonts w:cs="Arial"/>
          <w:b/>
        </w:rPr>
        <w:tab/>
      </w:r>
      <w:r w:rsidR="00EC31DC">
        <w:rPr>
          <w:rFonts w:cs="Arial"/>
          <w:b/>
        </w:rPr>
        <w:t xml:space="preserve"> </w:t>
      </w:r>
      <w:r w:rsidRPr="00AA0ACD">
        <w:rPr>
          <w:rFonts w:cs="Arial"/>
          <w:b/>
        </w:rPr>
        <w:t>Chief Executive Officer</w:t>
      </w:r>
      <w:r>
        <w:rPr>
          <w:rFonts w:cs="Arial"/>
          <w:b/>
        </w:rPr>
        <w:tab/>
      </w:r>
      <w:r>
        <w:rPr>
          <w:rFonts w:cs="Arial"/>
          <w:b/>
        </w:rPr>
        <w:tab/>
        <w:t xml:space="preserve">           </w:t>
      </w:r>
    </w:p>
    <w:p w:rsidR="00787485" w:rsidRPr="00787485" w:rsidRDefault="00787485" w:rsidP="00787485">
      <w:pPr>
        <w:jc w:val="both"/>
        <w:rPr>
          <w:rFonts w:eastAsia="Times New Roman" w:cs="Arial"/>
          <w:sz w:val="20"/>
          <w:szCs w:val="20"/>
          <w:highlight w:val="green"/>
          <w:lang w:eastAsia="en-AU"/>
        </w:rPr>
      </w:pPr>
    </w:p>
    <w:p w:rsidR="006122B0" w:rsidRPr="00AA0ACD" w:rsidRDefault="006122B0">
      <w:pPr>
        <w:rPr>
          <w:rFonts w:eastAsiaTheme="majorEastAsia" w:cstheme="majorBidi"/>
          <w:b/>
          <w:bCs/>
          <w:color w:val="3476B1" w:themeColor="accent2" w:themeShade="BF"/>
          <w:kern w:val="32"/>
          <w:sz w:val="40"/>
          <w:szCs w:val="40"/>
        </w:rPr>
      </w:pPr>
      <w:r w:rsidRPr="00AA0ACD">
        <w:rPr>
          <w:rFonts w:eastAsiaTheme="majorEastAsia" w:cstheme="majorBidi"/>
          <w:b/>
          <w:bCs/>
          <w:color w:val="3476B1" w:themeColor="accent2" w:themeShade="BF"/>
          <w:kern w:val="32"/>
          <w:sz w:val="40"/>
          <w:szCs w:val="40"/>
        </w:rPr>
        <w:br w:type="page"/>
      </w:r>
    </w:p>
    <w:p w:rsidR="004B2040" w:rsidRPr="0078676E" w:rsidRDefault="004B2040" w:rsidP="00DD6BC5">
      <w:pPr>
        <w:pStyle w:val="Heading2"/>
        <w:numPr>
          <w:ilvl w:val="0"/>
          <w:numId w:val="36"/>
        </w:numPr>
        <w:ind w:hanging="644"/>
        <w:rPr>
          <w:color w:val="297FD5" w:themeColor="accent3"/>
          <w:lang w:eastAsia="en-AU"/>
        </w:rPr>
      </w:pPr>
      <w:bookmarkStart w:id="2" w:name="_Toc4056350"/>
      <w:r w:rsidRPr="0078676E">
        <w:rPr>
          <w:color w:val="297FD5" w:themeColor="accent3"/>
          <w:lang w:eastAsia="en-AU"/>
        </w:rPr>
        <w:lastRenderedPageBreak/>
        <w:t>Link to the Council Plan</w:t>
      </w:r>
      <w:bookmarkEnd w:id="2"/>
    </w:p>
    <w:p w:rsidR="004B2040" w:rsidRPr="00242D2A" w:rsidRDefault="004B2040" w:rsidP="004B2040">
      <w:pPr>
        <w:rPr>
          <w:rFonts w:cs="Arial"/>
        </w:rPr>
      </w:pPr>
    </w:p>
    <w:p w:rsidR="00E75BE8" w:rsidRDefault="00D07033" w:rsidP="00D433FC">
      <w:pPr>
        <w:jc w:val="both"/>
        <w:rPr>
          <w:rFonts w:cs="Arial"/>
          <w:color w:val="000000" w:themeColor="text1"/>
          <w:lang w:eastAsia="en-AU"/>
        </w:rPr>
      </w:pPr>
      <w:r w:rsidRPr="00D07033">
        <w:rPr>
          <w:rFonts w:cs="Arial"/>
          <w:color w:val="000000" w:themeColor="text1"/>
          <w:lang w:eastAsia="en-AU"/>
        </w:rPr>
        <w:t>This section describes how the Annual Budget links to the achievement of the Council Plan as part of Council’s Integrated Planning Framework. This Framework guides the Council in identifying community needs and aspirations over the long term (Maroondah 2040 Community Vision), medium term (Council Plan 2017-2021) and short term (Service Delivery Plans and Annual Budget) and then holding itself accountable (Annual Report and Audited Statements).</w:t>
      </w:r>
    </w:p>
    <w:p w:rsidR="00D07033" w:rsidRDefault="00D07033" w:rsidP="004B2040">
      <w:pPr>
        <w:rPr>
          <w:rFonts w:cs="Arial"/>
          <w:color w:val="000000" w:themeColor="text1"/>
          <w:lang w:eastAsia="en-AU"/>
        </w:rPr>
      </w:pPr>
    </w:p>
    <w:p w:rsidR="004B2040" w:rsidRPr="002E5F06" w:rsidRDefault="00DD6BC5" w:rsidP="00DD6BC5">
      <w:pPr>
        <w:pStyle w:val="Heading3"/>
      </w:pPr>
      <w:bookmarkStart w:id="3" w:name="_Toc481072370"/>
      <w:bookmarkStart w:id="4" w:name="_Toc481072859"/>
      <w:bookmarkStart w:id="5" w:name="_Toc481077397"/>
      <w:bookmarkStart w:id="6" w:name="_Toc481483632"/>
      <w:bookmarkStart w:id="7" w:name="_Toc508984171"/>
      <w:bookmarkStart w:id="8" w:name="_Toc4056351"/>
      <w:r>
        <w:t xml:space="preserve">1.1 </w:t>
      </w:r>
      <w:r w:rsidR="004B2040" w:rsidRPr="0078676E">
        <w:t>Council Planning and Performance Framework</w:t>
      </w:r>
      <w:bookmarkEnd w:id="3"/>
      <w:bookmarkEnd w:id="4"/>
      <w:bookmarkEnd w:id="5"/>
      <w:bookmarkEnd w:id="6"/>
      <w:bookmarkEnd w:id="7"/>
      <w:bookmarkEnd w:id="8"/>
      <w:r>
        <w:t xml:space="preserve"> </w:t>
      </w:r>
    </w:p>
    <w:p w:rsidR="004B2040" w:rsidRPr="00212BD7" w:rsidRDefault="004B2040" w:rsidP="004B2040">
      <w:pPr>
        <w:rPr>
          <w:rFonts w:cs="Arial"/>
          <w:color w:val="FF0000"/>
          <w:sz w:val="20"/>
        </w:rPr>
      </w:pPr>
    </w:p>
    <w:p w:rsidR="004B2040" w:rsidRDefault="00AA254D" w:rsidP="004B2040">
      <w:pPr>
        <w:pStyle w:val="NoSpacing"/>
        <w:jc w:val="both"/>
        <w:rPr>
          <w:rFonts w:cs="Arial"/>
        </w:rPr>
      </w:pPr>
      <w:r w:rsidRPr="005440C0">
        <w:rPr>
          <w:color w:val="000000"/>
        </w:rPr>
        <w:t xml:space="preserve">Council’s </w:t>
      </w:r>
      <w:r w:rsidRPr="005440C0">
        <w:t>strategic documents are linked to an Integrated Planning Framework.</w:t>
      </w:r>
      <w:r w:rsidRPr="005440C0">
        <w:rPr>
          <w:rFonts w:cs="Arial"/>
        </w:rPr>
        <w:t xml:space="preserve"> Council’s Integrated Planning Framework </w:t>
      </w:r>
      <w:r>
        <w:rPr>
          <w:rFonts w:cs="Arial"/>
        </w:rPr>
        <w:t xml:space="preserve">seeks to </w:t>
      </w:r>
      <w:r w:rsidRPr="005440C0">
        <w:rPr>
          <w:rFonts w:cs="Arial"/>
        </w:rPr>
        <w:t xml:space="preserve">ensure Council’s activities and financial resources are aligned </w:t>
      </w:r>
      <w:proofErr w:type="gramStart"/>
      <w:r w:rsidRPr="005440C0">
        <w:rPr>
          <w:rFonts w:cs="Arial"/>
        </w:rPr>
        <w:t>in order to</w:t>
      </w:r>
      <w:proofErr w:type="gramEnd"/>
      <w:r w:rsidRPr="005440C0">
        <w:rPr>
          <w:rFonts w:cs="Arial"/>
        </w:rPr>
        <w:t xml:space="preserve"> meet the aspirations, needs and expectations of the Maroondah community. The framework ensures a clear linkage between community needs and aspirations, vision, strategies, policies and </w:t>
      </w:r>
      <w:r>
        <w:rPr>
          <w:rFonts w:cs="Arial"/>
        </w:rPr>
        <w:t>service delivery</w:t>
      </w:r>
      <w:r w:rsidRPr="005440C0">
        <w:rPr>
          <w:rFonts w:cs="Arial"/>
        </w:rPr>
        <w:t xml:space="preserve"> of Council.</w:t>
      </w:r>
    </w:p>
    <w:p w:rsidR="00AA254D" w:rsidRPr="0040730C" w:rsidRDefault="00AA254D" w:rsidP="004B2040">
      <w:pPr>
        <w:pStyle w:val="NoSpacing"/>
        <w:jc w:val="both"/>
        <w:rPr>
          <w:rFonts w:cs="Arial"/>
        </w:rPr>
      </w:pPr>
    </w:p>
    <w:p w:rsidR="004B2040" w:rsidRDefault="004B2040" w:rsidP="004B2040">
      <w:pPr>
        <w:pStyle w:val="NoSpacing"/>
        <w:rPr>
          <w:rFonts w:cs="Arial"/>
        </w:rPr>
      </w:pPr>
    </w:p>
    <w:p w:rsidR="004B2040" w:rsidRDefault="008101FF" w:rsidP="00E14A26">
      <w:pPr>
        <w:pStyle w:val="NoSpacing"/>
        <w:jc w:val="center"/>
        <w:rPr>
          <w:rFonts w:cs="Arial"/>
          <w:i/>
        </w:rPr>
      </w:pPr>
      <w:r>
        <w:rPr>
          <w:rFonts w:cs="Arial"/>
          <w:noProof/>
          <w:lang w:eastAsia="en-AU"/>
        </w:rPr>
        <w:drawing>
          <wp:inline distT="0" distB="0" distL="0" distR="0" wp14:anchorId="630A1C98" wp14:editId="15F7DB4C">
            <wp:extent cx="5724155" cy="6181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tedPlanningFramework_January2017.png"/>
                    <pic:cNvPicPr/>
                  </pic:nvPicPr>
                  <pic:blipFill>
                    <a:blip r:embed="rId12">
                      <a:extLst>
                        <a:ext uri="{28A0092B-C50C-407E-A947-70E740481C1C}">
                          <a14:useLocalDpi xmlns:a14="http://schemas.microsoft.com/office/drawing/2010/main" val="0"/>
                        </a:ext>
                      </a:extLst>
                    </a:blip>
                    <a:stretch>
                      <a:fillRect/>
                    </a:stretch>
                  </pic:blipFill>
                  <pic:spPr>
                    <a:xfrm>
                      <a:off x="0" y="0"/>
                      <a:ext cx="5724155" cy="6181356"/>
                    </a:xfrm>
                    <a:prstGeom prst="rect">
                      <a:avLst/>
                    </a:prstGeom>
                  </pic:spPr>
                </pic:pic>
              </a:graphicData>
            </a:graphic>
          </wp:inline>
        </w:drawing>
      </w:r>
    </w:p>
    <w:p w:rsidR="004B2040" w:rsidRDefault="00E14A26" w:rsidP="00AA11F6">
      <w:pPr>
        <w:pStyle w:val="NoSpacing"/>
        <w:jc w:val="center"/>
        <w:rPr>
          <w:rFonts w:cs="Arial"/>
          <w:i/>
        </w:rPr>
      </w:pPr>
      <w:r>
        <w:rPr>
          <w:rFonts w:cs="Arial"/>
          <w:i/>
        </w:rPr>
        <w:t>F</w:t>
      </w:r>
      <w:r w:rsidR="004B2040" w:rsidRPr="00264CC6">
        <w:rPr>
          <w:rFonts w:cs="Arial"/>
          <w:i/>
        </w:rPr>
        <w:t>igure 1: Maroondah City Council’s Integrated Planning Framework</w:t>
      </w:r>
    </w:p>
    <w:p w:rsidR="00715DFC" w:rsidRDefault="00715DFC" w:rsidP="00AA11F6">
      <w:pPr>
        <w:pStyle w:val="NoSpacing"/>
        <w:jc w:val="center"/>
        <w:rPr>
          <w:rFonts w:cs="Arial"/>
        </w:rPr>
      </w:pPr>
    </w:p>
    <w:p w:rsidR="0077715C" w:rsidRPr="005440C0" w:rsidRDefault="0077715C" w:rsidP="0077715C">
      <w:pPr>
        <w:jc w:val="both"/>
        <w:rPr>
          <w:rFonts w:cs="Arial"/>
        </w:rPr>
      </w:pPr>
      <w:r w:rsidRPr="005440C0">
        <w:rPr>
          <w:rFonts w:cs="Arial"/>
        </w:rPr>
        <w:lastRenderedPageBreak/>
        <w:t xml:space="preserve">This framework is underpinned by the shared </w:t>
      </w:r>
      <w:proofErr w:type="gramStart"/>
      <w:r w:rsidRPr="005440C0">
        <w:rPr>
          <w:rFonts w:cs="Arial"/>
        </w:rPr>
        <w:t>long</w:t>
      </w:r>
      <w:r>
        <w:rPr>
          <w:rFonts w:cs="Arial"/>
        </w:rPr>
        <w:t xml:space="preserve"> </w:t>
      </w:r>
      <w:r w:rsidRPr="005440C0">
        <w:rPr>
          <w:rFonts w:cs="Arial"/>
        </w:rPr>
        <w:t>term</w:t>
      </w:r>
      <w:proofErr w:type="gramEnd"/>
      <w:r w:rsidRPr="005440C0">
        <w:rPr>
          <w:rFonts w:cs="Arial"/>
        </w:rPr>
        <w:t xml:space="preserve"> community vision outlined in </w:t>
      </w:r>
      <w:r w:rsidRPr="00707484">
        <w:rPr>
          <w:rFonts w:cs="Arial"/>
          <w:i/>
        </w:rPr>
        <w:t>Maroondah 2040: Our Future Together</w:t>
      </w:r>
      <w:r w:rsidRPr="005440C0">
        <w:rPr>
          <w:rFonts w:cs="Arial"/>
        </w:rPr>
        <w:t xml:space="preserve">, which was developed and then adopted in 2014 in conjunction with the community. </w:t>
      </w:r>
    </w:p>
    <w:p w:rsidR="0077715C" w:rsidRPr="005440C0" w:rsidRDefault="0077715C" w:rsidP="0077715C">
      <w:pPr>
        <w:jc w:val="both"/>
        <w:rPr>
          <w:rFonts w:cs="Arial"/>
        </w:rPr>
      </w:pPr>
    </w:p>
    <w:p w:rsidR="0077715C" w:rsidRPr="005440C0" w:rsidRDefault="0077715C" w:rsidP="0077715C">
      <w:pPr>
        <w:jc w:val="both"/>
        <w:rPr>
          <w:rFonts w:cs="Arial"/>
          <w:lang w:eastAsia="en-AU"/>
        </w:rPr>
      </w:pPr>
      <w:r w:rsidRPr="005440C0">
        <w:rPr>
          <w:rFonts w:cs="Arial"/>
        </w:rPr>
        <w:t>The community aspirations and priorities for the future of Maroondah have been grouped into eight broad outcome areas that provide the structure for the Council Plan 2017-2021 (Council Plan). These community outcome areas comprise:</w:t>
      </w:r>
    </w:p>
    <w:p w:rsidR="0077715C" w:rsidRPr="005440C0" w:rsidRDefault="0077715C" w:rsidP="0077715C">
      <w:pPr>
        <w:jc w:val="both"/>
        <w:rPr>
          <w:rFonts w:cs="Arial"/>
          <w:lang w:eastAsia="en-AU"/>
        </w:rPr>
      </w:pP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 safe, healthy and active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 prosperous and learning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 vibrant and culturally rich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 clean, green and sustainable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An accessible and connected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An attractive, thriving and well-built community</w:t>
      </w:r>
    </w:p>
    <w:p w:rsidR="0077715C" w:rsidRPr="005440C0" w:rsidRDefault="0077715C" w:rsidP="0077715C">
      <w:pPr>
        <w:numPr>
          <w:ilvl w:val="0"/>
          <w:numId w:val="11"/>
        </w:numPr>
        <w:autoSpaceDE w:val="0"/>
        <w:autoSpaceDN w:val="0"/>
        <w:adjustRightInd w:val="0"/>
        <w:jc w:val="both"/>
        <w:rPr>
          <w:rFonts w:cs="Arial"/>
          <w:lang w:eastAsia="en-AU"/>
        </w:rPr>
      </w:pPr>
      <w:r w:rsidRPr="005440C0">
        <w:rPr>
          <w:rFonts w:cs="Arial"/>
          <w:lang w:eastAsia="en-AU"/>
        </w:rPr>
        <w:t>An inclusive and diverse community</w:t>
      </w:r>
    </w:p>
    <w:p w:rsidR="0077715C" w:rsidRPr="005440C0" w:rsidRDefault="0077715C" w:rsidP="0077715C">
      <w:pPr>
        <w:numPr>
          <w:ilvl w:val="0"/>
          <w:numId w:val="11"/>
        </w:numPr>
        <w:autoSpaceDE w:val="0"/>
        <w:autoSpaceDN w:val="0"/>
        <w:adjustRightInd w:val="0"/>
        <w:jc w:val="both"/>
        <w:rPr>
          <w:rFonts w:cs="Arial"/>
          <w:color w:val="000000"/>
          <w:lang w:eastAsia="en-AU"/>
        </w:rPr>
      </w:pPr>
      <w:r w:rsidRPr="005440C0">
        <w:rPr>
          <w:rFonts w:cs="Arial"/>
          <w:lang w:eastAsia="en-AU"/>
        </w:rPr>
        <w:t>A well governed and empowered community</w:t>
      </w:r>
    </w:p>
    <w:p w:rsidR="0077715C" w:rsidRPr="005440C0" w:rsidRDefault="0077715C" w:rsidP="0077715C">
      <w:pPr>
        <w:jc w:val="both"/>
        <w:rPr>
          <w:rFonts w:cs="Arial"/>
        </w:rPr>
      </w:pPr>
    </w:p>
    <w:p w:rsidR="0077715C" w:rsidRPr="005440C0" w:rsidRDefault="0077715C" w:rsidP="0077715C">
      <w:pPr>
        <w:jc w:val="both"/>
        <w:rPr>
          <w:rFonts w:cs="Arial"/>
        </w:rPr>
      </w:pPr>
      <w:r w:rsidRPr="005440C0">
        <w:rPr>
          <w:rFonts w:cs="Arial"/>
        </w:rPr>
        <w:t xml:space="preserve">The strategic direction through Maroondah 2040, the Council Plan, and the </w:t>
      </w:r>
      <w:proofErr w:type="gramStart"/>
      <w:r w:rsidRPr="005440C0">
        <w:rPr>
          <w:rFonts w:cs="Arial"/>
        </w:rPr>
        <w:t>Long Term</w:t>
      </w:r>
      <w:proofErr w:type="gramEnd"/>
      <w:r w:rsidRPr="005440C0">
        <w:rPr>
          <w:rFonts w:cs="Arial"/>
        </w:rPr>
        <w:t xml:space="preserve"> Financial Strategy has resulted in detailed service delivery plans across each of Council’s service areas. These plans are reviewed annually to </w:t>
      </w:r>
      <w:r>
        <w:rPr>
          <w:rFonts w:cs="Arial"/>
        </w:rPr>
        <w:t>ensure alignment with</w:t>
      </w:r>
      <w:r w:rsidRPr="005440C0">
        <w:rPr>
          <w:rFonts w:cs="Arial"/>
        </w:rPr>
        <w:t xml:space="preserve"> community needs and expectations.</w:t>
      </w:r>
    </w:p>
    <w:p w:rsidR="0077715C" w:rsidRPr="005440C0" w:rsidRDefault="0077715C" w:rsidP="0077715C">
      <w:pPr>
        <w:jc w:val="both"/>
        <w:rPr>
          <w:rFonts w:cs="Arial"/>
        </w:rPr>
      </w:pPr>
    </w:p>
    <w:p w:rsidR="0077715C" w:rsidRPr="005440C0" w:rsidRDefault="0077715C" w:rsidP="0077715C">
      <w:pPr>
        <w:jc w:val="both"/>
        <w:rPr>
          <w:rFonts w:cs="Arial"/>
        </w:rPr>
      </w:pPr>
      <w:r w:rsidRPr="005440C0">
        <w:rPr>
          <w:rFonts w:cs="Arial"/>
        </w:rPr>
        <w:t xml:space="preserve">The framework both feeds into and is supported by </w:t>
      </w:r>
      <w:proofErr w:type="gramStart"/>
      <w:r w:rsidRPr="005440C0">
        <w:rPr>
          <w:rFonts w:cs="Arial"/>
        </w:rPr>
        <w:t>a number of</w:t>
      </w:r>
      <w:proofErr w:type="gramEnd"/>
      <w:r w:rsidRPr="005440C0">
        <w:rPr>
          <w:rFonts w:cs="Arial"/>
        </w:rPr>
        <w:t xml:space="preserve"> other key planning documents – in particular Council’s annual budget, legislated plans and strategies and a broad range of supporting strategies and policies adopted by Council. </w:t>
      </w:r>
    </w:p>
    <w:p w:rsidR="0077715C" w:rsidRPr="005440C0" w:rsidRDefault="0077715C" w:rsidP="0077715C">
      <w:pPr>
        <w:jc w:val="both"/>
        <w:rPr>
          <w:rFonts w:cs="Arial"/>
        </w:rPr>
      </w:pPr>
    </w:p>
    <w:p w:rsidR="0077715C" w:rsidRPr="005440C0" w:rsidRDefault="0077715C" w:rsidP="0077715C">
      <w:pPr>
        <w:jc w:val="both"/>
        <w:rPr>
          <w:rFonts w:cs="Arial"/>
        </w:rPr>
      </w:pPr>
      <w:r w:rsidRPr="005440C0">
        <w:rPr>
          <w:rFonts w:cs="Arial"/>
        </w:rPr>
        <w:t xml:space="preserve">To ensure Council has the capacity to work towards the achievement of the Maroondah 2040 Community Vision, a </w:t>
      </w:r>
      <w:proofErr w:type="gramStart"/>
      <w:r w:rsidRPr="005440C0">
        <w:rPr>
          <w:rFonts w:cs="Arial"/>
        </w:rPr>
        <w:t>Long Term</w:t>
      </w:r>
      <w:proofErr w:type="gramEnd"/>
      <w:r w:rsidRPr="005440C0">
        <w:rPr>
          <w:rFonts w:cs="Arial"/>
        </w:rPr>
        <w:t xml:space="preserve"> Financial Strategy has been prepared to guide the financial resources of Council over the next 10 years. This strategy is updated annually. </w:t>
      </w:r>
    </w:p>
    <w:p w:rsidR="0077715C" w:rsidRPr="005440C0" w:rsidRDefault="0077715C" w:rsidP="0077715C">
      <w:pPr>
        <w:jc w:val="both"/>
        <w:rPr>
          <w:rFonts w:cs="Arial"/>
        </w:rPr>
      </w:pPr>
    </w:p>
    <w:p w:rsidR="0077715C" w:rsidRPr="005440C0" w:rsidRDefault="0077715C" w:rsidP="0077715C">
      <w:pPr>
        <w:jc w:val="both"/>
        <w:rPr>
          <w:rFonts w:cs="Arial"/>
        </w:rPr>
      </w:pPr>
      <w:r w:rsidRPr="005440C0">
        <w:rPr>
          <w:rFonts w:cs="Arial"/>
        </w:rPr>
        <w:t xml:space="preserve">In response to the </w:t>
      </w:r>
      <w:proofErr w:type="gramStart"/>
      <w:r w:rsidRPr="005440C0">
        <w:rPr>
          <w:rFonts w:cs="Arial"/>
        </w:rPr>
        <w:t>Long Term</w:t>
      </w:r>
      <w:proofErr w:type="gramEnd"/>
      <w:r w:rsidRPr="005440C0">
        <w:rPr>
          <w:rFonts w:cs="Arial"/>
        </w:rPr>
        <w:t xml:space="preserve"> Financial Strategy, a medium-term strategic resource plan is included within the Council Plan to provide a framework for Council’s financial, physical and human resources over the next four years. This Strategic Resource Plan outlines the allocation of resources to work on the key directions and priority actions outlined in the Council Plan. </w:t>
      </w:r>
    </w:p>
    <w:p w:rsidR="0077715C" w:rsidRPr="005440C0" w:rsidRDefault="0077715C" w:rsidP="0077715C">
      <w:pPr>
        <w:jc w:val="both"/>
        <w:rPr>
          <w:rFonts w:cs="Arial"/>
        </w:rPr>
      </w:pPr>
    </w:p>
    <w:p w:rsidR="0077715C" w:rsidRPr="005440C0" w:rsidRDefault="0077715C" w:rsidP="0077715C">
      <w:pPr>
        <w:jc w:val="both"/>
        <w:rPr>
          <w:rFonts w:eastAsia="Times New Roman" w:cs="Arial"/>
          <w:color w:val="000000"/>
        </w:rPr>
      </w:pPr>
      <w:r w:rsidRPr="005440C0">
        <w:rPr>
          <w:rFonts w:cs="Arial"/>
        </w:rPr>
        <w:t>From the Strategic Resource Plan evolves an Annual Budget that provides specific targets in relation to financial resources for the next financial year and a framework to ensure strategies and commitments are transformed into ‘on the ground’ results.  The Annual Budget specifies goals against which Council can measure its progress and performance whilst also articulating sources of revenue and how that revenue is spent in delivering services to the community.</w:t>
      </w:r>
    </w:p>
    <w:p w:rsidR="00715DFC" w:rsidRDefault="00715DFC">
      <w:pPr>
        <w:rPr>
          <w:rFonts w:eastAsia="Times New Roman" w:cs="Arial"/>
          <w:color w:val="000000" w:themeColor="text1"/>
        </w:rPr>
      </w:pPr>
    </w:p>
    <w:p w:rsidR="004B2040" w:rsidRPr="009B6FB7" w:rsidRDefault="004B2040" w:rsidP="00E86948">
      <w:pPr>
        <w:pStyle w:val="Heading3"/>
      </w:pPr>
      <w:bookmarkStart w:id="9" w:name="_Toc481072371"/>
      <w:bookmarkStart w:id="10" w:name="_Toc481072860"/>
      <w:bookmarkStart w:id="11" w:name="_Toc481077398"/>
      <w:bookmarkStart w:id="12" w:name="_Toc481483633"/>
      <w:bookmarkStart w:id="13" w:name="_Toc508984172"/>
      <w:bookmarkStart w:id="14" w:name="_Toc4056352"/>
      <w:r w:rsidRPr="0078676E">
        <w:t>1.2 Our Purpose</w:t>
      </w:r>
      <w:bookmarkEnd w:id="9"/>
      <w:bookmarkEnd w:id="10"/>
      <w:bookmarkEnd w:id="11"/>
      <w:bookmarkEnd w:id="12"/>
      <w:bookmarkEnd w:id="13"/>
      <w:bookmarkEnd w:id="14"/>
    </w:p>
    <w:p w:rsidR="004B2040" w:rsidRPr="00242D2A" w:rsidRDefault="004B2040" w:rsidP="004B2040">
      <w:pPr>
        <w:jc w:val="both"/>
        <w:rPr>
          <w:rFonts w:cs="Arial"/>
          <w:sz w:val="20"/>
        </w:rPr>
      </w:pPr>
    </w:p>
    <w:p w:rsidR="00AA11F6" w:rsidRPr="00AA11F6" w:rsidRDefault="00AA11F6" w:rsidP="00165691">
      <w:pPr>
        <w:pStyle w:val="Heading3"/>
        <w:rPr>
          <w:lang w:eastAsia="en-AU"/>
        </w:rPr>
      </w:pPr>
      <w:bookmarkStart w:id="15" w:name="_Toc481072861"/>
      <w:bookmarkStart w:id="16" w:name="_Toc481077399"/>
      <w:bookmarkStart w:id="17" w:name="_Toc481483634"/>
      <w:bookmarkStart w:id="18" w:name="_Toc508984173"/>
      <w:bookmarkStart w:id="19" w:name="_Toc4056353"/>
      <w:r w:rsidRPr="00AA11F6">
        <w:rPr>
          <w:lang w:eastAsia="en-AU"/>
        </w:rPr>
        <w:t>Our Community Vision</w:t>
      </w:r>
      <w:bookmarkEnd w:id="15"/>
      <w:bookmarkEnd w:id="16"/>
      <w:bookmarkEnd w:id="17"/>
      <w:bookmarkEnd w:id="18"/>
      <w:bookmarkEnd w:id="19"/>
    </w:p>
    <w:p w:rsidR="0077715C" w:rsidRPr="005440C0" w:rsidRDefault="0077715C" w:rsidP="0077715C">
      <w:pPr>
        <w:jc w:val="both"/>
        <w:rPr>
          <w:rFonts w:cs="Arial"/>
          <w:bCs/>
          <w:iCs/>
          <w:lang w:eastAsia="en-AU"/>
        </w:rPr>
      </w:pPr>
      <w:r w:rsidRPr="005440C0">
        <w:rPr>
          <w:rFonts w:cs="Arial"/>
          <w:bCs/>
          <w:iCs/>
          <w:lang w:eastAsia="en-AU"/>
        </w:rPr>
        <w:t xml:space="preserve">Maroondah will be a vibrant and diverse city with a healthy and active community, living in green </w:t>
      </w:r>
      <w:r>
        <w:rPr>
          <w:rFonts w:cs="Arial"/>
          <w:bCs/>
          <w:iCs/>
          <w:lang w:eastAsia="en-AU"/>
        </w:rPr>
        <w:t xml:space="preserve">and </w:t>
      </w:r>
      <w:r w:rsidRPr="005440C0">
        <w:rPr>
          <w:rFonts w:cs="Arial"/>
          <w:bCs/>
          <w:iCs/>
          <w:lang w:eastAsia="en-AU"/>
        </w:rPr>
        <w:t>leafy neighbourhoods which are connected to thriving and accessible activity centres contributing to a prosperous economy within a safe, inclusive and sustainable environment.</w:t>
      </w:r>
    </w:p>
    <w:p w:rsidR="00AA11F6" w:rsidRPr="00AA11F6" w:rsidRDefault="00AA11F6" w:rsidP="00AA11F6">
      <w:pPr>
        <w:spacing w:after="20"/>
        <w:jc w:val="both"/>
        <w:rPr>
          <w:rFonts w:cs="Arial"/>
          <w:b/>
          <w:bCs/>
          <w:iCs/>
          <w:color w:val="CC0000"/>
          <w:lang w:eastAsia="en-AU"/>
        </w:rPr>
      </w:pPr>
    </w:p>
    <w:p w:rsidR="00AA11F6" w:rsidRPr="00AA11F6" w:rsidRDefault="00AA11F6" w:rsidP="00165691">
      <w:pPr>
        <w:pStyle w:val="Heading3"/>
        <w:rPr>
          <w:lang w:eastAsia="en-AU"/>
        </w:rPr>
      </w:pPr>
      <w:bookmarkStart w:id="20" w:name="_Toc481072373"/>
      <w:bookmarkStart w:id="21" w:name="_Toc481072862"/>
      <w:bookmarkStart w:id="22" w:name="_Toc481077400"/>
      <w:bookmarkStart w:id="23" w:name="_Toc481483635"/>
      <w:bookmarkStart w:id="24" w:name="_Toc508984174"/>
      <w:bookmarkStart w:id="25" w:name="_Toc4056354"/>
      <w:r w:rsidRPr="00AA11F6">
        <w:rPr>
          <w:lang w:eastAsia="en-AU"/>
        </w:rPr>
        <w:t xml:space="preserve">Organisational </w:t>
      </w:r>
      <w:r w:rsidR="004A2319">
        <w:rPr>
          <w:lang w:eastAsia="en-AU"/>
        </w:rPr>
        <w:t>V</w:t>
      </w:r>
      <w:r w:rsidRPr="00AA11F6">
        <w:rPr>
          <w:lang w:eastAsia="en-AU"/>
        </w:rPr>
        <w:t>ision</w:t>
      </w:r>
      <w:bookmarkEnd w:id="20"/>
      <w:bookmarkEnd w:id="21"/>
      <w:bookmarkEnd w:id="22"/>
      <w:bookmarkEnd w:id="23"/>
      <w:bookmarkEnd w:id="24"/>
      <w:bookmarkEnd w:id="25"/>
    </w:p>
    <w:p w:rsidR="002A4F8D" w:rsidRDefault="002A4F8D" w:rsidP="00AA11F6">
      <w:pPr>
        <w:spacing w:after="20"/>
        <w:jc w:val="both"/>
        <w:rPr>
          <w:rFonts w:cs="Arial"/>
          <w:bCs/>
          <w:iCs/>
          <w:lang w:eastAsia="en-AU"/>
        </w:rPr>
      </w:pPr>
      <w:r>
        <w:t>We will foster a prosperous, healthy and sustainable community.</w:t>
      </w:r>
    </w:p>
    <w:p w:rsidR="005B12AA" w:rsidRPr="00AA11F6" w:rsidRDefault="005B12AA" w:rsidP="00AA11F6">
      <w:pPr>
        <w:spacing w:after="20"/>
        <w:jc w:val="both"/>
        <w:rPr>
          <w:rFonts w:cs="Arial"/>
          <w:b/>
          <w:bCs/>
          <w:iCs/>
          <w:color w:val="CC0000"/>
          <w:lang w:eastAsia="en-AU"/>
        </w:rPr>
      </w:pPr>
    </w:p>
    <w:p w:rsidR="00AA11F6" w:rsidRPr="00AA11F6" w:rsidRDefault="00AA11F6" w:rsidP="00165691">
      <w:pPr>
        <w:pStyle w:val="Heading3"/>
        <w:rPr>
          <w:lang w:eastAsia="en-AU"/>
        </w:rPr>
      </w:pPr>
      <w:bookmarkStart w:id="26" w:name="_Toc481072863"/>
      <w:bookmarkStart w:id="27" w:name="_Toc481077401"/>
      <w:bookmarkStart w:id="28" w:name="_Toc481483636"/>
      <w:bookmarkStart w:id="29" w:name="_Toc508984175"/>
      <w:bookmarkStart w:id="30" w:name="_Toc4056355"/>
      <w:r w:rsidRPr="00AA11F6">
        <w:rPr>
          <w:lang w:eastAsia="en-AU"/>
        </w:rPr>
        <w:t>Our Mission</w:t>
      </w:r>
      <w:bookmarkEnd w:id="26"/>
      <w:bookmarkEnd w:id="27"/>
      <w:bookmarkEnd w:id="28"/>
      <w:bookmarkEnd w:id="29"/>
      <w:bookmarkEnd w:id="30"/>
    </w:p>
    <w:p w:rsidR="002A4F8D" w:rsidRDefault="002A4F8D" w:rsidP="00AA11F6">
      <w:pPr>
        <w:ind w:right="778"/>
        <w:jc w:val="both"/>
        <w:rPr>
          <w:rFonts w:eastAsia="Times New Roman" w:cs="Arial"/>
          <w:szCs w:val="24"/>
        </w:rPr>
      </w:pPr>
      <w:r>
        <w:t>We are dynamic and innovative leaders, working in partnership to enhance community wellbeing.</w:t>
      </w:r>
    </w:p>
    <w:p w:rsidR="00AA11F6" w:rsidRDefault="00AA11F6" w:rsidP="00AA11F6">
      <w:pPr>
        <w:ind w:right="778"/>
        <w:jc w:val="both"/>
        <w:rPr>
          <w:rFonts w:eastAsia="Times New Roman" w:cs="Arial"/>
          <w:szCs w:val="24"/>
        </w:rPr>
      </w:pPr>
    </w:p>
    <w:p w:rsidR="00AA11F6" w:rsidRPr="00AA11F6" w:rsidRDefault="00AA11F6" w:rsidP="00165691">
      <w:pPr>
        <w:pStyle w:val="Heading3"/>
        <w:rPr>
          <w:lang w:eastAsia="en-AU"/>
        </w:rPr>
      </w:pPr>
      <w:bookmarkStart w:id="31" w:name="_Toc481072864"/>
      <w:bookmarkStart w:id="32" w:name="_Toc481077402"/>
      <w:bookmarkStart w:id="33" w:name="_Toc481483637"/>
      <w:bookmarkStart w:id="34" w:name="_Toc508984176"/>
      <w:bookmarkStart w:id="35" w:name="_Toc4056356"/>
      <w:r w:rsidRPr="00AA11F6">
        <w:rPr>
          <w:lang w:eastAsia="en-AU"/>
        </w:rPr>
        <w:t>Our Workplace Values</w:t>
      </w:r>
      <w:bookmarkEnd w:id="31"/>
      <w:bookmarkEnd w:id="32"/>
      <w:bookmarkEnd w:id="33"/>
      <w:bookmarkEnd w:id="34"/>
      <w:bookmarkEnd w:id="35"/>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w:t>
      </w:r>
      <w:r>
        <w:rPr>
          <w:b/>
          <w:bCs/>
          <w:lang w:eastAsia="en-AU"/>
        </w:rPr>
        <w:t>ACCOUNTABLE</w:t>
      </w:r>
      <w:r>
        <w:rPr>
          <w:lang w:eastAsia="en-AU"/>
        </w:rPr>
        <w:t xml:space="preserve"> to each other and our community</w:t>
      </w:r>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lastRenderedPageBreak/>
        <w:t xml:space="preserve">We collaborate in an adaptable and </w:t>
      </w:r>
      <w:r>
        <w:rPr>
          <w:b/>
          <w:bCs/>
          <w:lang w:eastAsia="en-AU"/>
        </w:rPr>
        <w:t>SUPPORTIVE</w:t>
      </w:r>
      <w:r>
        <w:rPr>
          <w:lang w:eastAsia="en-AU"/>
        </w:rPr>
        <w:t xml:space="preserve"> workplace</w:t>
      </w:r>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w:t>
      </w:r>
      <w:r>
        <w:rPr>
          <w:b/>
          <w:bCs/>
          <w:lang w:eastAsia="en-AU"/>
        </w:rPr>
        <w:t>PERFORM</w:t>
      </w:r>
      <w:r>
        <w:rPr>
          <w:lang w:eastAsia="en-AU"/>
        </w:rPr>
        <w:t xml:space="preserve"> at our best</w:t>
      </w:r>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open, honest, </w:t>
      </w:r>
      <w:r>
        <w:rPr>
          <w:b/>
          <w:bCs/>
          <w:lang w:eastAsia="en-AU"/>
        </w:rPr>
        <w:t>INCLUSIVE</w:t>
      </w:r>
      <w:r>
        <w:rPr>
          <w:lang w:eastAsia="en-AU"/>
        </w:rPr>
        <w:t xml:space="preserve"> and act with integrity</w:t>
      </w:r>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ensure every voice is heard, valued and </w:t>
      </w:r>
      <w:r>
        <w:rPr>
          <w:b/>
          <w:bCs/>
          <w:lang w:eastAsia="en-AU"/>
        </w:rPr>
        <w:t>RESPECTED</w:t>
      </w:r>
    </w:p>
    <w:p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brave, bold and achieve </w:t>
      </w:r>
      <w:r>
        <w:rPr>
          <w:b/>
          <w:bCs/>
          <w:lang w:eastAsia="en-AU"/>
        </w:rPr>
        <w:t>EXCELLENCE</w:t>
      </w:r>
    </w:p>
    <w:p w:rsidR="00AA11F6" w:rsidRPr="00AA11F6" w:rsidRDefault="00AA11F6" w:rsidP="00AA11F6">
      <w:pPr>
        <w:jc w:val="both"/>
        <w:rPr>
          <w:rFonts w:cs="Arial"/>
          <w:b/>
        </w:rPr>
      </w:pPr>
    </w:p>
    <w:p w:rsidR="00AA11F6" w:rsidRPr="00AA11F6" w:rsidRDefault="00AA11F6" w:rsidP="00165691">
      <w:pPr>
        <w:pStyle w:val="Heading3"/>
      </w:pPr>
      <w:bookmarkStart w:id="36" w:name="_Toc481072865"/>
      <w:bookmarkStart w:id="37" w:name="_Toc481077403"/>
      <w:bookmarkStart w:id="38" w:name="_Toc481483638"/>
      <w:bookmarkStart w:id="39" w:name="_Toc508984177"/>
      <w:bookmarkStart w:id="40" w:name="_Toc4056357"/>
      <w:r w:rsidRPr="0078676E">
        <w:t>1.3 Community Outcome Areas (Strategic Objectives)</w:t>
      </w:r>
      <w:bookmarkEnd w:id="36"/>
      <w:bookmarkEnd w:id="37"/>
      <w:bookmarkEnd w:id="38"/>
      <w:bookmarkEnd w:id="39"/>
      <w:bookmarkEnd w:id="40"/>
    </w:p>
    <w:p w:rsidR="00AA11F6" w:rsidRPr="00AA11F6" w:rsidRDefault="00AA11F6" w:rsidP="00AA11F6">
      <w:pPr>
        <w:jc w:val="both"/>
        <w:rPr>
          <w:rFonts w:cs="Arial"/>
          <w:sz w:val="20"/>
        </w:rPr>
      </w:pPr>
    </w:p>
    <w:p w:rsidR="00AA11F6" w:rsidRPr="00AA11F6" w:rsidRDefault="00AA11F6" w:rsidP="00AA11F6">
      <w:pPr>
        <w:jc w:val="both"/>
        <w:rPr>
          <w:rFonts w:cs="Arial"/>
          <w:color w:val="000000" w:themeColor="text1"/>
        </w:rPr>
      </w:pPr>
      <w:r w:rsidRPr="00AA11F6">
        <w:rPr>
          <w:rFonts w:cs="Arial"/>
          <w:color w:val="000000" w:themeColor="text1"/>
        </w:rPr>
        <w:t>The Council Plan articulates eight community outcome areas (strategic objectives), each with a set of four-year key directions (strategies), annual priority actions, Council Plan indicators (strategic indicators) and supporting strategies and plans. The priority actions (major initiatives) work towards the achievement of the key directions, and ultimately the outcome areas and vision outlined in Maroondah</w:t>
      </w:r>
      <w:r w:rsidRPr="00AA11F6">
        <w:rPr>
          <w:rFonts w:cs="Arial"/>
          <w:i/>
          <w:iCs/>
          <w:color w:val="000000" w:themeColor="text1"/>
        </w:rPr>
        <w:t xml:space="preserve"> 2040</w:t>
      </w:r>
      <w:r w:rsidRPr="00AA11F6">
        <w:rPr>
          <w:rFonts w:cs="Arial"/>
          <w:color w:val="000000" w:themeColor="text1"/>
        </w:rPr>
        <w:t xml:space="preserve">. </w:t>
      </w:r>
    </w:p>
    <w:p w:rsidR="00AA11F6" w:rsidRPr="00AA11F6" w:rsidRDefault="00AA11F6" w:rsidP="00AA11F6">
      <w:pPr>
        <w:jc w:val="both"/>
        <w:rPr>
          <w:rFonts w:cs="Arial"/>
          <w:color w:val="FF0000"/>
          <w:sz w:val="20"/>
        </w:rPr>
      </w:pPr>
    </w:p>
    <w:p w:rsidR="00AA11F6" w:rsidRPr="00AA11F6" w:rsidRDefault="00AA11F6" w:rsidP="00AA11F6">
      <w:pPr>
        <w:jc w:val="both"/>
        <w:rPr>
          <w:rFonts w:eastAsia="Times New Roman" w:cs="Arial"/>
          <w:szCs w:val="24"/>
          <w:lang w:eastAsia="en-AU"/>
        </w:rPr>
      </w:pPr>
      <w:r w:rsidRPr="00AA11F6">
        <w:rPr>
          <w:rFonts w:eastAsia="Times New Roman" w:cs="Arial"/>
          <w:szCs w:val="24"/>
          <w:lang w:eastAsia="en-AU"/>
        </w:rPr>
        <w:t xml:space="preserve">Council delivers services and initiatives </w:t>
      </w:r>
      <w:r w:rsidRPr="004A7C0B">
        <w:rPr>
          <w:rFonts w:eastAsia="Times New Roman" w:cs="Arial"/>
          <w:szCs w:val="24"/>
          <w:lang w:eastAsia="en-AU"/>
        </w:rPr>
        <w:t>under 1</w:t>
      </w:r>
      <w:r w:rsidR="00E75BE8" w:rsidRPr="004A7C0B">
        <w:rPr>
          <w:rFonts w:eastAsia="Times New Roman" w:cs="Arial"/>
          <w:szCs w:val="24"/>
          <w:lang w:eastAsia="en-AU"/>
        </w:rPr>
        <w:t>4</w:t>
      </w:r>
      <w:r w:rsidRPr="004A7C0B">
        <w:rPr>
          <w:rFonts w:eastAsia="Times New Roman" w:cs="Arial"/>
          <w:szCs w:val="24"/>
          <w:lang w:eastAsia="en-AU"/>
        </w:rPr>
        <w:t xml:space="preserve"> major service areas.</w:t>
      </w:r>
      <w:r w:rsidRPr="004A7C0B">
        <w:rPr>
          <w:rFonts w:eastAsia="Times New Roman" w:cs="Arial"/>
          <w:color w:val="FF0000"/>
          <w:szCs w:val="24"/>
          <w:lang w:eastAsia="en-AU"/>
        </w:rPr>
        <w:t xml:space="preserve"> </w:t>
      </w:r>
      <w:r w:rsidRPr="004A7C0B">
        <w:rPr>
          <w:rFonts w:eastAsia="Times New Roman" w:cs="Arial"/>
          <w:szCs w:val="24"/>
          <w:lang w:eastAsia="en-AU"/>
        </w:rPr>
        <w:t>Each</w:t>
      </w:r>
      <w:r w:rsidRPr="00AA11F6">
        <w:rPr>
          <w:rFonts w:eastAsia="Times New Roman" w:cs="Arial"/>
          <w:szCs w:val="24"/>
          <w:lang w:eastAsia="en-AU"/>
        </w:rPr>
        <w:t xml:space="preserve"> contributes to the achievement of the future outcome areas as set out in Maroondah 2040 and Council Plan. The Annual Budget converts these services and initiatives into financial terms to ensure that there are </w:t>
      </w:r>
      <w:proofErr w:type="gramStart"/>
      <w:r w:rsidRPr="00AA11F6">
        <w:rPr>
          <w:rFonts w:eastAsia="Times New Roman" w:cs="Arial"/>
          <w:szCs w:val="24"/>
          <w:lang w:eastAsia="en-AU"/>
        </w:rPr>
        <w:t>sufficient</w:t>
      </w:r>
      <w:proofErr w:type="gramEnd"/>
      <w:r w:rsidRPr="00AA11F6">
        <w:rPr>
          <w:rFonts w:eastAsia="Times New Roman" w:cs="Arial"/>
          <w:szCs w:val="24"/>
          <w:lang w:eastAsia="en-AU"/>
        </w:rPr>
        <w:t xml:space="preserve"> resources for their achievement. The following table lists the eight community outcome areas as described in the Council Plan.</w:t>
      </w:r>
    </w:p>
    <w:p w:rsidR="004B2040" w:rsidRDefault="004B2040" w:rsidP="004B2040">
      <w:pPr>
        <w:rPr>
          <w:rFonts w:cs="Arial"/>
          <w:szCs w:val="24"/>
          <w:lang w:eastAsia="en-AU"/>
        </w:rPr>
      </w:pPr>
    </w:p>
    <w:tbl>
      <w:tblPr>
        <w:tblStyle w:val="GridTable4-Accent2"/>
        <w:tblW w:w="5000" w:type="pct"/>
        <w:tblLook w:val="0420" w:firstRow="1" w:lastRow="0" w:firstColumn="0" w:lastColumn="0" w:noHBand="0" w:noVBand="1"/>
      </w:tblPr>
      <w:tblGrid>
        <w:gridCol w:w="2614"/>
        <w:gridCol w:w="7842"/>
      </w:tblGrid>
      <w:tr w:rsidR="004B2040" w:rsidRPr="00B64E70" w:rsidTr="00DD5586">
        <w:trPr>
          <w:cnfStyle w:val="100000000000" w:firstRow="1" w:lastRow="0" w:firstColumn="0" w:lastColumn="0" w:oddVBand="0" w:evenVBand="0" w:oddHBand="0" w:evenHBand="0" w:firstRowFirstColumn="0" w:firstRowLastColumn="0" w:lastRowFirstColumn="0" w:lastRowLastColumn="0"/>
          <w:trHeight w:val="540"/>
        </w:trPr>
        <w:tc>
          <w:tcPr>
            <w:tcW w:w="1250" w:type="pct"/>
          </w:tcPr>
          <w:p w:rsidR="004B2040" w:rsidRPr="00B64E70" w:rsidRDefault="004B2040" w:rsidP="004B2040">
            <w:pPr>
              <w:rPr>
                <w:rFonts w:cs="Arial"/>
                <w:bCs w:val="0"/>
                <w:lang w:eastAsia="en-AU"/>
              </w:rPr>
            </w:pPr>
            <w:r w:rsidRPr="00B64E70">
              <w:rPr>
                <w:rFonts w:cs="Arial"/>
                <w:bCs w:val="0"/>
                <w:lang w:eastAsia="en-AU"/>
              </w:rPr>
              <w:t>Outcome Area</w:t>
            </w:r>
          </w:p>
        </w:tc>
        <w:tc>
          <w:tcPr>
            <w:tcW w:w="3750" w:type="pct"/>
            <w:noWrap/>
          </w:tcPr>
          <w:p w:rsidR="004B2040" w:rsidRPr="00B64E70" w:rsidRDefault="004B2040" w:rsidP="004B2040">
            <w:pPr>
              <w:rPr>
                <w:rFonts w:cs="Arial"/>
                <w:i/>
                <w:iCs/>
                <w:lang w:eastAsia="en-AU"/>
              </w:rPr>
            </w:pPr>
            <w:r w:rsidRPr="00B64E70">
              <w:rPr>
                <w:rFonts w:cs="Arial"/>
                <w:bCs w:val="0"/>
                <w:lang w:eastAsia="en-AU"/>
              </w:rPr>
              <w:t>Vision Statements</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41" w:name="_Toc481072866"/>
            <w:bookmarkStart w:id="42" w:name="_Toc481077404"/>
            <w:bookmarkStart w:id="43" w:name="_Toc481483639"/>
            <w:bookmarkStart w:id="44" w:name="_Toc508984178"/>
            <w:bookmarkStart w:id="45" w:name="_Toc4056358"/>
            <w:r w:rsidRPr="00265912">
              <w:rPr>
                <w:rFonts w:cs="Arial"/>
                <w:sz w:val="22"/>
                <w:szCs w:val="22"/>
                <w:lang w:eastAsia="en-AU"/>
              </w:rPr>
              <w:t>1.  A safe, healthy and active community</w:t>
            </w:r>
            <w:bookmarkEnd w:id="41"/>
            <w:bookmarkEnd w:id="42"/>
            <w:bookmarkEnd w:id="43"/>
            <w:bookmarkEnd w:id="44"/>
            <w:bookmarkEnd w:id="45"/>
          </w:p>
        </w:tc>
        <w:tc>
          <w:tcPr>
            <w:tcW w:w="3750" w:type="pct"/>
          </w:tcPr>
          <w:p w:rsidR="004B2040" w:rsidRPr="00610E59" w:rsidRDefault="004B2040" w:rsidP="004B2040">
            <w:pPr>
              <w:jc w:val="both"/>
              <w:rPr>
                <w:rFonts w:cs="Arial"/>
                <w:lang w:eastAsia="en-AU"/>
              </w:rPr>
            </w:pPr>
            <w:r>
              <w:rPr>
                <w:rFonts w:cs="Arial"/>
                <w:iCs/>
                <w:color w:val="000000" w:themeColor="text1"/>
                <w:lang w:eastAsia="en-AU"/>
              </w:rPr>
              <w:t xml:space="preserve">In 2040, </w:t>
            </w:r>
            <w:r w:rsidRPr="00610E59">
              <w:rPr>
                <w:rFonts w:cs="Arial"/>
                <w:iCs/>
                <w:color w:val="000000" w:themeColor="text1"/>
                <w:lang w:eastAsia="en-AU"/>
              </w:rPr>
              <w:t>Maroondah is a safe, healthy and active community with local opportunities provided for people of all ages and abilities to have high levels of social, emotional and physical wellbeing.</w:t>
            </w:r>
          </w:p>
        </w:tc>
      </w:tr>
      <w:tr w:rsidR="004B2040" w:rsidRPr="009D17AC" w:rsidTr="00DD5586">
        <w:trPr>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46" w:name="_Toc481072867"/>
            <w:bookmarkStart w:id="47" w:name="_Toc481077405"/>
            <w:bookmarkStart w:id="48" w:name="_Toc481483640"/>
            <w:bookmarkStart w:id="49" w:name="_Toc508984179"/>
            <w:bookmarkStart w:id="50" w:name="_Toc4056359"/>
            <w:r>
              <w:rPr>
                <w:rFonts w:cs="Arial"/>
                <w:sz w:val="22"/>
                <w:szCs w:val="22"/>
                <w:lang w:eastAsia="en-AU"/>
              </w:rPr>
              <w:t>2</w:t>
            </w:r>
            <w:r w:rsidRPr="00265912">
              <w:rPr>
                <w:rFonts w:cs="Arial"/>
                <w:sz w:val="22"/>
                <w:szCs w:val="22"/>
                <w:lang w:eastAsia="en-AU"/>
              </w:rPr>
              <w:t>.  A prosperous and learning community</w:t>
            </w:r>
            <w:bookmarkEnd w:id="46"/>
            <w:bookmarkEnd w:id="47"/>
            <w:bookmarkEnd w:id="48"/>
            <w:bookmarkEnd w:id="49"/>
            <w:bookmarkEnd w:id="50"/>
          </w:p>
        </w:tc>
        <w:tc>
          <w:tcPr>
            <w:tcW w:w="3750" w:type="pct"/>
          </w:tcPr>
          <w:p w:rsidR="004B2040" w:rsidRPr="00610E59" w:rsidRDefault="004B2040" w:rsidP="004B2040">
            <w:pPr>
              <w:jc w:val="both"/>
              <w:rPr>
                <w:rFonts w:cs="Arial"/>
                <w:lang w:eastAsia="en-AU"/>
              </w:rPr>
            </w:pPr>
            <w:r w:rsidRPr="00610E59">
              <w:rPr>
                <w:rFonts w:cs="Arial"/>
                <w:iCs/>
                <w:lang w:eastAsia="en-AU"/>
              </w:rPr>
              <w:t xml:space="preserve">In 2040, Maroondah is a thriving centre of economic activity and opportunity within the eastern region where the </w:t>
            </w:r>
            <w:r w:rsidRPr="00610E59">
              <w:rPr>
                <w:rFonts w:cs="Arial"/>
              </w:rPr>
              <w:t xml:space="preserve">sustainability and growth of local businesses is supported. </w:t>
            </w:r>
            <w:r w:rsidRPr="00610E59">
              <w:rPr>
                <w:rFonts w:cs="Arial"/>
                <w:iCs/>
              </w:rPr>
              <w:t>All community members, groups, education providers and local businesses have access to a wide range of quality learning resources and facilities.</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rsidR="004B2040" w:rsidRPr="00610E59" w:rsidRDefault="00C94527" w:rsidP="004B2040">
            <w:pPr>
              <w:pStyle w:val="Heading3"/>
              <w:ind w:left="284" w:hanging="284"/>
              <w:outlineLvl w:val="2"/>
              <w:rPr>
                <w:rFonts w:cs="Arial"/>
                <w:b/>
                <w:bCs/>
                <w:szCs w:val="22"/>
                <w:lang w:eastAsia="en-AU"/>
              </w:rPr>
            </w:pPr>
            <w:bookmarkStart w:id="51" w:name="_Toc481072868"/>
            <w:bookmarkStart w:id="52" w:name="_Toc481077406"/>
            <w:bookmarkStart w:id="53" w:name="_Toc481483641"/>
            <w:bookmarkStart w:id="54" w:name="_Toc508984180"/>
            <w:bookmarkStart w:id="55" w:name="_Toc4056360"/>
            <w:r>
              <w:rPr>
                <w:rFonts w:cs="Arial"/>
                <w:sz w:val="22"/>
                <w:szCs w:val="22"/>
                <w:lang w:eastAsia="en-AU"/>
              </w:rPr>
              <w:t>k</w:t>
            </w:r>
            <w:r w:rsidR="004B2040">
              <w:rPr>
                <w:rFonts w:cs="Arial"/>
                <w:sz w:val="22"/>
                <w:szCs w:val="22"/>
                <w:lang w:eastAsia="en-AU"/>
              </w:rPr>
              <w:t>3</w:t>
            </w:r>
            <w:r w:rsidR="004B2040" w:rsidRPr="00610E59">
              <w:rPr>
                <w:rFonts w:cs="Arial"/>
                <w:sz w:val="22"/>
                <w:szCs w:val="22"/>
                <w:lang w:eastAsia="en-AU"/>
              </w:rPr>
              <w:t>.  A vibrant and culturally rich community</w:t>
            </w:r>
            <w:bookmarkEnd w:id="51"/>
            <w:bookmarkEnd w:id="52"/>
            <w:bookmarkEnd w:id="53"/>
            <w:bookmarkEnd w:id="54"/>
            <w:bookmarkEnd w:id="55"/>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 xml:space="preserve">In 2040, </w:t>
            </w:r>
            <w:r w:rsidRPr="00610E59">
              <w:rPr>
                <w:rFonts w:cs="Arial"/>
              </w:rPr>
              <w:t>Maroondah is a creative cosmopolitan community recognised for its celebration and promotion of arts and culture. There are a broad range of engaging entertainment options, diverse cultural activities and the creation and display of contemporary and traditional forms of art.</w:t>
            </w:r>
          </w:p>
        </w:tc>
      </w:tr>
      <w:tr w:rsidR="004B2040" w:rsidRPr="009D17AC" w:rsidTr="00DD5586">
        <w:trPr>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56" w:name="_Toc481072869"/>
            <w:bookmarkStart w:id="57" w:name="_Toc481077407"/>
            <w:bookmarkStart w:id="58" w:name="_Toc481483642"/>
            <w:bookmarkStart w:id="59" w:name="_Toc508984181"/>
            <w:bookmarkStart w:id="60" w:name="_Toc4056361"/>
            <w:r>
              <w:rPr>
                <w:rFonts w:cs="Arial"/>
                <w:sz w:val="22"/>
                <w:szCs w:val="22"/>
                <w:lang w:eastAsia="en-AU"/>
              </w:rPr>
              <w:t>4</w:t>
            </w:r>
            <w:r w:rsidRPr="00265912">
              <w:rPr>
                <w:rFonts w:cs="Arial"/>
                <w:sz w:val="22"/>
                <w:szCs w:val="22"/>
                <w:lang w:eastAsia="en-AU"/>
              </w:rPr>
              <w:t xml:space="preserve">.  </w:t>
            </w:r>
            <w:bookmarkStart w:id="61" w:name="_Toc381281661"/>
            <w:bookmarkStart w:id="62" w:name="_Toc381700494"/>
            <w:r w:rsidRPr="00265912">
              <w:rPr>
                <w:rFonts w:cs="Arial"/>
                <w:sz w:val="22"/>
                <w:szCs w:val="22"/>
                <w:lang w:eastAsia="en-AU"/>
              </w:rPr>
              <w:t>A clean, green and sustainable community</w:t>
            </w:r>
            <w:bookmarkEnd w:id="56"/>
            <w:bookmarkEnd w:id="57"/>
            <w:bookmarkEnd w:id="58"/>
            <w:bookmarkEnd w:id="59"/>
            <w:bookmarkEnd w:id="60"/>
            <w:bookmarkEnd w:id="61"/>
            <w:bookmarkEnd w:id="62"/>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In 2040, Maroondah is a leafy green community with high levels of waste diversion and sustainable approaches to infrastructure development, urban design and management of natural resources. Our community is resilient and has the knowledge, capacity and resources to make sustainable lifestyle choices</w:t>
            </w:r>
            <w:r>
              <w:rPr>
                <w:rFonts w:cs="Arial"/>
                <w:iCs/>
                <w:color w:val="000000" w:themeColor="text1"/>
                <w:lang w:eastAsia="en-AU"/>
              </w:rPr>
              <w:t>.</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85"/>
        </w:trPr>
        <w:tc>
          <w:tcPr>
            <w:tcW w:w="1250" w:type="pct"/>
          </w:tcPr>
          <w:p w:rsidR="004B2040" w:rsidRPr="00610E59" w:rsidRDefault="004B2040" w:rsidP="004B2040">
            <w:pPr>
              <w:pStyle w:val="Heading3"/>
              <w:ind w:left="284" w:hanging="284"/>
              <w:outlineLvl w:val="2"/>
              <w:rPr>
                <w:rFonts w:cs="Arial"/>
                <w:b/>
                <w:bCs/>
                <w:szCs w:val="22"/>
                <w:lang w:eastAsia="en-AU"/>
              </w:rPr>
            </w:pPr>
            <w:bookmarkStart w:id="63" w:name="_Toc481072870"/>
            <w:bookmarkStart w:id="64" w:name="_Toc481077408"/>
            <w:bookmarkStart w:id="65" w:name="_Toc481483643"/>
            <w:bookmarkStart w:id="66" w:name="_Toc508984182"/>
            <w:bookmarkStart w:id="67" w:name="_Toc4056362"/>
            <w:r w:rsidRPr="00610E59">
              <w:rPr>
                <w:rFonts w:cs="Arial"/>
                <w:sz w:val="22"/>
                <w:szCs w:val="22"/>
                <w:lang w:eastAsia="en-AU"/>
              </w:rPr>
              <w:t>5.</w:t>
            </w:r>
            <w:r>
              <w:rPr>
                <w:rFonts w:cs="Arial"/>
                <w:sz w:val="22"/>
                <w:szCs w:val="22"/>
                <w:lang w:eastAsia="en-AU"/>
              </w:rPr>
              <w:t xml:space="preserve"> </w:t>
            </w:r>
            <w:r w:rsidRPr="00610E59">
              <w:rPr>
                <w:rFonts w:cs="Arial"/>
                <w:sz w:val="22"/>
                <w:szCs w:val="22"/>
                <w:lang w:eastAsia="en-AU"/>
              </w:rPr>
              <w:t xml:space="preserve"> An accessible and connected community</w:t>
            </w:r>
            <w:bookmarkEnd w:id="63"/>
            <w:bookmarkEnd w:id="64"/>
            <w:bookmarkEnd w:id="65"/>
            <w:bookmarkEnd w:id="66"/>
            <w:bookmarkEnd w:id="67"/>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In 2040, Maroondah is an accessible community for all ages and abilities with walkable neighbourhoods, effective on and off-road transport networks, and access to a range of sustainable transport options.</w:t>
            </w:r>
          </w:p>
        </w:tc>
      </w:tr>
      <w:tr w:rsidR="004B2040" w:rsidRPr="009D17AC" w:rsidTr="00DD5586">
        <w:trPr>
          <w:trHeight w:val="885"/>
        </w:trPr>
        <w:tc>
          <w:tcPr>
            <w:tcW w:w="1250" w:type="pct"/>
          </w:tcPr>
          <w:p w:rsidR="004B2040" w:rsidRPr="00610E59" w:rsidRDefault="004B2040" w:rsidP="004B2040">
            <w:pPr>
              <w:pStyle w:val="Heading3"/>
              <w:ind w:left="284" w:hanging="284"/>
              <w:outlineLvl w:val="2"/>
              <w:rPr>
                <w:rFonts w:cs="Arial"/>
                <w:b/>
                <w:bCs/>
                <w:szCs w:val="22"/>
                <w:lang w:eastAsia="en-AU"/>
              </w:rPr>
            </w:pPr>
            <w:bookmarkStart w:id="68" w:name="_Toc481072871"/>
            <w:bookmarkStart w:id="69" w:name="_Toc481077409"/>
            <w:bookmarkStart w:id="70" w:name="_Toc481483644"/>
            <w:bookmarkStart w:id="71" w:name="_Toc508984183"/>
            <w:bookmarkStart w:id="72" w:name="_Toc4056363"/>
            <w:r>
              <w:rPr>
                <w:rFonts w:cs="Arial"/>
                <w:sz w:val="22"/>
                <w:szCs w:val="22"/>
                <w:lang w:eastAsia="en-AU"/>
              </w:rPr>
              <w:t xml:space="preserve">6. </w:t>
            </w:r>
            <w:r w:rsidRPr="00610E59">
              <w:rPr>
                <w:rFonts w:cs="Arial"/>
                <w:sz w:val="22"/>
                <w:szCs w:val="22"/>
                <w:lang w:eastAsia="en-AU"/>
              </w:rPr>
              <w:t xml:space="preserve"> An attractive, thriving and </w:t>
            </w:r>
            <w:proofErr w:type="spellStart"/>
            <w:proofErr w:type="gramStart"/>
            <w:r w:rsidRPr="00610E59">
              <w:rPr>
                <w:rFonts w:cs="Arial"/>
                <w:sz w:val="22"/>
                <w:szCs w:val="22"/>
                <w:lang w:eastAsia="en-AU"/>
              </w:rPr>
              <w:t>well built</w:t>
            </w:r>
            <w:proofErr w:type="spellEnd"/>
            <w:proofErr w:type="gramEnd"/>
            <w:r w:rsidRPr="00610E59">
              <w:rPr>
                <w:rFonts w:cs="Arial"/>
                <w:sz w:val="22"/>
                <w:szCs w:val="22"/>
                <w:lang w:eastAsia="en-AU"/>
              </w:rPr>
              <w:t xml:space="preserve"> community</w:t>
            </w:r>
            <w:bookmarkEnd w:id="68"/>
            <w:bookmarkEnd w:id="69"/>
            <w:bookmarkEnd w:id="70"/>
            <w:bookmarkEnd w:id="71"/>
            <w:bookmarkEnd w:id="72"/>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 xml:space="preserve">In 2040, Maroondah is a leafy green community with high quality urban form and infrastructure that meets the needs and aspirations of all ages and abilities. A diverse range of housing options are available and thriving activity centres provide a broad range of facilities and services to meet community needs. The character of local neighbourhoods continues to be maintained while also accommodating population growth. </w:t>
            </w:r>
          </w:p>
        </w:tc>
      </w:tr>
      <w:tr w:rsidR="004B2040" w:rsidRPr="00610E59" w:rsidTr="00DD5586">
        <w:trPr>
          <w:cnfStyle w:val="000000100000" w:firstRow="0" w:lastRow="0" w:firstColumn="0" w:lastColumn="0" w:oddVBand="0" w:evenVBand="0" w:oddHBand="1" w:evenHBand="0" w:firstRowFirstColumn="0" w:firstRowLastColumn="0" w:lastRowFirstColumn="0" w:lastRowLastColumn="0"/>
          <w:trHeight w:val="624"/>
        </w:trPr>
        <w:tc>
          <w:tcPr>
            <w:tcW w:w="1250" w:type="pct"/>
          </w:tcPr>
          <w:p w:rsidR="004B2040" w:rsidRPr="00610E59" w:rsidRDefault="004B2040" w:rsidP="004B2040">
            <w:pPr>
              <w:pStyle w:val="Heading3"/>
              <w:outlineLvl w:val="2"/>
              <w:rPr>
                <w:rFonts w:cs="Arial"/>
                <w:b/>
                <w:bCs/>
                <w:szCs w:val="22"/>
                <w:lang w:eastAsia="en-AU"/>
              </w:rPr>
            </w:pPr>
            <w:bookmarkStart w:id="73" w:name="_Toc481072872"/>
            <w:bookmarkStart w:id="74" w:name="_Toc481077410"/>
            <w:bookmarkStart w:id="75" w:name="_Toc481483645"/>
            <w:bookmarkStart w:id="76" w:name="_Toc508984184"/>
            <w:bookmarkStart w:id="77" w:name="_Toc4056364"/>
            <w:r>
              <w:rPr>
                <w:rFonts w:cs="Arial"/>
                <w:sz w:val="22"/>
                <w:szCs w:val="22"/>
                <w:lang w:eastAsia="en-AU"/>
              </w:rPr>
              <w:t>7</w:t>
            </w:r>
            <w:r w:rsidRPr="00610E59">
              <w:rPr>
                <w:rFonts w:cs="Arial"/>
                <w:sz w:val="22"/>
                <w:szCs w:val="22"/>
                <w:lang w:eastAsia="en-AU"/>
              </w:rPr>
              <w:t>.  An inclusive and diverse community</w:t>
            </w:r>
            <w:bookmarkEnd w:id="73"/>
            <w:bookmarkEnd w:id="74"/>
            <w:bookmarkEnd w:id="75"/>
            <w:bookmarkEnd w:id="76"/>
            <w:bookmarkEnd w:id="77"/>
          </w:p>
        </w:tc>
        <w:tc>
          <w:tcPr>
            <w:tcW w:w="3750" w:type="pct"/>
          </w:tcPr>
          <w:p w:rsidR="004B2040" w:rsidRPr="00610E59" w:rsidRDefault="004B2040" w:rsidP="004B2040">
            <w:pPr>
              <w:jc w:val="both"/>
              <w:rPr>
                <w:rFonts w:cs="Arial"/>
              </w:rPr>
            </w:pPr>
            <w:r w:rsidRPr="00610E59">
              <w:rPr>
                <w:rFonts w:cs="Arial"/>
                <w:iCs/>
                <w:color w:val="000000" w:themeColor="text1"/>
                <w:lang w:eastAsia="en-AU"/>
              </w:rPr>
              <w:t>In 2040, Maroondah is an inclusive community where social connections are strong across generations and diversity is embraced and celebrated</w:t>
            </w:r>
            <w:r>
              <w:rPr>
                <w:rFonts w:cs="Arial"/>
                <w:iCs/>
                <w:color w:val="000000" w:themeColor="text1"/>
                <w:lang w:eastAsia="en-AU"/>
              </w:rPr>
              <w:t>.</w:t>
            </w:r>
          </w:p>
        </w:tc>
      </w:tr>
      <w:tr w:rsidR="004B2040" w:rsidRPr="00610E59" w:rsidTr="00DD5586">
        <w:trPr>
          <w:trHeight w:val="855"/>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78" w:name="_Toc481072873"/>
            <w:bookmarkStart w:id="79" w:name="_Toc481077411"/>
            <w:bookmarkStart w:id="80" w:name="_Toc481483646"/>
            <w:bookmarkStart w:id="81" w:name="_Toc508984185"/>
            <w:bookmarkStart w:id="82" w:name="_Toc4056365"/>
            <w:r w:rsidRPr="00265912">
              <w:rPr>
                <w:rFonts w:cs="Arial"/>
                <w:sz w:val="22"/>
                <w:szCs w:val="22"/>
                <w:lang w:eastAsia="en-AU"/>
              </w:rPr>
              <w:t xml:space="preserve">8.  </w:t>
            </w:r>
            <w:bookmarkStart w:id="83" w:name="_Toc381281667"/>
            <w:bookmarkStart w:id="84" w:name="_Toc381700500"/>
            <w:r w:rsidRPr="00265912">
              <w:rPr>
                <w:rFonts w:cs="Arial"/>
                <w:sz w:val="22"/>
                <w:szCs w:val="22"/>
                <w:lang w:eastAsia="en-AU"/>
              </w:rPr>
              <w:t>A well governed and empowered community</w:t>
            </w:r>
            <w:bookmarkEnd w:id="78"/>
            <w:bookmarkEnd w:id="79"/>
            <w:bookmarkEnd w:id="80"/>
            <w:bookmarkEnd w:id="81"/>
            <w:bookmarkEnd w:id="82"/>
            <w:bookmarkEnd w:id="83"/>
            <w:bookmarkEnd w:id="84"/>
          </w:p>
        </w:tc>
        <w:tc>
          <w:tcPr>
            <w:tcW w:w="3750" w:type="pct"/>
          </w:tcPr>
          <w:p w:rsidR="004B2040" w:rsidRPr="00610E59" w:rsidRDefault="004B2040" w:rsidP="004B2040">
            <w:pPr>
              <w:jc w:val="both"/>
              <w:rPr>
                <w:rFonts w:cs="Arial"/>
              </w:rPr>
            </w:pPr>
            <w:r w:rsidRPr="00610E59">
              <w:rPr>
                <w:rFonts w:cs="Arial"/>
                <w:iCs/>
                <w:lang w:eastAsia="en-AU"/>
              </w:rPr>
              <w:t>In 2040, Maroondah is an effectively empowered community that is actively engaged in Council decision making through processes that ensure their voice is heard and considered.  Council provides strong and responsive leadership, ensures transparent processes and works with the community to advocate and champion their needs.</w:t>
            </w:r>
          </w:p>
        </w:tc>
      </w:tr>
    </w:tbl>
    <w:p w:rsidR="004B2040" w:rsidRPr="00E86948" w:rsidRDefault="004B2040" w:rsidP="00E86948">
      <w:pPr>
        <w:pStyle w:val="Heading2"/>
        <w:rPr>
          <w:color w:val="297FD5" w:themeColor="accent3"/>
          <w:lang w:eastAsia="en-AU"/>
        </w:rPr>
      </w:pPr>
      <w:r w:rsidRPr="00242D2A">
        <w:rPr>
          <w:sz w:val="20"/>
        </w:rPr>
        <w:br w:type="page"/>
      </w:r>
      <w:bookmarkStart w:id="85" w:name="_Toc4056366"/>
      <w:r w:rsidRPr="0078676E">
        <w:rPr>
          <w:color w:val="297FD5" w:themeColor="accent3"/>
          <w:lang w:eastAsia="en-AU"/>
        </w:rPr>
        <w:lastRenderedPageBreak/>
        <w:t>2. Services and</w:t>
      </w:r>
      <w:r w:rsidR="00530E65" w:rsidRPr="0078676E">
        <w:rPr>
          <w:color w:val="297FD5" w:themeColor="accent3"/>
          <w:lang w:eastAsia="en-AU"/>
        </w:rPr>
        <w:t xml:space="preserve"> initiatives and</w:t>
      </w:r>
      <w:r w:rsidRPr="0078676E">
        <w:rPr>
          <w:color w:val="297FD5" w:themeColor="accent3"/>
          <w:lang w:eastAsia="en-AU"/>
        </w:rPr>
        <w:t xml:space="preserve"> </w:t>
      </w:r>
      <w:r w:rsidR="00530E65" w:rsidRPr="0078676E">
        <w:rPr>
          <w:color w:val="297FD5" w:themeColor="accent3"/>
          <w:lang w:eastAsia="en-AU"/>
        </w:rPr>
        <w:t>s</w:t>
      </w:r>
      <w:r w:rsidRPr="0078676E">
        <w:rPr>
          <w:color w:val="297FD5" w:themeColor="accent3"/>
          <w:lang w:eastAsia="en-AU"/>
        </w:rPr>
        <w:t xml:space="preserve">ervice </w:t>
      </w:r>
      <w:r w:rsidR="00530E65" w:rsidRPr="0078676E">
        <w:rPr>
          <w:color w:val="297FD5" w:themeColor="accent3"/>
          <w:lang w:eastAsia="en-AU"/>
        </w:rPr>
        <w:t>p</w:t>
      </w:r>
      <w:r w:rsidRPr="0078676E">
        <w:rPr>
          <w:color w:val="297FD5" w:themeColor="accent3"/>
          <w:lang w:eastAsia="en-AU"/>
        </w:rPr>
        <w:t xml:space="preserve">erformance </w:t>
      </w:r>
      <w:r w:rsidR="00530E65" w:rsidRPr="0078676E">
        <w:rPr>
          <w:color w:val="297FD5" w:themeColor="accent3"/>
          <w:lang w:eastAsia="en-AU"/>
        </w:rPr>
        <w:t>i</w:t>
      </w:r>
      <w:r w:rsidRPr="0078676E">
        <w:rPr>
          <w:color w:val="297FD5" w:themeColor="accent3"/>
          <w:lang w:eastAsia="en-AU"/>
        </w:rPr>
        <w:t>ndicators</w:t>
      </w:r>
      <w:bookmarkEnd w:id="85"/>
    </w:p>
    <w:p w:rsidR="004B2040" w:rsidRDefault="004B2040" w:rsidP="004B2040">
      <w:pPr>
        <w:jc w:val="both"/>
        <w:rPr>
          <w:rFonts w:cs="Arial"/>
          <w:b/>
        </w:rPr>
      </w:pPr>
    </w:p>
    <w:p w:rsidR="004B2040" w:rsidRDefault="004B2040" w:rsidP="004B2040">
      <w:pPr>
        <w:jc w:val="both"/>
        <w:rPr>
          <w:rFonts w:cs="Arial"/>
          <w:lang w:eastAsia="en-AU"/>
        </w:rPr>
      </w:pPr>
      <w:r>
        <w:rPr>
          <w:rFonts w:cs="Arial"/>
          <w:lang w:eastAsia="en-AU"/>
        </w:rPr>
        <w:t>Working towards</w:t>
      </w:r>
      <w:r w:rsidRPr="00B1516E">
        <w:rPr>
          <w:rFonts w:cs="Arial"/>
          <w:lang w:eastAsia="en-AU"/>
        </w:rPr>
        <w:t xml:space="preserve"> </w:t>
      </w:r>
      <w:r>
        <w:rPr>
          <w:rFonts w:cs="Arial"/>
          <w:lang w:eastAsia="en-AU"/>
        </w:rPr>
        <w:t>the</w:t>
      </w:r>
      <w:r w:rsidRPr="00B1516E">
        <w:rPr>
          <w:rFonts w:cs="Arial"/>
          <w:lang w:eastAsia="en-AU"/>
        </w:rPr>
        <w:t xml:space="preserve"> </w:t>
      </w:r>
      <w:r w:rsidR="00E0035E">
        <w:rPr>
          <w:rFonts w:cs="Arial"/>
          <w:lang w:eastAsia="en-AU"/>
        </w:rPr>
        <w:t>V</w:t>
      </w:r>
      <w:r>
        <w:rPr>
          <w:rFonts w:cs="Arial"/>
          <w:lang w:eastAsia="en-AU"/>
        </w:rPr>
        <w:t xml:space="preserve">ision outlined </w:t>
      </w:r>
      <w:r w:rsidRPr="00941E58">
        <w:rPr>
          <w:rFonts w:cs="Arial"/>
          <w:lang w:eastAsia="en-AU"/>
        </w:rPr>
        <w:t xml:space="preserve">in </w:t>
      </w:r>
      <w:r w:rsidRPr="00941E58">
        <w:rPr>
          <w:rFonts w:cs="Arial"/>
          <w:i/>
          <w:lang w:eastAsia="en-AU"/>
        </w:rPr>
        <w:t>Maroondah</w:t>
      </w:r>
      <w:r w:rsidRPr="00E0734D">
        <w:rPr>
          <w:rFonts w:cs="Arial"/>
          <w:i/>
          <w:lang w:eastAsia="en-AU"/>
        </w:rPr>
        <w:t xml:space="preserve"> 2040 </w:t>
      </w:r>
      <w:r>
        <w:rPr>
          <w:rFonts w:cs="Arial"/>
          <w:lang w:eastAsia="en-AU"/>
        </w:rPr>
        <w:t>and the achievement of the future outcomes (strategic o</w:t>
      </w:r>
      <w:r w:rsidRPr="00B1516E">
        <w:rPr>
          <w:rFonts w:cs="Arial"/>
          <w:lang w:eastAsia="en-AU"/>
        </w:rPr>
        <w:t>bjective</w:t>
      </w:r>
      <w:r>
        <w:rPr>
          <w:rFonts w:cs="Arial"/>
          <w:lang w:eastAsia="en-AU"/>
        </w:rPr>
        <w:t>s)</w:t>
      </w:r>
      <w:r w:rsidRPr="00B1516E">
        <w:rPr>
          <w:rFonts w:cs="Arial"/>
          <w:lang w:eastAsia="en-AU"/>
        </w:rPr>
        <w:t xml:space="preserve">, we will continue to plan, deliver and improve high quality, cost effective, accessible and responsive services. The services, initiatives, major initiatives (priority actions) and service performance indicators for each service area are described </w:t>
      </w:r>
      <w:r>
        <w:rPr>
          <w:rFonts w:cs="Arial"/>
          <w:lang w:eastAsia="en-AU"/>
        </w:rPr>
        <w:t>in the following section</w:t>
      </w:r>
      <w:r w:rsidRPr="00B1516E">
        <w:rPr>
          <w:rFonts w:cs="Arial"/>
          <w:lang w:eastAsia="en-AU"/>
        </w:rPr>
        <w:t>.</w:t>
      </w:r>
    </w:p>
    <w:p w:rsidR="004B2040" w:rsidRPr="009B6FB7" w:rsidRDefault="004B2040" w:rsidP="004B2040">
      <w:pPr>
        <w:jc w:val="both"/>
        <w:rPr>
          <w:rFonts w:cs="Arial"/>
          <w:color w:val="C00000"/>
        </w:rPr>
      </w:pPr>
    </w:p>
    <w:p w:rsidR="004B2040" w:rsidRPr="009B6FB7" w:rsidRDefault="004B2040" w:rsidP="00E86948">
      <w:pPr>
        <w:pStyle w:val="Heading3"/>
      </w:pPr>
      <w:bookmarkStart w:id="86" w:name="_Toc481072875"/>
      <w:bookmarkStart w:id="87" w:name="_Toc481077413"/>
      <w:bookmarkStart w:id="88" w:name="_Toc481483648"/>
      <w:bookmarkStart w:id="89" w:name="_Toc508984187"/>
      <w:bookmarkStart w:id="90" w:name="_Toc4056367"/>
      <w:r w:rsidRPr="009B6FB7">
        <w:t xml:space="preserve">2.1 Outcome Area (Strategic Objective) 1: </w:t>
      </w:r>
      <w:r w:rsidRPr="009B6FB7">
        <w:rPr>
          <w:lang w:eastAsia="en-AU"/>
        </w:rPr>
        <w:t>A safe, healthy and active community</w:t>
      </w:r>
      <w:bookmarkEnd w:id="86"/>
      <w:bookmarkEnd w:id="87"/>
      <w:bookmarkEnd w:id="88"/>
      <w:bookmarkEnd w:id="89"/>
      <w:bookmarkEnd w:id="90"/>
    </w:p>
    <w:p w:rsidR="004C0B77" w:rsidRDefault="004C0B77" w:rsidP="004B2040">
      <w:pPr>
        <w:jc w:val="both"/>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2020 21 - Section 2 2021 Worksheet CURRENT Post-COVID.XLSX" "2.1!R3C2:R13C6" \a \f 4 \h  \* MERGEFORMAT </w:instrText>
      </w:r>
      <w:r>
        <w:rPr>
          <w:lang w:eastAsia="en-AU"/>
        </w:rPr>
        <w:fldChar w:fldCharType="separate"/>
      </w:r>
    </w:p>
    <w:tbl>
      <w:tblPr>
        <w:tblW w:w="5000" w:type="pct"/>
        <w:tblLook w:val="04A0" w:firstRow="1" w:lastRow="0" w:firstColumn="1" w:lastColumn="0" w:noHBand="0" w:noVBand="1"/>
      </w:tblPr>
      <w:tblGrid>
        <w:gridCol w:w="6732"/>
        <w:gridCol w:w="576"/>
        <w:gridCol w:w="1012"/>
        <w:gridCol w:w="1134"/>
        <w:gridCol w:w="1012"/>
      </w:tblGrid>
      <w:tr w:rsidR="004C0B77" w:rsidRPr="004C0B77" w:rsidTr="004C0B77">
        <w:trPr>
          <w:trHeight w:val="300"/>
        </w:trPr>
        <w:tc>
          <w:tcPr>
            <w:tcW w:w="3277" w:type="pct"/>
            <w:vMerge w:val="restart"/>
            <w:tcBorders>
              <w:top w:val="nil"/>
              <w:left w:val="nil"/>
              <w:bottom w:val="nil"/>
              <w:right w:val="nil"/>
            </w:tcBorders>
            <w:shd w:val="clear" w:color="000000" w:fill="5B9BD5"/>
            <w:vAlign w:val="center"/>
            <w:hideMark/>
          </w:tcPr>
          <w:p w:rsidR="004C0B77" w:rsidRPr="004C0B77" w:rsidRDefault="004C0B77" w:rsidP="004C0B77">
            <w:pPr>
              <w:rPr>
                <w:rFonts w:eastAsia="Times New Roman" w:cs="Arial"/>
                <w:b/>
                <w:bCs/>
                <w:color w:val="FFFFFF"/>
                <w:lang w:eastAsia="en-AU"/>
              </w:rPr>
            </w:pPr>
            <w:r w:rsidRPr="004C0B77">
              <w:rPr>
                <w:rFonts w:eastAsia="Times New Roman" w:cs="Arial"/>
                <w:b/>
                <w:bCs/>
                <w:color w:val="FFFFFF"/>
                <w:lang w:eastAsia="en-AU"/>
              </w:rPr>
              <w:t>Service and Description</w:t>
            </w: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2018/19</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2019/20</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2020/21</w:t>
            </w:r>
          </w:p>
        </w:tc>
      </w:tr>
      <w:tr w:rsidR="004C0B77" w:rsidRPr="004C0B77" w:rsidTr="004C0B77">
        <w:trPr>
          <w:trHeight w:val="300"/>
        </w:trPr>
        <w:tc>
          <w:tcPr>
            <w:tcW w:w="3277"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Actual</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Forecast</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Budget</w:t>
            </w:r>
          </w:p>
        </w:tc>
      </w:tr>
      <w:tr w:rsidR="004C0B77" w:rsidRPr="004C0B77" w:rsidTr="004C0B77">
        <w:trPr>
          <w:trHeight w:val="300"/>
        </w:trPr>
        <w:tc>
          <w:tcPr>
            <w:tcW w:w="3277"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$'000</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$'000</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$'000</w:t>
            </w:r>
          </w:p>
        </w:tc>
      </w:tr>
      <w:tr w:rsidR="004C0B77" w:rsidRPr="004C0B77" w:rsidTr="004C0B77">
        <w:trPr>
          <w:trHeight w:val="525"/>
        </w:trPr>
        <w:tc>
          <w:tcPr>
            <w:tcW w:w="3277"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Youth and Children’s Services</w:t>
            </w:r>
          </w:p>
        </w:tc>
        <w:tc>
          <w:tcPr>
            <w:tcW w:w="266"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67"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52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67"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p>
        </w:tc>
      </w:tr>
      <w:tr w:rsidR="004C0B77" w:rsidRPr="004C0B77" w:rsidTr="004C0B77">
        <w:trPr>
          <w:trHeight w:val="360"/>
        </w:trPr>
        <w:tc>
          <w:tcPr>
            <w:tcW w:w="3277" w:type="pct"/>
            <w:vMerge w:val="restart"/>
            <w:tcBorders>
              <w:top w:val="nil"/>
              <w:left w:val="nil"/>
              <w:bottom w:val="single" w:sz="4" w:space="0" w:color="000000"/>
              <w:right w:val="nil"/>
            </w:tcBorders>
            <w:shd w:val="clear" w:color="auto" w:fill="auto"/>
            <w:hideMark/>
          </w:tcPr>
          <w:p w:rsidR="004C0B77" w:rsidRPr="00433288" w:rsidRDefault="004C0B77" w:rsidP="00AA1BB6">
            <w:pPr>
              <w:pStyle w:val="NoSpacing"/>
              <w:jc w:val="both"/>
              <w:rPr>
                <w:rFonts w:cs="Arial"/>
              </w:rPr>
            </w:pPr>
            <w:r w:rsidRPr="004C0B77">
              <w:rPr>
                <w:rFonts w:eastAsia="Times New Roman" w:cs="Arial"/>
                <w:color w:val="000000"/>
                <w:lang w:eastAsia="en-AU"/>
              </w:rPr>
              <w:t> </w:t>
            </w:r>
            <w:r w:rsidRPr="00433288">
              <w:rPr>
                <w:rFonts w:cs="Arial"/>
              </w:rPr>
              <w:t>Youth and Children’s Services works to raise the wellbeing of Maroondah’s children, young people and their families by performing a wide range of roles and functions.</w:t>
            </w:r>
          </w:p>
          <w:p w:rsidR="004C0B77" w:rsidRPr="00433288" w:rsidRDefault="004C0B77" w:rsidP="00AA1BB6">
            <w:pPr>
              <w:pStyle w:val="NoSpacing"/>
              <w:jc w:val="both"/>
              <w:rPr>
                <w:rFonts w:cs="Arial"/>
              </w:rPr>
            </w:pPr>
            <w:r w:rsidRPr="00433288">
              <w:rPr>
                <w:rFonts w:cs="Arial"/>
              </w:rPr>
              <w:t>Key services and functions include:</w:t>
            </w:r>
          </w:p>
          <w:p w:rsidR="004C0B77" w:rsidRPr="00433288" w:rsidRDefault="004C0B77" w:rsidP="00AA1BB6">
            <w:pPr>
              <w:pStyle w:val="NoSpacing"/>
              <w:numPr>
                <w:ilvl w:val="0"/>
                <w:numId w:val="30"/>
              </w:numPr>
              <w:jc w:val="both"/>
              <w:rPr>
                <w:rFonts w:cs="Arial"/>
              </w:rPr>
            </w:pPr>
            <w:r w:rsidRPr="00433288">
              <w:rPr>
                <w:rFonts w:cs="Arial"/>
              </w:rPr>
              <w:t>Youth development programs, individual support services and events for young people</w:t>
            </w:r>
          </w:p>
          <w:p w:rsidR="004C0B77" w:rsidRPr="00433288" w:rsidRDefault="004C0B77" w:rsidP="00AA1BB6">
            <w:pPr>
              <w:pStyle w:val="NoSpacing"/>
              <w:numPr>
                <w:ilvl w:val="0"/>
                <w:numId w:val="30"/>
              </w:numPr>
              <w:jc w:val="both"/>
              <w:rPr>
                <w:rFonts w:cs="Arial"/>
              </w:rPr>
            </w:pPr>
            <w:r w:rsidRPr="00433288">
              <w:rPr>
                <w:rFonts w:cs="Arial"/>
              </w:rPr>
              <w:t>Vacation Care Programs, Family Day Care and Occasional Care Services for children</w:t>
            </w:r>
          </w:p>
          <w:p w:rsidR="004C0B77" w:rsidRPr="00433288" w:rsidRDefault="004C0B77" w:rsidP="00AA1BB6">
            <w:pPr>
              <w:pStyle w:val="NoSpacing"/>
              <w:numPr>
                <w:ilvl w:val="0"/>
                <w:numId w:val="30"/>
              </w:numPr>
              <w:jc w:val="both"/>
              <w:rPr>
                <w:rFonts w:cs="Arial"/>
              </w:rPr>
            </w:pPr>
            <w:r w:rsidRPr="00433288">
              <w:rPr>
                <w:rFonts w:cs="Arial"/>
              </w:rPr>
              <w:t>Information and education sessions for parents</w:t>
            </w:r>
          </w:p>
          <w:p w:rsidR="004C0B77" w:rsidRPr="00433288" w:rsidRDefault="004C0B77" w:rsidP="00AA1BB6">
            <w:pPr>
              <w:pStyle w:val="NoSpacing"/>
              <w:numPr>
                <w:ilvl w:val="0"/>
                <w:numId w:val="30"/>
              </w:numPr>
              <w:jc w:val="both"/>
              <w:rPr>
                <w:rFonts w:cs="Arial"/>
              </w:rPr>
            </w:pPr>
            <w:r w:rsidRPr="00433288">
              <w:rPr>
                <w:rFonts w:cs="Arial"/>
              </w:rPr>
              <w:t>Professional learning program for early childhood educators</w:t>
            </w:r>
          </w:p>
          <w:p w:rsidR="004C0B77" w:rsidRPr="00433288" w:rsidRDefault="004C0B77" w:rsidP="00AA1BB6">
            <w:pPr>
              <w:pStyle w:val="NoSpacing"/>
              <w:numPr>
                <w:ilvl w:val="0"/>
                <w:numId w:val="30"/>
              </w:numPr>
              <w:jc w:val="both"/>
              <w:rPr>
                <w:rFonts w:cs="Arial"/>
              </w:rPr>
            </w:pPr>
            <w:r w:rsidRPr="00433288">
              <w:rPr>
                <w:rFonts w:cs="Arial"/>
              </w:rPr>
              <w:t>Working with schools to enhance student wellbeing through the School Focussed Youth Service</w:t>
            </w:r>
          </w:p>
          <w:p w:rsidR="004C0B77" w:rsidRPr="00433288" w:rsidRDefault="004C0B77" w:rsidP="00AA1BB6">
            <w:pPr>
              <w:pStyle w:val="NoSpacing"/>
              <w:numPr>
                <w:ilvl w:val="0"/>
                <w:numId w:val="30"/>
              </w:numPr>
              <w:jc w:val="both"/>
              <w:rPr>
                <w:rFonts w:cs="Arial"/>
              </w:rPr>
            </w:pPr>
            <w:r w:rsidRPr="00433288">
              <w:rPr>
                <w:rFonts w:cs="Arial"/>
              </w:rPr>
              <w:t>Maroondah plus 10 Schools project</w:t>
            </w:r>
          </w:p>
          <w:p w:rsidR="004C0B77" w:rsidRPr="00433288" w:rsidRDefault="004C0B77" w:rsidP="00AA1BB6">
            <w:pPr>
              <w:pStyle w:val="NoSpacing"/>
              <w:numPr>
                <w:ilvl w:val="0"/>
                <w:numId w:val="30"/>
              </w:numPr>
              <w:jc w:val="both"/>
              <w:rPr>
                <w:rFonts w:cs="Arial"/>
              </w:rPr>
            </w:pPr>
            <w:r w:rsidRPr="00433288">
              <w:rPr>
                <w:rFonts w:cs="Arial"/>
              </w:rPr>
              <w:t>Capacity building initiatives for professionals including education and professional networks</w:t>
            </w:r>
          </w:p>
          <w:p w:rsidR="004C0B77" w:rsidRPr="00BE13D7" w:rsidRDefault="004C0B77" w:rsidP="00AA1BB6">
            <w:pPr>
              <w:pStyle w:val="NoSpacing"/>
              <w:numPr>
                <w:ilvl w:val="0"/>
                <w:numId w:val="30"/>
              </w:numPr>
              <w:jc w:val="both"/>
              <w:rPr>
                <w:rFonts w:cs="Arial"/>
              </w:rPr>
            </w:pPr>
            <w:r w:rsidRPr="00BE13D7">
              <w:rPr>
                <w:rFonts w:cs="Arial"/>
              </w:rPr>
              <w:t>Supporting kindergartens</w:t>
            </w:r>
          </w:p>
          <w:p w:rsidR="004C0B77" w:rsidRPr="00BE13D7" w:rsidRDefault="004C0B77" w:rsidP="00AA1BB6">
            <w:pPr>
              <w:pStyle w:val="NoSpacing"/>
              <w:numPr>
                <w:ilvl w:val="0"/>
                <w:numId w:val="30"/>
              </w:numPr>
              <w:jc w:val="both"/>
              <w:rPr>
                <w:rFonts w:cs="Arial"/>
              </w:rPr>
            </w:pPr>
            <w:r w:rsidRPr="00BE13D7">
              <w:rPr>
                <w:rFonts w:cs="Arial"/>
              </w:rPr>
              <w:t xml:space="preserve">Facility provision and management </w:t>
            </w:r>
          </w:p>
          <w:p w:rsidR="004C0B77" w:rsidRPr="004C0B77" w:rsidRDefault="004C0B77" w:rsidP="00AA1BB6">
            <w:pPr>
              <w:pStyle w:val="NoSpacing"/>
              <w:numPr>
                <w:ilvl w:val="0"/>
                <w:numId w:val="30"/>
              </w:numPr>
              <w:jc w:val="both"/>
              <w:rPr>
                <w:rFonts w:eastAsia="Times New Roman" w:cs="Arial"/>
                <w:color w:val="000000"/>
                <w:lang w:eastAsia="en-AU"/>
              </w:rPr>
            </w:pPr>
            <w:r w:rsidRPr="00BE13D7">
              <w:rPr>
                <w:rFonts w:cs="Arial"/>
              </w:rPr>
              <w:t xml:space="preserve">Community and online engagement </w:t>
            </w:r>
          </w:p>
          <w:p w:rsidR="004C0B77" w:rsidRPr="004C0B77" w:rsidRDefault="004C0B77" w:rsidP="00AA1BB6">
            <w:pPr>
              <w:pStyle w:val="NoSpacing"/>
              <w:numPr>
                <w:ilvl w:val="0"/>
                <w:numId w:val="30"/>
              </w:numPr>
              <w:jc w:val="both"/>
              <w:rPr>
                <w:rFonts w:eastAsia="Times New Roman" w:cs="Arial"/>
                <w:color w:val="000000"/>
                <w:lang w:eastAsia="en-AU"/>
              </w:rPr>
            </w:pPr>
            <w:r w:rsidRPr="004C0B77">
              <w:rPr>
                <w:rFonts w:cs="Arial"/>
              </w:rPr>
              <w:t>Strategic planning, projects and sector development</w:t>
            </w:r>
          </w:p>
        </w:tc>
        <w:tc>
          <w:tcPr>
            <w:tcW w:w="266"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67"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2,781</w:t>
            </w:r>
          </w:p>
        </w:tc>
        <w:tc>
          <w:tcPr>
            <w:tcW w:w="52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2,727</w:t>
            </w:r>
          </w:p>
        </w:tc>
        <w:tc>
          <w:tcPr>
            <w:tcW w:w="467"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2,794</w:t>
            </w:r>
          </w:p>
        </w:tc>
      </w:tr>
      <w:tr w:rsidR="004C0B77" w:rsidRPr="004C0B77" w:rsidTr="004C0B77">
        <w:trPr>
          <w:trHeight w:val="36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(1,225)</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(1,002)</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(818)</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1,556</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1,725</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1,976</w:t>
            </w:r>
          </w:p>
        </w:tc>
      </w:tr>
      <w:tr w:rsidR="004C0B77" w:rsidRPr="004C0B77" w:rsidTr="004C0B77">
        <w:trPr>
          <w:trHeight w:val="525"/>
        </w:trPr>
        <w:tc>
          <w:tcPr>
            <w:tcW w:w="3277"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Community Health Services</w:t>
            </w:r>
          </w:p>
        </w:tc>
        <w:tc>
          <w:tcPr>
            <w:tcW w:w="266"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67"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52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67"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p>
        </w:tc>
      </w:tr>
      <w:tr w:rsidR="004C0B77" w:rsidRPr="004C0B77" w:rsidTr="004C0B77">
        <w:trPr>
          <w:trHeight w:val="300"/>
        </w:trPr>
        <w:tc>
          <w:tcPr>
            <w:tcW w:w="3277" w:type="pct"/>
            <w:vMerge w:val="restart"/>
            <w:tcBorders>
              <w:top w:val="nil"/>
              <w:left w:val="nil"/>
              <w:bottom w:val="single" w:sz="4" w:space="0" w:color="000000"/>
              <w:right w:val="nil"/>
            </w:tcBorders>
            <w:shd w:val="clear" w:color="auto" w:fill="auto"/>
            <w:hideMark/>
          </w:tcPr>
          <w:p w:rsidR="004C0B77" w:rsidRPr="004C0B77" w:rsidRDefault="004C0B77" w:rsidP="004C0B77">
            <w:pPr>
              <w:jc w:val="both"/>
              <w:rPr>
                <w:rFonts w:eastAsia="Times New Roman" w:cs="Arial"/>
                <w:color w:val="000000"/>
                <w:lang w:eastAsia="en-AU"/>
              </w:rPr>
            </w:pPr>
            <w:r w:rsidRPr="004C0B77">
              <w:rPr>
                <w:rFonts w:eastAsia="Times New Roman" w:cs="Arial"/>
                <w:color w:val="000000"/>
                <w:lang w:eastAsia="en-AU"/>
              </w:rPr>
              <w:t> </w:t>
            </w:r>
            <w:r w:rsidRPr="00ED779B">
              <w:rPr>
                <w:rFonts w:cs="Arial"/>
                <w:lang w:eastAsia="en-AU"/>
              </w:rPr>
              <w:t>The City of Maroondah has a comparatively healthy community, residing in a clean and safe environment.  Council plays an instrumental role protecting and promoting the health and wellbeing of the community through education and prevention strategies while supporting sustainable safe environments. A broad range of proactive and reactive activities are undertaken to reduce public health risks that include the registration and assessment of food and health businesses, statutory food and water sampling, communicable disease investigations, preventative health services and advice that include Immunisation Services and general health promotion activities. Council manages emergencies in accordance with the legislation in the Emergency Management Act and the Emergency Management Manual of Victoria.   Council is responsible for the planning, preparation, training and exercising of emergency processes and works collaboratively across the region to improve consistency in operations.</w:t>
            </w:r>
          </w:p>
        </w:tc>
        <w:tc>
          <w:tcPr>
            <w:tcW w:w="266"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67"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1,728</w:t>
            </w:r>
          </w:p>
        </w:tc>
        <w:tc>
          <w:tcPr>
            <w:tcW w:w="52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1,703</w:t>
            </w:r>
          </w:p>
        </w:tc>
        <w:tc>
          <w:tcPr>
            <w:tcW w:w="467"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1,688</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(608)</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(633)</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(690)</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1,120</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1,070</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998</w:t>
            </w:r>
          </w:p>
        </w:tc>
      </w:tr>
    </w:tbl>
    <w:p w:rsidR="004C0B77" w:rsidRDefault="004C0B77" w:rsidP="004B2040">
      <w:pPr>
        <w:jc w:val="both"/>
        <w:rPr>
          <w:rFonts w:cs="Arial"/>
          <w:b/>
          <w:bCs/>
          <w:iCs/>
          <w:lang w:eastAsia="en-AU"/>
        </w:rPr>
      </w:pPr>
      <w:r>
        <w:rPr>
          <w:rFonts w:cs="Arial"/>
          <w:b/>
          <w:bCs/>
          <w:iCs/>
          <w:lang w:eastAsia="en-AU"/>
        </w:rPr>
        <w:fldChar w:fldCharType="end"/>
      </w:r>
    </w:p>
    <w:p w:rsidR="00DA0C75" w:rsidRDefault="00DA0C75">
      <w:pPr>
        <w:rPr>
          <w:rFonts w:cs="Arial"/>
          <w:b/>
          <w:bCs/>
          <w:iCs/>
          <w:lang w:eastAsia="en-AU"/>
        </w:rPr>
      </w:pPr>
      <w:r>
        <w:rPr>
          <w:rFonts w:cs="Arial"/>
          <w:b/>
          <w:bCs/>
          <w:iCs/>
          <w:lang w:eastAsia="en-AU"/>
        </w:rPr>
        <w:br w:type="page"/>
      </w:r>
    </w:p>
    <w:tbl>
      <w:tblPr>
        <w:tblW w:w="5000" w:type="pct"/>
        <w:tblLook w:val="04A0" w:firstRow="1" w:lastRow="0" w:firstColumn="1" w:lastColumn="0" w:noHBand="0" w:noVBand="1"/>
      </w:tblPr>
      <w:tblGrid>
        <w:gridCol w:w="6732"/>
        <w:gridCol w:w="576"/>
        <w:gridCol w:w="1012"/>
        <w:gridCol w:w="1134"/>
        <w:gridCol w:w="1012"/>
      </w:tblGrid>
      <w:tr w:rsidR="004C0B77" w:rsidRPr="004C0B77" w:rsidTr="00DA0C75">
        <w:trPr>
          <w:trHeight w:val="300"/>
        </w:trPr>
        <w:tc>
          <w:tcPr>
            <w:tcW w:w="3216" w:type="pct"/>
            <w:vMerge w:val="restart"/>
            <w:tcBorders>
              <w:top w:val="nil"/>
              <w:left w:val="nil"/>
              <w:bottom w:val="nil"/>
              <w:right w:val="nil"/>
            </w:tcBorders>
            <w:shd w:val="clear" w:color="000000" w:fill="5B9BD5"/>
            <w:vAlign w:val="center"/>
            <w:hideMark/>
          </w:tcPr>
          <w:p w:rsidR="004C0B77" w:rsidRPr="004C0B77" w:rsidRDefault="004C0B77" w:rsidP="004C0B77">
            <w:pPr>
              <w:rPr>
                <w:rFonts w:eastAsia="Times New Roman" w:cs="Arial"/>
                <w:b/>
                <w:bCs/>
                <w:color w:val="FFFFFF"/>
                <w:lang w:eastAsia="en-AU"/>
              </w:rPr>
            </w:pPr>
            <w:r w:rsidRPr="004C0B77">
              <w:rPr>
                <w:rFonts w:eastAsia="Times New Roman" w:cs="Arial"/>
                <w:b/>
                <w:bCs/>
                <w:color w:val="FFFFFF"/>
                <w:lang w:eastAsia="en-AU"/>
              </w:rPr>
              <w:lastRenderedPageBreak/>
              <w:t>Service and Description</w:t>
            </w:r>
          </w:p>
        </w:tc>
        <w:tc>
          <w:tcPr>
            <w:tcW w:w="275"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2020/21</w:t>
            </w:r>
          </w:p>
        </w:tc>
      </w:tr>
      <w:tr w:rsidR="004C0B77" w:rsidRPr="004C0B77" w:rsidTr="00DA0C75">
        <w:trPr>
          <w:trHeight w:val="300"/>
        </w:trPr>
        <w:tc>
          <w:tcPr>
            <w:tcW w:w="3216"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Budget</w:t>
            </w:r>
          </w:p>
        </w:tc>
      </w:tr>
      <w:tr w:rsidR="004C0B77" w:rsidRPr="004C0B77" w:rsidTr="00DA0C75">
        <w:trPr>
          <w:trHeight w:val="300"/>
        </w:trPr>
        <w:tc>
          <w:tcPr>
            <w:tcW w:w="3216"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r>
      <w:tr w:rsidR="004C0B77" w:rsidRPr="004C0B77" w:rsidTr="00DA0C75">
        <w:trPr>
          <w:trHeight w:val="525"/>
        </w:trPr>
        <w:tc>
          <w:tcPr>
            <w:tcW w:w="3216"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Council and Community Planning</w:t>
            </w:r>
          </w:p>
        </w:tc>
        <w:tc>
          <w:tcPr>
            <w:tcW w:w="275"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p>
        </w:tc>
      </w:tr>
      <w:tr w:rsidR="004C0B77" w:rsidRPr="004C0B77" w:rsidTr="00DA0C75">
        <w:trPr>
          <w:trHeight w:val="300"/>
        </w:trPr>
        <w:tc>
          <w:tcPr>
            <w:tcW w:w="3216" w:type="pct"/>
            <w:vMerge w:val="restart"/>
            <w:tcBorders>
              <w:top w:val="nil"/>
              <w:left w:val="nil"/>
              <w:bottom w:val="single" w:sz="4" w:space="0" w:color="000000"/>
              <w:right w:val="nil"/>
            </w:tcBorders>
            <w:shd w:val="clear" w:color="auto" w:fill="auto"/>
            <w:hideMark/>
          </w:tcPr>
          <w:p w:rsidR="004C0B77" w:rsidRPr="00F7415A" w:rsidRDefault="004C0B77" w:rsidP="004C0B77">
            <w:pPr>
              <w:jc w:val="both"/>
              <w:rPr>
                <w:rFonts w:ascii="Calibri" w:hAnsi="Calibri"/>
              </w:rPr>
            </w:pPr>
            <w:r w:rsidRPr="004C0B77">
              <w:rPr>
                <w:rFonts w:eastAsia="Times New Roman" w:cs="Arial"/>
                <w:color w:val="000000"/>
                <w:lang w:eastAsia="en-AU"/>
              </w:rPr>
              <w:t> </w:t>
            </w:r>
            <w:r w:rsidRPr="00915D20">
              <w:rPr>
                <w:rFonts w:eastAsia="Times New Roman" w:cs="Arial"/>
                <w:color w:val="000000"/>
                <w:lang w:eastAsia="en-AU"/>
              </w:rPr>
              <w:t> </w:t>
            </w:r>
            <w:r w:rsidRPr="004A281C">
              <w:rPr>
                <w:rFonts w:eastAsia="Times New Roman" w:cs="Arial"/>
                <w:color w:val="000000"/>
                <w:lang w:eastAsia="en-AU"/>
              </w:rPr>
              <w:t> </w:t>
            </w:r>
            <w:r w:rsidRPr="00F7415A">
              <w:t>This team oversees the integrated planning and delivery of Council activities in accordance with organisational goals, objectives and budgets. The team facilitates community wellbeing, disability advocacy, social research, community safety, and on-the-ground community development activities.</w:t>
            </w:r>
          </w:p>
          <w:p w:rsidR="004C0B77" w:rsidRPr="004C0B77" w:rsidRDefault="004C0B77" w:rsidP="004C0B77">
            <w:pPr>
              <w:jc w:val="both"/>
              <w:rPr>
                <w:rFonts w:eastAsia="Times New Roman" w:cs="Arial"/>
                <w:color w:val="000000"/>
                <w:lang w:eastAsia="en-AU"/>
              </w:rPr>
            </w:pPr>
            <w:r w:rsidRPr="00F7415A">
              <w:t xml:space="preserve">It oversees the development and implementation of the community vision, Maroondah 2040, coordinates the development and implementation of the Maroondah Health and Wellbeing Plan, Disability Policy and Action Plan and Reconciliation Action Plan.  It also leads Council policy development on social issues such as: affordable housing, gender equity and gambling.  The team supports the Maroondah Disability Advisory, Maroondah Partners in Community Wellbeing and Community Safety Committees as well as the Maroondah Communities of Wellbeing initiative.  In </w:t>
            </w:r>
            <w:proofErr w:type="gramStart"/>
            <w:r w:rsidRPr="00F7415A">
              <w:t>addition</w:t>
            </w:r>
            <w:proofErr w:type="gramEnd"/>
            <w:r w:rsidRPr="00F7415A">
              <w:t xml:space="preserve"> it oversees Council’s Community Grants funding program, supports the work of the Maroondah Liquor Accord, coordinates the Maroondah’s Community Houses Network, supports Preventing Violence Against Women and gender equity activities, leads disability initiatives and advocacy and prepares funding applications as appropriate.  It coordinates the preparation of the Annual Report and Council Plan, facilitates service delivery planning across the organisation, coordinates reporting on the Local Government Performance Reporting Framework and supports organisation wide policy development and strategy development.</w:t>
            </w:r>
          </w:p>
        </w:tc>
        <w:tc>
          <w:tcPr>
            <w:tcW w:w="275"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1,529</w:t>
            </w:r>
          </w:p>
        </w:tc>
        <w:tc>
          <w:tcPr>
            <w:tcW w:w="542"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1,672</w:t>
            </w:r>
          </w:p>
        </w:tc>
        <w:tc>
          <w:tcPr>
            <w:tcW w:w="483"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1,741</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(165)</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(101)</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(3)</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1,364</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1,570</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1,738</w:t>
            </w:r>
          </w:p>
        </w:tc>
      </w:tr>
      <w:tr w:rsidR="004C0B77" w:rsidRPr="004C0B77" w:rsidTr="00DA0C75">
        <w:trPr>
          <w:trHeight w:val="525"/>
        </w:trPr>
        <w:tc>
          <w:tcPr>
            <w:tcW w:w="3216"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Maroondah Leisure</w:t>
            </w:r>
          </w:p>
        </w:tc>
        <w:tc>
          <w:tcPr>
            <w:tcW w:w="275"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Exp</w:t>
            </w:r>
          </w:p>
        </w:tc>
        <w:tc>
          <w:tcPr>
            <w:tcW w:w="48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18508.2</w:t>
            </w:r>
          </w:p>
        </w:tc>
        <w:tc>
          <w:tcPr>
            <w:tcW w:w="542"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w:t>
            </w:r>
          </w:p>
        </w:tc>
        <w:tc>
          <w:tcPr>
            <w:tcW w:w="483"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16815.12</w:t>
            </w:r>
          </w:p>
        </w:tc>
      </w:tr>
      <w:tr w:rsidR="004C0B77" w:rsidRPr="004C0B77" w:rsidTr="00DA0C75">
        <w:trPr>
          <w:trHeight w:val="300"/>
        </w:trPr>
        <w:tc>
          <w:tcPr>
            <w:tcW w:w="3216" w:type="pct"/>
            <w:vMerge w:val="restart"/>
            <w:tcBorders>
              <w:top w:val="nil"/>
              <w:left w:val="nil"/>
              <w:bottom w:val="single" w:sz="4" w:space="0" w:color="000000"/>
              <w:right w:val="nil"/>
            </w:tcBorders>
            <w:shd w:val="clear" w:color="auto" w:fill="auto"/>
            <w:hideMark/>
          </w:tcPr>
          <w:p w:rsidR="004C0B77" w:rsidRPr="004C0B77" w:rsidRDefault="004C0B77" w:rsidP="004C0B77">
            <w:pPr>
              <w:jc w:val="both"/>
              <w:rPr>
                <w:rFonts w:eastAsia="Times New Roman" w:cs="Arial"/>
                <w:color w:val="000000"/>
                <w:lang w:eastAsia="en-AU"/>
              </w:rPr>
            </w:pPr>
            <w:r w:rsidRPr="004C0B77">
              <w:rPr>
                <w:rFonts w:eastAsia="Times New Roman" w:cs="Arial"/>
                <w:color w:val="000000"/>
                <w:lang w:eastAsia="en-AU"/>
              </w:rPr>
              <w:t> </w:t>
            </w:r>
            <w:r w:rsidRPr="00106048">
              <w:rPr>
                <w:rFonts w:cs="Arial"/>
              </w:rPr>
              <w:t xml:space="preserve">This area provides a broad range of services, activities and facilities to meet the needs of Maroondah’s diverse community. The service area provides support, management and operation of Council’s major leisure facilities, including Aquahub, Aquanation, Croydon Memorial Pool, Dorset and Ringwood Golf, The Rings and </w:t>
            </w:r>
            <w:r>
              <w:rPr>
                <w:rFonts w:cs="Arial"/>
              </w:rPr>
              <w:t>Maroondah Nets</w:t>
            </w:r>
            <w:r w:rsidRPr="00106048">
              <w:rPr>
                <w:rFonts w:cs="Arial"/>
              </w:rPr>
              <w:t>.  The service area also has a strong focus on service co-ordination and policy development.</w:t>
            </w:r>
          </w:p>
        </w:tc>
        <w:tc>
          <w:tcPr>
            <w:tcW w:w="275"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18,508</w:t>
            </w:r>
          </w:p>
        </w:tc>
        <w:tc>
          <w:tcPr>
            <w:tcW w:w="542"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16,140</w:t>
            </w:r>
          </w:p>
        </w:tc>
        <w:tc>
          <w:tcPr>
            <w:tcW w:w="483"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16,815</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(19,336)</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(14,234)</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(15,805)</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(828)</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1,906</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1,010</w:t>
            </w:r>
          </w:p>
        </w:tc>
      </w:tr>
      <w:tr w:rsidR="004C0B77" w:rsidRPr="004C0B77" w:rsidTr="00DA0C75">
        <w:trPr>
          <w:trHeight w:val="525"/>
        </w:trPr>
        <w:tc>
          <w:tcPr>
            <w:tcW w:w="3216"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Sports, Recreation and Events</w:t>
            </w:r>
          </w:p>
        </w:tc>
        <w:tc>
          <w:tcPr>
            <w:tcW w:w="275"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Exp</w:t>
            </w:r>
          </w:p>
        </w:tc>
        <w:tc>
          <w:tcPr>
            <w:tcW w:w="48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1273.989</w:t>
            </w:r>
          </w:p>
        </w:tc>
        <w:tc>
          <w:tcPr>
            <w:tcW w:w="542"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w:t>
            </w:r>
          </w:p>
        </w:tc>
        <w:tc>
          <w:tcPr>
            <w:tcW w:w="483"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1345.266</w:t>
            </w:r>
          </w:p>
        </w:tc>
      </w:tr>
      <w:tr w:rsidR="004C0B77" w:rsidRPr="004C0B77" w:rsidTr="00DA0C75">
        <w:trPr>
          <w:trHeight w:val="300"/>
        </w:trPr>
        <w:tc>
          <w:tcPr>
            <w:tcW w:w="3216" w:type="pct"/>
            <w:vMerge w:val="restart"/>
            <w:tcBorders>
              <w:top w:val="nil"/>
              <w:left w:val="nil"/>
              <w:bottom w:val="single" w:sz="4" w:space="0" w:color="000000"/>
              <w:right w:val="nil"/>
            </w:tcBorders>
            <w:shd w:val="clear" w:color="auto" w:fill="auto"/>
            <w:hideMark/>
          </w:tcPr>
          <w:p w:rsidR="004C0B77" w:rsidRPr="0012305E" w:rsidRDefault="004C0B77" w:rsidP="004C0B77">
            <w:pPr>
              <w:autoSpaceDE w:val="0"/>
              <w:autoSpaceDN w:val="0"/>
              <w:adjustRightInd w:val="0"/>
              <w:rPr>
                <w:rFonts w:cs="Arial"/>
                <w:lang w:eastAsia="en-AU"/>
              </w:rPr>
            </w:pPr>
            <w:r w:rsidRPr="004C0B77">
              <w:rPr>
                <w:rFonts w:eastAsia="Times New Roman" w:cs="Arial"/>
                <w:color w:val="000000"/>
                <w:lang w:eastAsia="en-AU"/>
              </w:rPr>
              <w:t> </w:t>
            </w:r>
            <w:r w:rsidRPr="00915D20">
              <w:rPr>
                <w:rFonts w:eastAsia="Times New Roman" w:cs="Arial"/>
                <w:color w:val="000000"/>
                <w:lang w:eastAsia="en-AU"/>
              </w:rPr>
              <w:t> </w:t>
            </w:r>
            <w:r w:rsidRPr="004A281C">
              <w:rPr>
                <w:rFonts w:eastAsia="Times New Roman" w:cs="Arial"/>
                <w:color w:val="000000"/>
                <w:lang w:eastAsia="en-AU"/>
              </w:rPr>
              <w:t> </w:t>
            </w:r>
            <w:r w:rsidRPr="0012305E">
              <w:rPr>
                <w:rFonts w:cs="Arial"/>
                <w:lang w:eastAsia="en-AU"/>
              </w:rPr>
              <w:t>This service area supports and encourages community involvement in physical activity via direct and indirect service provision through:</w:t>
            </w:r>
          </w:p>
          <w:p w:rsidR="004C0B77" w:rsidRPr="0012305E" w:rsidRDefault="004C0B77" w:rsidP="004C0B77">
            <w:pPr>
              <w:numPr>
                <w:ilvl w:val="0"/>
                <w:numId w:val="28"/>
              </w:numPr>
              <w:autoSpaceDE w:val="0"/>
              <w:autoSpaceDN w:val="0"/>
              <w:adjustRightInd w:val="0"/>
              <w:ind w:left="360"/>
              <w:contextualSpacing/>
              <w:rPr>
                <w:rFonts w:cs="Arial"/>
                <w:lang w:eastAsia="en-AU"/>
              </w:rPr>
            </w:pPr>
            <w:r w:rsidRPr="0012305E">
              <w:rPr>
                <w:rFonts w:cs="Arial"/>
                <w:lang w:eastAsia="en-AU"/>
              </w:rPr>
              <w:t xml:space="preserve">Casual and Seasonal allocation of sports fields and pavilions; </w:t>
            </w:r>
          </w:p>
          <w:p w:rsidR="004C0B77" w:rsidRPr="0012305E" w:rsidRDefault="004C0B77" w:rsidP="004C0B77">
            <w:pPr>
              <w:numPr>
                <w:ilvl w:val="0"/>
                <w:numId w:val="28"/>
              </w:numPr>
              <w:autoSpaceDE w:val="0"/>
              <w:autoSpaceDN w:val="0"/>
              <w:adjustRightInd w:val="0"/>
              <w:ind w:left="360"/>
              <w:contextualSpacing/>
              <w:rPr>
                <w:rFonts w:cs="Arial"/>
                <w:lang w:eastAsia="en-AU"/>
              </w:rPr>
            </w:pPr>
            <w:r w:rsidRPr="0012305E">
              <w:rPr>
                <w:rFonts w:cs="Arial"/>
                <w:lang w:eastAsia="en-AU"/>
              </w:rPr>
              <w:t xml:space="preserve">Community Facilities Tenancy agreement development and management; </w:t>
            </w:r>
          </w:p>
          <w:p w:rsidR="004C0B77" w:rsidRPr="0012305E" w:rsidRDefault="004C0B77" w:rsidP="004C0B77">
            <w:pPr>
              <w:numPr>
                <w:ilvl w:val="0"/>
                <w:numId w:val="28"/>
              </w:numPr>
              <w:autoSpaceDE w:val="0"/>
              <w:autoSpaceDN w:val="0"/>
              <w:adjustRightInd w:val="0"/>
              <w:ind w:left="360"/>
              <w:contextualSpacing/>
              <w:rPr>
                <w:rFonts w:cs="Arial"/>
                <w:lang w:eastAsia="en-AU"/>
              </w:rPr>
            </w:pPr>
            <w:r w:rsidRPr="0012305E">
              <w:rPr>
                <w:rFonts w:cs="Arial"/>
                <w:lang w:eastAsia="en-AU"/>
              </w:rPr>
              <w:t xml:space="preserve">Events and Festivals; Direct service provision, support and advice for </w:t>
            </w:r>
            <w:proofErr w:type="gramStart"/>
            <w:r w:rsidRPr="0012305E">
              <w:rPr>
                <w:rFonts w:cs="Arial"/>
                <w:lang w:eastAsia="en-AU"/>
              </w:rPr>
              <w:t>community based</w:t>
            </w:r>
            <w:proofErr w:type="gramEnd"/>
            <w:r w:rsidRPr="0012305E">
              <w:rPr>
                <w:rFonts w:cs="Arial"/>
                <w:lang w:eastAsia="en-AU"/>
              </w:rPr>
              <w:t xml:space="preserve"> events; </w:t>
            </w:r>
          </w:p>
          <w:p w:rsidR="004C0B77" w:rsidRPr="0012305E" w:rsidRDefault="004C0B77" w:rsidP="004C0B77">
            <w:pPr>
              <w:numPr>
                <w:ilvl w:val="0"/>
                <w:numId w:val="28"/>
              </w:numPr>
              <w:autoSpaceDE w:val="0"/>
              <w:autoSpaceDN w:val="0"/>
              <w:adjustRightInd w:val="0"/>
              <w:ind w:left="360"/>
              <w:contextualSpacing/>
              <w:rPr>
                <w:rFonts w:cs="Arial"/>
                <w:lang w:eastAsia="en-AU"/>
              </w:rPr>
            </w:pPr>
            <w:r w:rsidRPr="0012305E">
              <w:rPr>
                <w:rFonts w:cs="Arial"/>
                <w:lang w:eastAsia="en-AU"/>
              </w:rPr>
              <w:t xml:space="preserve">Community sporting liaison and advocacy; Capital works project planning and co-ordination; </w:t>
            </w:r>
          </w:p>
          <w:p w:rsidR="004C0B77" w:rsidRPr="0012305E" w:rsidRDefault="004C0B77" w:rsidP="004C0B77">
            <w:pPr>
              <w:numPr>
                <w:ilvl w:val="0"/>
                <w:numId w:val="28"/>
              </w:numPr>
              <w:autoSpaceDE w:val="0"/>
              <w:autoSpaceDN w:val="0"/>
              <w:adjustRightInd w:val="0"/>
              <w:ind w:left="360"/>
              <w:contextualSpacing/>
              <w:rPr>
                <w:rFonts w:cs="Arial"/>
                <w:lang w:eastAsia="en-AU"/>
              </w:rPr>
            </w:pPr>
            <w:r w:rsidRPr="0012305E">
              <w:rPr>
                <w:rFonts w:cs="Arial"/>
                <w:lang w:eastAsia="en-AU"/>
              </w:rPr>
              <w:t xml:space="preserve">Promotion of participation in physical activity; Information dissemination and direct liaison with sport and recreation groups; </w:t>
            </w:r>
          </w:p>
          <w:p w:rsidR="004C0B77" w:rsidRPr="004C0B77" w:rsidRDefault="004C0B77" w:rsidP="004C0B77">
            <w:pPr>
              <w:numPr>
                <w:ilvl w:val="0"/>
                <w:numId w:val="28"/>
              </w:numPr>
              <w:autoSpaceDE w:val="0"/>
              <w:autoSpaceDN w:val="0"/>
              <w:adjustRightInd w:val="0"/>
              <w:ind w:left="360"/>
              <w:contextualSpacing/>
              <w:rPr>
                <w:rFonts w:eastAsia="Times New Roman" w:cs="Arial"/>
                <w:color w:val="000000"/>
                <w:lang w:eastAsia="en-AU"/>
              </w:rPr>
            </w:pPr>
            <w:r w:rsidRPr="0012305E">
              <w:rPr>
                <w:rFonts w:cs="Arial"/>
                <w:lang w:eastAsia="en-AU"/>
              </w:rPr>
              <w:t>Leisure planning and policy development; and</w:t>
            </w:r>
          </w:p>
          <w:p w:rsidR="004C0B77" w:rsidRPr="004C0B77" w:rsidRDefault="004C0B77" w:rsidP="004C0B77">
            <w:pPr>
              <w:numPr>
                <w:ilvl w:val="0"/>
                <w:numId w:val="28"/>
              </w:numPr>
              <w:autoSpaceDE w:val="0"/>
              <w:autoSpaceDN w:val="0"/>
              <w:adjustRightInd w:val="0"/>
              <w:ind w:left="360"/>
              <w:contextualSpacing/>
              <w:rPr>
                <w:rFonts w:eastAsia="Times New Roman" w:cs="Arial"/>
                <w:color w:val="000000"/>
                <w:lang w:eastAsia="en-AU"/>
              </w:rPr>
            </w:pPr>
            <w:r w:rsidRPr="004C0B77">
              <w:rPr>
                <w:rFonts w:cs="Arial"/>
                <w:lang w:eastAsia="en-AU"/>
              </w:rPr>
              <w:t>Facility management of 72 community buildings and Club development initiatives.</w:t>
            </w:r>
          </w:p>
        </w:tc>
        <w:tc>
          <w:tcPr>
            <w:tcW w:w="275"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1,274</w:t>
            </w:r>
          </w:p>
        </w:tc>
        <w:tc>
          <w:tcPr>
            <w:tcW w:w="542"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1,213</w:t>
            </w:r>
          </w:p>
        </w:tc>
        <w:tc>
          <w:tcPr>
            <w:tcW w:w="483"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1,345</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(990)</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(456)</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(706)</w:t>
            </w:r>
          </w:p>
        </w:tc>
      </w:tr>
      <w:tr w:rsidR="004C0B77" w:rsidRPr="004C0B77" w:rsidTr="00DA0C75">
        <w:trPr>
          <w:trHeight w:val="300"/>
        </w:trPr>
        <w:tc>
          <w:tcPr>
            <w:tcW w:w="3216"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284</w:t>
            </w:r>
          </w:p>
        </w:tc>
        <w:tc>
          <w:tcPr>
            <w:tcW w:w="542"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757</w:t>
            </w:r>
          </w:p>
        </w:tc>
        <w:tc>
          <w:tcPr>
            <w:tcW w:w="483"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639</w:t>
            </w:r>
          </w:p>
        </w:tc>
      </w:tr>
    </w:tbl>
    <w:p w:rsidR="00DA0C75" w:rsidRDefault="00DA0C75">
      <w:pPr>
        <w:rPr>
          <w:rFonts w:cs="Arial"/>
          <w:b/>
          <w:bCs/>
          <w:iCs/>
          <w:lang w:eastAsia="en-AU"/>
        </w:rPr>
      </w:pPr>
      <w:r>
        <w:rPr>
          <w:rFonts w:cs="Arial"/>
          <w:b/>
          <w:bCs/>
          <w:iCs/>
          <w:lang w:eastAsia="en-AU"/>
        </w:rPr>
        <w:br w:type="page"/>
      </w:r>
    </w:p>
    <w:p w:rsidR="004C0B77" w:rsidRDefault="004C0B77" w:rsidP="004B2040">
      <w:pPr>
        <w:jc w:val="both"/>
        <w:rPr>
          <w:rFonts w:cs="Arial"/>
          <w:b/>
          <w:bCs/>
          <w:iCs/>
          <w:lang w:eastAsia="en-AU"/>
        </w:rPr>
      </w:pPr>
    </w:p>
    <w:tbl>
      <w:tblPr>
        <w:tblW w:w="5000" w:type="pct"/>
        <w:tblLook w:val="04A0" w:firstRow="1" w:lastRow="0" w:firstColumn="1" w:lastColumn="0" w:noHBand="0" w:noVBand="1"/>
      </w:tblPr>
      <w:tblGrid>
        <w:gridCol w:w="6732"/>
        <w:gridCol w:w="576"/>
        <w:gridCol w:w="1012"/>
        <w:gridCol w:w="1134"/>
        <w:gridCol w:w="1012"/>
      </w:tblGrid>
      <w:tr w:rsidR="004C0B77" w:rsidRPr="004C0B77" w:rsidTr="004C0B77">
        <w:trPr>
          <w:trHeight w:val="300"/>
        </w:trPr>
        <w:tc>
          <w:tcPr>
            <w:tcW w:w="3277" w:type="pct"/>
            <w:vMerge w:val="restart"/>
            <w:tcBorders>
              <w:top w:val="nil"/>
              <w:left w:val="nil"/>
              <w:bottom w:val="nil"/>
              <w:right w:val="nil"/>
            </w:tcBorders>
            <w:shd w:val="clear" w:color="000000" w:fill="5B9BD5"/>
            <w:vAlign w:val="center"/>
            <w:hideMark/>
          </w:tcPr>
          <w:p w:rsidR="004C0B77" w:rsidRPr="004C0B77" w:rsidRDefault="004C0B77" w:rsidP="004C0B77">
            <w:pPr>
              <w:rPr>
                <w:rFonts w:eastAsia="Times New Roman" w:cs="Arial"/>
                <w:b/>
                <w:bCs/>
                <w:color w:val="FFFFFF"/>
                <w:lang w:eastAsia="en-AU"/>
              </w:rPr>
            </w:pPr>
            <w:r w:rsidRPr="004C0B77">
              <w:rPr>
                <w:rFonts w:eastAsia="Times New Roman" w:cs="Arial"/>
                <w:b/>
                <w:bCs/>
                <w:color w:val="FFFFFF"/>
                <w:lang w:eastAsia="en-AU"/>
              </w:rPr>
              <w:t>Service and Description</w:t>
            </w: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2018/19</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2019/20</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2020/21</w:t>
            </w:r>
          </w:p>
        </w:tc>
      </w:tr>
      <w:tr w:rsidR="004C0B77" w:rsidRPr="004C0B77" w:rsidTr="004C0B77">
        <w:trPr>
          <w:trHeight w:val="300"/>
        </w:trPr>
        <w:tc>
          <w:tcPr>
            <w:tcW w:w="3277"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Actual</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Forecast</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Budget</w:t>
            </w:r>
          </w:p>
        </w:tc>
      </w:tr>
      <w:tr w:rsidR="004C0B77" w:rsidRPr="004C0B77" w:rsidTr="004C0B77">
        <w:trPr>
          <w:trHeight w:val="300"/>
        </w:trPr>
        <w:tc>
          <w:tcPr>
            <w:tcW w:w="3277" w:type="pct"/>
            <w:vMerge/>
            <w:tcBorders>
              <w:top w:val="nil"/>
              <w:left w:val="nil"/>
              <w:bottom w:val="nil"/>
              <w:right w:val="nil"/>
            </w:tcBorders>
            <w:vAlign w:val="center"/>
            <w:hideMark/>
          </w:tcPr>
          <w:p w:rsidR="004C0B77" w:rsidRPr="004C0B77" w:rsidRDefault="004C0B77" w:rsidP="004C0B77">
            <w:pPr>
              <w:rPr>
                <w:rFonts w:eastAsia="Times New Roman" w:cs="Arial"/>
                <w:b/>
                <w:bCs/>
                <w:color w:val="FFFFFF"/>
                <w:lang w:eastAsia="en-AU"/>
              </w:rPr>
            </w:pPr>
          </w:p>
        </w:tc>
        <w:tc>
          <w:tcPr>
            <w:tcW w:w="266"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 </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c>
          <w:tcPr>
            <w:tcW w:w="523"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c>
          <w:tcPr>
            <w:tcW w:w="467" w:type="pct"/>
            <w:tcBorders>
              <w:top w:val="nil"/>
              <w:left w:val="nil"/>
              <w:bottom w:val="nil"/>
              <w:right w:val="nil"/>
            </w:tcBorders>
            <w:shd w:val="clear" w:color="000000" w:fill="5B9BD5"/>
            <w:vAlign w:val="center"/>
            <w:hideMark/>
          </w:tcPr>
          <w:p w:rsidR="004C0B77" w:rsidRPr="004C0B77" w:rsidRDefault="004C0B77" w:rsidP="004C0B77">
            <w:pPr>
              <w:jc w:val="center"/>
              <w:rPr>
                <w:rFonts w:eastAsia="Times New Roman" w:cs="Arial"/>
                <w:b/>
                <w:bCs/>
                <w:color w:val="FFFFFF"/>
                <w:lang w:eastAsia="en-AU"/>
              </w:rPr>
            </w:pPr>
            <w:r w:rsidRPr="004C0B77">
              <w:rPr>
                <w:rFonts w:eastAsia="Times New Roman" w:cs="Arial"/>
                <w:b/>
                <w:bCs/>
                <w:color w:val="FFFFFF"/>
                <w:lang w:eastAsia="en-AU"/>
              </w:rPr>
              <w:t>$'000</w:t>
            </w:r>
          </w:p>
        </w:tc>
      </w:tr>
      <w:tr w:rsidR="004C0B77" w:rsidRPr="004C0B77" w:rsidTr="004C0B77">
        <w:trPr>
          <w:trHeight w:val="525"/>
        </w:trPr>
        <w:tc>
          <w:tcPr>
            <w:tcW w:w="3277"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r w:rsidRPr="004C0B77">
              <w:rPr>
                <w:rFonts w:eastAsia="Times New Roman" w:cs="Arial"/>
                <w:b/>
                <w:bCs/>
                <w:color w:val="5B9BD5"/>
                <w:lang w:eastAsia="en-AU"/>
              </w:rPr>
              <w:t>Maternal and Child Health Services</w:t>
            </w:r>
          </w:p>
        </w:tc>
        <w:tc>
          <w:tcPr>
            <w:tcW w:w="266"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Exp</w:t>
            </w:r>
          </w:p>
        </w:tc>
        <w:tc>
          <w:tcPr>
            <w:tcW w:w="467"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2595.896</w:t>
            </w:r>
          </w:p>
        </w:tc>
        <w:tc>
          <w:tcPr>
            <w:tcW w:w="52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w:t>
            </w:r>
          </w:p>
        </w:tc>
        <w:tc>
          <w:tcPr>
            <w:tcW w:w="467"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3003.801</w:t>
            </w:r>
          </w:p>
        </w:tc>
      </w:tr>
      <w:tr w:rsidR="004C0B77" w:rsidRPr="004C0B77" w:rsidTr="004C0B77">
        <w:trPr>
          <w:trHeight w:val="300"/>
        </w:trPr>
        <w:tc>
          <w:tcPr>
            <w:tcW w:w="3277" w:type="pct"/>
            <w:vMerge w:val="restart"/>
            <w:tcBorders>
              <w:top w:val="nil"/>
              <w:left w:val="nil"/>
              <w:bottom w:val="single" w:sz="4" w:space="0" w:color="000000"/>
              <w:right w:val="nil"/>
            </w:tcBorders>
            <w:shd w:val="clear" w:color="auto" w:fill="auto"/>
            <w:hideMark/>
          </w:tcPr>
          <w:p w:rsidR="004C0B77" w:rsidRPr="00A367AF" w:rsidRDefault="004C0B77" w:rsidP="004C0B77">
            <w:pPr>
              <w:autoSpaceDE w:val="0"/>
              <w:autoSpaceDN w:val="0"/>
              <w:adjustRightInd w:val="0"/>
              <w:jc w:val="both"/>
              <w:rPr>
                <w:rFonts w:cs="Arial"/>
                <w:lang w:eastAsia="en-AU"/>
              </w:rPr>
            </w:pPr>
            <w:r w:rsidRPr="00573162">
              <w:rPr>
                <w:rFonts w:eastAsia="Times New Roman" w:cs="Arial"/>
                <w:color w:val="000000"/>
                <w:lang w:eastAsia="en-AU"/>
              </w:rPr>
              <w:t> </w:t>
            </w:r>
            <w:r w:rsidRPr="00A367AF">
              <w:rPr>
                <w:rFonts w:cs="Arial"/>
                <w:lang w:eastAsia="en-AU"/>
              </w:rPr>
              <w:t>The Maternal and Child Health service is a state-wide universal service for families with children</w:t>
            </w:r>
            <w:r>
              <w:rPr>
                <w:rFonts w:cs="Arial"/>
                <w:lang w:eastAsia="en-AU"/>
              </w:rPr>
              <w:t xml:space="preserve"> </w:t>
            </w:r>
            <w:r w:rsidRPr="00A367AF">
              <w:rPr>
                <w:rFonts w:cs="Arial"/>
                <w:lang w:eastAsia="en-AU"/>
              </w:rPr>
              <w:t>from birth to school age. The service is delivered at seven Maternal and Child Health centres</w:t>
            </w:r>
            <w:r>
              <w:rPr>
                <w:rFonts w:cs="Arial"/>
                <w:lang w:eastAsia="en-AU"/>
              </w:rPr>
              <w:t xml:space="preserve"> </w:t>
            </w:r>
            <w:r w:rsidRPr="00A367AF">
              <w:rPr>
                <w:rFonts w:cs="Arial"/>
                <w:lang w:eastAsia="en-AU"/>
              </w:rPr>
              <w:t>across the municipality and is provided in partnership with the Department of Education and</w:t>
            </w:r>
            <w:r>
              <w:rPr>
                <w:rFonts w:cs="Arial"/>
                <w:lang w:eastAsia="en-AU"/>
              </w:rPr>
              <w:t xml:space="preserve"> </w:t>
            </w:r>
            <w:r w:rsidRPr="00A367AF">
              <w:rPr>
                <w:rFonts w:cs="Arial"/>
                <w:lang w:eastAsia="en-AU"/>
              </w:rPr>
              <w:t>Early Childhood Development. Council also provides an enhanced service focusing on children,</w:t>
            </w:r>
            <w:r>
              <w:rPr>
                <w:rFonts w:cs="Arial"/>
                <w:lang w:eastAsia="en-AU"/>
              </w:rPr>
              <w:t xml:space="preserve"> </w:t>
            </w:r>
            <w:r w:rsidRPr="00A367AF">
              <w:rPr>
                <w:rFonts w:cs="Arial"/>
                <w:lang w:eastAsia="en-AU"/>
              </w:rPr>
              <w:t>mothers and families at risk of poor health and community wellbeing outcomes.</w:t>
            </w:r>
            <w:r>
              <w:rPr>
                <w:rFonts w:cs="Arial"/>
                <w:lang w:eastAsia="en-AU"/>
              </w:rPr>
              <w:t xml:space="preserve"> </w:t>
            </w:r>
            <w:r w:rsidRPr="00A367AF">
              <w:rPr>
                <w:rFonts w:cs="Arial"/>
                <w:lang w:eastAsia="en-AU"/>
              </w:rPr>
              <w:t>In addition, the Maroondah program includes, a lactation service, early parenting program, a</w:t>
            </w:r>
            <w:r>
              <w:rPr>
                <w:rFonts w:cs="Arial"/>
                <w:lang w:eastAsia="en-AU"/>
              </w:rPr>
              <w:t xml:space="preserve"> </w:t>
            </w:r>
            <w:r w:rsidRPr="00A367AF">
              <w:rPr>
                <w:rFonts w:cs="Arial"/>
                <w:lang w:eastAsia="en-AU"/>
              </w:rPr>
              <w:t>dad’s program, a Burmese famil</w:t>
            </w:r>
            <w:r>
              <w:rPr>
                <w:rFonts w:cs="Arial"/>
                <w:lang w:eastAsia="en-AU"/>
              </w:rPr>
              <w:t>y</w:t>
            </w:r>
            <w:r w:rsidRPr="00A367AF">
              <w:rPr>
                <w:rFonts w:cs="Arial"/>
                <w:lang w:eastAsia="en-AU"/>
              </w:rPr>
              <w:t xml:space="preserve"> program, and an extensive needs-based parenting education</w:t>
            </w:r>
          </w:p>
          <w:p w:rsidR="004C0B77" w:rsidRPr="004C0B77" w:rsidRDefault="004C0B77" w:rsidP="004C0B77">
            <w:pPr>
              <w:jc w:val="both"/>
              <w:rPr>
                <w:rFonts w:eastAsia="Times New Roman" w:cs="Arial"/>
                <w:color w:val="000000"/>
                <w:lang w:eastAsia="en-AU"/>
              </w:rPr>
            </w:pPr>
            <w:r w:rsidRPr="00A367AF">
              <w:rPr>
                <w:rFonts w:cs="Arial"/>
                <w:lang w:eastAsia="en-AU"/>
              </w:rPr>
              <w:t>group program.</w:t>
            </w:r>
            <w:r>
              <w:rPr>
                <w:rFonts w:cs="Arial"/>
                <w:lang w:eastAsia="en-AU"/>
              </w:rPr>
              <w:t xml:space="preserve"> The service also works in close partnership with a wide range of external organisations such as Eastern Health, EACH, CYMHS (Child and Youth Mental Health Services) and Refugee Heath Services to deliver innovative and targeted programs to ensure the wellbeing of children and families connected with the service.</w:t>
            </w:r>
          </w:p>
        </w:tc>
        <w:tc>
          <w:tcPr>
            <w:tcW w:w="266"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67"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2,596</w:t>
            </w:r>
          </w:p>
        </w:tc>
        <w:tc>
          <w:tcPr>
            <w:tcW w:w="52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2,783</w:t>
            </w:r>
          </w:p>
        </w:tc>
        <w:tc>
          <w:tcPr>
            <w:tcW w:w="467"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3,004</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(1,208)</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(1,222)</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(1,253)</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1,388</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1,560</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1,750</w:t>
            </w:r>
          </w:p>
        </w:tc>
      </w:tr>
      <w:tr w:rsidR="004C0B77" w:rsidRPr="004C0B77" w:rsidTr="004C0B77">
        <w:trPr>
          <w:trHeight w:val="525"/>
        </w:trPr>
        <w:tc>
          <w:tcPr>
            <w:tcW w:w="3277" w:type="pct"/>
            <w:tcBorders>
              <w:top w:val="nil"/>
              <w:left w:val="nil"/>
              <w:bottom w:val="single" w:sz="4" w:space="0" w:color="auto"/>
              <w:right w:val="nil"/>
            </w:tcBorders>
            <w:shd w:val="clear" w:color="auto" w:fill="auto"/>
            <w:noWrap/>
            <w:vAlign w:val="center"/>
            <w:hideMark/>
          </w:tcPr>
          <w:p w:rsidR="004C0B77" w:rsidRPr="004C0B77" w:rsidRDefault="004C0B77" w:rsidP="004C0B77">
            <w:pPr>
              <w:rPr>
                <w:rFonts w:eastAsia="Times New Roman" w:cs="Arial"/>
                <w:b/>
                <w:bCs/>
                <w:color w:val="5B9BD5"/>
                <w:lang w:eastAsia="en-AU"/>
              </w:rPr>
            </w:pPr>
            <w:proofErr w:type="spellStart"/>
            <w:r w:rsidRPr="004C0B77">
              <w:rPr>
                <w:rFonts w:eastAsia="Times New Roman" w:cs="Arial"/>
                <w:b/>
                <w:bCs/>
                <w:color w:val="5B9BD5"/>
                <w:lang w:eastAsia="en-AU"/>
              </w:rPr>
              <w:t>Sportsfields</w:t>
            </w:r>
            <w:proofErr w:type="spellEnd"/>
          </w:p>
        </w:tc>
        <w:tc>
          <w:tcPr>
            <w:tcW w:w="266"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Exp</w:t>
            </w:r>
          </w:p>
        </w:tc>
        <w:tc>
          <w:tcPr>
            <w:tcW w:w="467"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1742.308</w:t>
            </w:r>
          </w:p>
        </w:tc>
        <w:tc>
          <w:tcPr>
            <w:tcW w:w="523" w:type="pct"/>
            <w:tcBorders>
              <w:top w:val="nil"/>
              <w:left w:val="nil"/>
              <w:bottom w:val="single" w:sz="4" w:space="0" w:color="auto"/>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0</w:t>
            </w:r>
          </w:p>
        </w:tc>
        <w:tc>
          <w:tcPr>
            <w:tcW w:w="467" w:type="pct"/>
            <w:tcBorders>
              <w:top w:val="nil"/>
              <w:left w:val="nil"/>
              <w:bottom w:val="nil"/>
              <w:right w:val="nil"/>
            </w:tcBorders>
            <w:shd w:val="clear" w:color="auto" w:fill="auto"/>
            <w:vAlign w:val="center"/>
            <w:hideMark/>
          </w:tcPr>
          <w:p w:rsidR="004C0B77" w:rsidRPr="004C0B77" w:rsidRDefault="004C0B77" w:rsidP="004C0B77">
            <w:pPr>
              <w:jc w:val="center"/>
              <w:rPr>
                <w:rFonts w:eastAsia="Times New Roman" w:cs="Arial"/>
                <w:b/>
                <w:bCs/>
                <w:color w:val="FFFFFF"/>
                <w:sz w:val="18"/>
                <w:szCs w:val="18"/>
                <w:lang w:eastAsia="en-AU"/>
              </w:rPr>
            </w:pPr>
            <w:r w:rsidRPr="004C0B77">
              <w:rPr>
                <w:rFonts w:eastAsia="Times New Roman" w:cs="Arial"/>
                <w:b/>
                <w:bCs/>
                <w:color w:val="FFFFFF"/>
                <w:sz w:val="18"/>
                <w:szCs w:val="18"/>
                <w:lang w:eastAsia="en-AU"/>
              </w:rPr>
              <w:t>1784.268</w:t>
            </w:r>
          </w:p>
        </w:tc>
      </w:tr>
      <w:tr w:rsidR="004C0B77" w:rsidRPr="004C0B77" w:rsidTr="004C0B77">
        <w:trPr>
          <w:trHeight w:val="300"/>
        </w:trPr>
        <w:tc>
          <w:tcPr>
            <w:tcW w:w="3277" w:type="pct"/>
            <w:vMerge w:val="restart"/>
            <w:tcBorders>
              <w:top w:val="nil"/>
              <w:left w:val="nil"/>
              <w:bottom w:val="single" w:sz="4" w:space="0" w:color="000000"/>
              <w:right w:val="nil"/>
            </w:tcBorders>
            <w:shd w:val="clear" w:color="auto" w:fill="auto"/>
            <w:hideMark/>
          </w:tcPr>
          <w:p w:rsidR="004C0B77" w:rsidRPr="004C0B77" w:rsidRDefault="004C0B77" w:rsidP="004C0B77">
            <w:pPr>
              <w:jc w:val="both"/>
              <w:rPr>
                <w:rFonts w:eastAsia="Times New Roman" w:cs="Arial"/>
                <w:color w:val="000000"/>
                <w:lang w:eastAsia="en-AU"/>
              </w:rPr>
            </w:pPr>
            <w:r w:rsidRPr="004C0B77">
              <w:rPr>
                <w:rFonts w:eastAsia="Times New Roman" w:cs="Arial"/>
                <w:color w:val="000000"/>
                <w:lang w:eastAsia="en-AU"/>
              </w:rPr>
              <w:t> </w:t>
            </w:r>
            <w:r w:rsidRPr="003571B7">
              <w:rPr>
                <w:rFonts w:cs="Arial"/>
              </w:rPr>
              <w:t>This function provides maintenance and renewal of Council’s 48 sports fields which includes cricket pitch turf management.</w:t>
            </w:r>
          </w:p>
        </w:tc>
        <w:tc>
          <w:tcPr>
            <w:tcW w:w="266" w:type="pct"/>
            <w:tcBorders>
              <w:top w:val="nil"/>
              <w:left w:val="nil"/>
              <w:bottom w:val="nil"/>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Exp</w:t>
            </w:r>
          </w:p>
        </w:tc>
        <w:tc>
          <w:tcPr>
            <w:tcW w:w="467"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1,742</w:t>
            </w:r>
          </w:p>
        </w:tc>
        <w:tc>
          <w:tcPr>
            <w:tcW w:w="523" w:type="pct"/>
            <w:tcBorders>
              <w:top w:val="nil"/>
              <w:left w:val="nil"/>
              <w:bottom w:val="nil"/>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1,608</w:t>
            </w:r>
          </w:p>
        </w:tc>
        <w:tc>
          <w:tcPr>
            <w:tcW w:w="467" w:type="pct"/>
            <w:tcBorders>
              <w:top w:val="single" w:sz="4" w:space="0" w:color="auto"/>
              <w:left w:val="nil"/>
              <w:bottom w:val="nil"/>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1,784</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sz w:val="18"/>
                <w:szCs w:val="18"/>
                <w:lang w:eastAsia="en-AU"/>
              </w:rPr>
            </w:pPr>
            <w:r w:rsidRPr="004C0B77">
              <w:rPr>
                <w:rFonts w:eastAsia="Times New Roman" w:cs="Arial"/>
                <w:sz w:val="18"/>
                <w:szCs w:val="18"/>
                <w:lang w:eastAsia="en-AU"/>
              </w:rPr>
              <w:t>Rev</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sz w:val="18"/>
                <w:szCs w:val="18"/>
                <w:lang w:eastAsia="en-AU"/>
              </w:rPr>
            </w:pPr>
            <w:r w:rsidRPr="004C0B77">
              <w:rPr>
                <w:rFonts w:eastAsia="Times New Roman" w:cs="Arial"/>
                <w:sz w:val="18"/>
                <w:szCs w:val="18"/>
                <w:lang w:eastAsia="en-AU"/>
              </w:rPr>
              <w:t>-</w:t>
            </w:r>
          </w:p>
        </w:tc>
      </w:tr>
      <w:tr w:rsidR="004C0B77" w:rsidRPr="004C0B77" w:rsidTr="004C0B77">
        <w:trPr>
          <w:trHeight w:val="300"/>
        </w:trPr>
        <w:tc>
          <w:tcPr>
            <w:tcW w:w="3277" w:type="pct"/>
            <w:vMerge/>
            <w:tcBorders>
              <w:top w:val="nil"/>
              <w:left w:val="nil"/>
              <w:bottom w:val="single" w:sz="4" w:space="0" w:color="000000"/>
              <w:right w:val="nil"/>
            </w:tcBorders>
            <w:vAlign w:val="center"/>
            <w:hideMark/>
          </w:tcPr>
          <w:p w:rsidR="004C0B77" w:rsidRPr="004C0B77" w:rsidRDefault="004C0B77" w:rsidP="004C0B77">
            <w:pPr>
              <w:rPr>
                <w:rFonts w:eastAsia="Times New Roman" w:cs="Arial"/>
                <w:color w:val="000000"/>
                <w:lang w:eastAsia="en-AU"/>
              </w:rPr>
            </w:pPr>
          </w:p>
        </w:tc>
        <w:tc>
          <w:tcPr>
            <w:tcW w:w="266" w:type="pct"/>
            <w:tcBorders>
              <w:top w:val="nil"/>
              <w:left w:val="nil"/>
              <w:bottom w:val="single" w:sz="4" w:space="0" w:color="auto"/>
              <w:right w:val="nil"/>
            </w:tcBorders>
            <w:shd w:val="clear" w:color="000000" w:fill="FFFFFF"/>
            <w:hideMark/>
          </w:tcPr>
          <w:p w:rsidR="004C0B77" w:rsidRPr="004C0B77" w:rsidRDefault="004C0B77" w:rsidP="004C0B77">
            <w:pPr>
              <w:rPr>
                <w:rFonts w:eastAsia="Times New Roman" w:cs="Arial"/>
                <w:b/>
                <w:bCs/>
                <w:sz w:val="18"/>
                <w:szCs w:val="18"/>
                <w:lang w:eastAsia="en-AU"/>
              </w:rPr>
            </w:pPr>
            <w:r w:rsidRPr="004C0B77">
              <w:rPr>
                <w:rFonts w:eastAsia="Times New Roman" w:cs="Arial"/>
                <w:b/>
                <w:bCs/>
                <w:sz w:val="18"/>
                <w:szCs w:val="18"/>
                <w:lang w:eastAsia="en-AU"/>
              </w:rPr>
              <w:t>NET</w:t>
            </w:r>
          </w:p>
        </w:tc>
        <w:tc>
          <w:tcPr>
            <w:tcW w:w="467"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1,742</w:t>
            </w:r>
          </w:p>
        </w:tc>
        <w:tc>
          <w:tcPr>
            <w:tcW w:w="523" w:type="pct"/>
            <w:tcBorders>
              <w:top w:val="nil"/>
              <w:left w:val="nil"/>
              <w:bottom w:val="single" w:sz="4" w:space="0" w:color="auto"/>
              <w:right w:val="nil"/>
            </w:tcBorders>
            <w:shd w:val="clear" w:color="000000" w:fill="FFFFFF"/>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1,608</w:t>
            </w:r>
          </w:p>
        </w:tc>
        <w:tc>
          <w:tcPr>
            <w:tcW w:w="467" w:type="pct"/>
            <w:tcBorders>
              <w:top w:val="nil"/>
              <w:left w:val="nil"/>
              <w:bottom w:val="single" w:sz="4" w:space="0" w:color="auto"/>
              <w:right w:val="nil"/>
            </w:tcBorders>
            <w:shd w:val="clear" w:color="000000" w:fill="BDD7EE"/>
            <w:hideMark/>
          </w:tcPr>
          <w:p w:rsidR="004C0B77" w:rsidRPr="004C0B77" w:rsidRDefault="004C0B77" w:rsidP="004C0B77">
            <w:pPr>
              <w:jc w:val="right"/>
              <w:rPr>
                <w:rFonts w:eastAsia="Times New Roman" w:cs="Arial"/>
                <w:b/>
                <w:bCs/>
                <w:sz w:val="18"/>
                <w:szCs w:val="18"/>
                <w:lang w:eastAsia="en-AU"/>
              </w:rPr>
            </w:pPr>
            <w:r w:rsidRPr="004C0B77">
              <w:rPr>
                <w:rFonts w:eastAsia="Times New Roman" w:cs="Arial"/>
                <w:b/>
                <w:bCs/>
                <w:sz w:val="18"/>
                <w:szCs w:val="18"/>
                <w:lang w:eastAsia="en-AU"/>
              </w:rPr>
              <w:t>1,784</w:t>
            </w:r>
          </w:p>
        </w:tc>
      </w:tr>
    </w:tbl>
    <w:p w:rsidR="004C0B77" w:rsidRDefault="004C0B77" w:rsidP="004B2040">
      <w:pPr>
        <w:rPr>
          <w:rFonts w:cs="Arial"/>
          <w:b/>
          <w:bCs/>
          <w:iCs/>
          <w:lang w:eastAsia="en-AU"/>
        </w:rPr>
      </w:pPr>
    </w:p>
    <w:p w:rsidR="004C0B77" w:rsidRDefault="004C0B77" w:rsidP="004B2040">
      <w:pPr>
        <w:rPr>
          <w:rFonts w:cs="Arial"/>
          <w:b/>
          <w:bCs/>
          <w:iCs/>
          <w:lang w:eastAsia="en-AU"/>
        </w:rPr>
      </w:pPr>
    </w:p>
    <w:p w:rsidR="004B2040" w:rsidRDefault="004C0B77" w:rsidP="004B2040">
      <w:pPr>
        <w:rPr>
          <w:rFonts w:cs="Arial"/>
          <w:b/>
        </w:rPr>
      </w:pPr>
      <w:r>
        <w:rPr>
          <w:rFonts w:cs="Arial"/>
          <w:b/>
          <w:bCs/>
          <w:iCs/>
          <w:lang w:eastAsia="en-AU"/>
        </w:rPr>
        <w:t>M</w:t>
      </w:r>
      <w:r w:rsidR="004B2040">
        <w:rPr>
          <w:rFonts w:cs="Arial"/>
          <w:b/>
        </w:rPr>
        <w:t xml:space="preserve">ajor </w:t>
      </w:r>
      <w:r w:rsidR="004B2040" w:rsidRPr="003A687D">
        <w:rPr>
          <w:rFonts w:cs="Arial"/>
          <w:b/>
        </w:rPr>
        <w:t>Initiatives</w:t>
      </w:r>
      <w:r w:rsidR="004B2040">
        <w:rPr>
          <w:rFonts w:cs="Arial"/>
          <w:b/>
        </w:rPr>
        <w:t xml:space="preserve"> (Priority Actions)</w:t>
      </w:r>
    </w:p>
    <w:p w:rsidR="004B2040" w:rsidRPr="003A687D" w:rsidRDefault="004B2040" w:rsidP="004B2040">
      <w:pPr>
        <w:rPr>
          <w:rFonts w:cs="Arial"/>
          <w:b/>
        </w:rPr>
      </w:pPr>
    </w:p>
    <w:p w:rsidR="00483430" w:rsidRPr="00B46174" w:rsidRDefault="00483430" w:rsidP="00274DF7">
      <w:pPr>
        <w:pStyle w:val="ListParagraph"/>
        <w:numPr>
          <w:ilvl w:val="0"/>
          <w:numId w:val="9"/>
        </w:numPr>
        <w:jc w:val="both"/>
        <w:rPr>
          <w:rFonts w:ascii="Arial" w:hAnsi="Arial" w:cs="Arial"/>
        </w:rPr>
      </w:pPr>
      <w:r w:rsidRPr="00B46174">
        <w:rPr>
          <w:rFonts w:ascii="Arial" w:hAnsi="Arial" w:cs="Arial"/>
        </w:rPr>
        <w:t xml:space="preserve">Design and construct sporting / multipurpose pavilion redevelopments at HE Parker Reserve, Silcock Reserve, </w:t>
      </w:r>
      <w:proofErr w:type="gramStart"/>
      <w:r w:rsidRPr="00B46174">
        <w:rPr>
          <w:rFonts w:ascii="Arial" w:hAnsi="Arial" w:cs="Arial"/>
        </w:rPr>
        <w:t>and  Proclamation</w:t>
      </w:r>
      <w:proofErr w:type="gramEnd"/>
      <w:r w:rsidRPr="00B46174">
        <w:rPr>
          <w:rFonts w:ascii="Arial" w:hAnsi="Arial" w:cs="Arial"/>
        </w:rPr>
        <w:t xml:space="preserve"> Park and Springfield and Ainslie Park</w:t>
      </w:r>
      <w:r w:rsidR="00E84AF9">
        <w:rPr>
          <w:rFonts w:ascii="Arial" w:hAnsi="Arial" w:cs="Arial"/>
        </w:rPr>
        <w:t xml:space="preserve"> (subject to funding)</w:t>
      </w:r>
    </w:p>
    <w:p w:rsidR="00DD43B4" w:rsidRPr="00B46174" w:rsidRDefault="00DD43B4" w:rsidP="00274DF7">
      <w:pPr>
        <w:pStyle w:val="ListParagraph"/>
        <w:numPr>
          <w:ilvl w:val="0"/>
          <w:numId w:val="9"/>
        </w:numPr>
        <w:jc w:val="both"/>
        <w:rPr>
          <w:rFonts w:ascii="Arial" w:hAnsi="Arial" w:cs="Arial"/>
        </w:rPr>
      </w:pPr>
      <w:r w:rsidRPr="00B46174">
        <w:rPr>
          <w:rFonts w:ascii="Arial" w:hAnsi="Arial" w:cs="Arial"/>
        </w:rPr>
        <w:t>Establish a regional cricket hub at Jubilee Park sporting precinct</w:t>
      </w:r>
    </w:p>
    <w:p w:rsidR="00DD43B4" w:rsidRPr="00B46174" w:rsidRDefault="00DD43B4" w:rsidP="00274DF7">
      <w:pPr>
        <w:pStyle w:val="ListParagraph"/>
        <w:numPr>
          <w:ilvl w:val="0"/>
          <w:numId w:val="9"/>
        </w:numPr>
        <w:jc w:val="both"/>
        <w:rPr>
          <w:rFonts w:ascii="Arial" w:hAnsi="Arial" w:cs="Arial"/>
        </w:rPr>
      </w:pPr>
      <w:r w:rsidRPr="00B46174">
        <w:rPr>
          <w:rFonts w:ascii="Arial" w:hAnsi="Arial" w:cs="Arial"/>
        </w:rPr>
        <w:t>Undertake a strategic review of Maroondah Golf</w:t>
      </w:r>
    </w:p>
    <w:p w:rsidR="00DD43B4" w:rsidRPr="00B46174" w:rsidRDefault="00DD43B4" w:rsidP="00274DF7">
      <w:pPr>
        <w:pStyle w:val="ListParagraph"/>
        <w:numPr>
          <w:ilvl w:val="0"/>
          <w:numId w:val="9"/>
        </w:numPr>
        <w:jc w:val="both"/>
        <w:rPr>
          <w:rFonts w:ascii="Arial" w:hAnsi="Arial" w:cs="Arial"/>
        </w:rPr>
      </w:pPr>
      <w:r w:rsidRPr="00B46174">
        <w:rPr>
          <w:rFonts w:ascii="Arial" w:hAnsi="Arial" w:cs="Arial"/>
        </w:rPr>
        <w:t>Plan and implement the Dorset Recreation Reserve and Eastfield Park Enhancement Plans and undertake staged redevelopment works (subject to funding)</w:t>
      </w:r>
    </w:p>
    <w:p w:rsidR="00DD43B4" w:rsidRPr="00B46174" w:rsidRDefault="00DD43B4" w:rsidP="00274DF7">
      <w:pPr>
        <w:pStyle w:val="ListParagraph"/>
        <w:numPr>
          <w:ilvl w:val="0"/>
          <w:numId w:val="9"/>
        </w:numPr>
        <w:jc w:val="both"/>
        <w:rPr>
          <w:rFonts w:ascii="Arial" w:hAnsi="Arial" w:cs="Arial"/>
        </w:rPr>
      </w:pPr>
      <w:r w:rsidRPr="00B46174">
        <w:rPr>
          <w:rFonts w:ascii="Arial" w:hAnsi="Arial" w:cs="Arial"/>
        </w:rPr>
        <w:t>Develop a Liveability and Wellbeing Strategy 2021-2031 (incorporating the Municipal Public Health Plan)</w:t>
      </w:r>
    </w:p>
    <w:p w:rsidR="00C61B17" w:rsidRPr="00B46174" w:rsidRDefault="00C61B17" w:rsidP="00A93A83">
      <w:pPr>
        <w:rPr>
          <w:rFonts w:cs="Arial"/>
        </w:rPr>
      </w:pPr>
    </w:p>
    <w:p w:rsidR="004B2040" w:rsidRPr="00B46174" w:rsidRDefault="004B2040" w:rsidP="004B2040">
      <w:pPr>
        <w:jc w:val="both"/>
        <w:rPr>
          <w:rFonts w:cs="Arial"/>
          <w:b/>
        </w:rPr>
      </w:pPr>
      <w:r w:rsidRPr="00B46174">
        <w:rPr>
          <w:rFonts w:cs="Arial"/>
          <w:b/>
        </w:rPr>
        <w:t xml:space="preserve">Initiatives </w:t>
      </w:r>
    </w:p>
    <w:p w:rsidR="004B2040" w:rsidRPr="00B46174" w:rsidRDefault="004B2040" w:rsidP="004B2040">
      <w:pPr>
        <w:jc w:val="both"/>
        <w:rPr>
          <w:rFonts w:cs="Arial"/>
          <w:b/>
        </w:rPr>
      </w:pPr>
    </w:p>
    <w:p w:rsidR="00DD43B4" w:rsidRPr="00B46174" w:rsidRDefault="00DD43B4" w:rsidP="00274DF7">
      <w:pPr>
        <w:pStyle w:val="ListParagraph"/>
        <w:numPr>
          <w:ilvl w:val="0"/>
          <w:numId w:val="9"/>
        </w:numPr>
        <w:ind w:left="425" w:hanging="425"/>
        <w:jc w:val="both"/>
        <w:rPr>
          <w:rFonts w:ascii="Arial" w:hAnsi="Arial" w:cs="Arial"/>
        </w:rPr>
      </w:pPr>
      <w:r w:rsidRPr="00B46174">
        <w:rPr>
          <w:rFonts w:ascii="Arial" w:hAnsi="Arial" w:cs="Arial"/>
        </w:rPr>
        <w:t>Work with partners of Together for Equality and Respect (TFER): A Strategy to Prevent Violence Against Women in Melbourne East to prevent violence against women in Maroondah, including participation in the “16 days of activism” campaign</w:t>
      </w:r>
    </w:p>
    <w:p w:rsidR="00DD43B4" w:rsidRPr="00B46174" w:rsidRDefault="00DD43B4" w:rsidP="00274DF7">
      <w:pPr>
        <w:pStyle w:val="ListParagraph"/>
        <w:numPr>
          <w:ilvl w:val="0"/>
          <w:numId w:val="9"/>
        </w:numPr>
        <w:ind w:left="425" w:hanging="425"/>
        <w:jc w:val="both"/>
        <w:rPr>
          <w:rFonts w:ascii="Arial" w:hAnsi="Arial" w:cs="Arial"/>
        </w:rPr>
      </w:pPr>
      <w:r w:rsidRPr="00B46174">
        <w:rPr>
          <w:rFonts w:ascii="Arial" w:hAnsi="Arial" w:cs="Arial"/>
        </w:rPr>
        <w:t xml:space="preserve">Work in partnership to enhance the Maroondah Hoarding &amp; Squalor website enabling it to become a </w:t>
      </w:r>
      <w:proofErr w:type="spellStart"/>
      <w:r w:rsidRPr="00B46174">
        <w:rPr>
          <w:rFonts w:ascii="Arial" w:hAnsi="Arial" w:cs="Arial"/>
        </w:rPr>
        <w:t>Statewide</w:t>
      </w:r>
      <w:proofErr w:type="spellEnd"/>
      <w:r w:rsidRPr="00B46174">
        <w:rPr>
          <w:rFonts w:ascii="Arial" w:hAnsi="Arial" w:cs="Arial"/>
        </w:rPr>
        <w:t xml:space="preserve"> resource</w:t>
      </w:r>
    </w:p>
    <w:p w:rsidR="00DD43B4" w:rsidRPr="00B46174" w:rsidRDefault="00DD43B4" w:rsidP="00274DF7">
      <w:pPr>
        <w:pStyle w:val="ListParagraph"/>
        <w:numPr>
          <w:ilvl w:val="0"/>
          <w:numId w:val="9"/>
        </w:numPr>
        <w:ind w:left="425" w:hanging="425"/>
        <w:jc w:val="both"/>
        <w:rPr>
          <w:rFonts w:ascii="Arial" w:hAnsi="Arial" w:cs="Arial"/>
        </w:rPr>
      </w:pPr>
      <w:r w:rsidRPr="00B46174">
        <w:rPr>
          <w:rFonts w:ascii="Arial" w:hAnsi="Arial" w:cs="Arial"/>
        </w:rPr>
        <w:t>Develop and deliver services in the Croydon Community Precinct</w:t>
      </w:r>
    </w:p>
    <w:p w:rsidR="00DD43B4" w:rsidRPr="00B46174" w:rsidRDefault="00DD43B4" w:rsidP="00274DF7">
      <w:pPr>
        <w:pStyle w:val="ListParagraph"/>
        <w:numPr>
          <w:ilvl w:val="0"/>
          <w:numId w:val="9"/>
        </w:numPr>
        <w:ind w:left="425" w:hanging="425"/>
        <w:jc w:val="both"/>
        <w:rPr>
          <w:rFonts w:ascii="Arial" w:hAnsi="Arial" w:cs="Arial"/>
        </w:rPr>
      </w:pPr>
      <w:r w:rsidRPr="00B46174">
        <w:rPr>
          <w:rFonts w:ascii="Arial" w:hAnsi="Arial" w:cs="Arial"/>
        </w:rPr>
        <w:t xml:space="preserve">Implement Council's annual </w:t>
      </w:r>
      <w:proofErr w:type="spellStart"/>
      <w:r w:rsidRPr="00B46174">
        <w:rPr>
          <w:rFonts w:ascii="Arial" w:hAnsi="Arial" w:cs="Arial"/>
        </w:rPr>
        <w:t>sportsfield</w:t>
      </w:r>
      <w:proofErr w:type="spellEnd"/>
      <w:r w:rsidRPr="00B46174">
        <w:rPr>
          <w:rFonts w:ascii="Arial" w:hAnsi="Arial" w:cs="Arial"/>
        </w:rPr>
        <w:t xml:space="preserve"> improvement program</w:t>
      </w:r>
    </w:p>
    <w:p w:rsidR="00DD43B4" w:rsidRPr="00097730" w:rsidRDefault="00DD43B4" w:rsidP="00274DF7">
      <w:pPr>
        <w:pStyle w:val="ListParagraph"/>
        <w:numPr>
          <w:ilvl w:val="0"/>
          <w:numId w:val="9"/>
        </w:numPr>
        <w:ind w:left="425" w:hanging="425"/>
        <w:jc w:val="both"/>
        <w:rPr>
          <w:rFonts w:ascii="Arial" w:hAnsi="Arial" w:cs="Arial"/>
        </w:rPr>
      </w:pPr>
      <w:r w:rsidRPr="00B46174">
        <w:rPr>
          <w:rFonts w:ascii="Arial" w:hAnsi="Arial" w:cs="Arial"/>
        </w:rPr>
        <w:t xml:space="preserve">Implement changes to emergency </w:t>
      </w:r>
      <w:r w:rsidRPr="00097730">
        <w:rPr>
          <w:rFonts w:ascii="Arial" w:hAnsi="Arial" w:cs="Arial"/>
        </w:rPr>
        <w:t>management legislation and outcomes of Local Government Victoria's Councils and Emergencies project</w:t>
      </w:r>
    </w:p>
    <w:p w:rsidR="007045DD" w:rsidRPr="00097730" w:rsidRDefault="007045DD" w:rsidP="00274DF7">
      <w:pPr>
        <w:pStyle w:val="ListParagraph"/>
        <w:numPr>
          <w:ilvl w:val="0"/>
          <w:numId w:val="9"/>
        </w:numPr>
        <w:ind w:left="425" w:hanging="425"/>
        <w:jc w:val="both"/>
        <w:rPr>
          <w:rFonts w:ascii="Arial" w:hAnsi="Arial" w:cs="Arial"/>
        </w:rPr>
      </w:pPr>
      <w:r w:rsidRPr="00097730">
        <w:rPr>
          <w:rFonts w:ascii="Arial" w:hAnsi="Arial" w:cs="Arial"/>
        </w:rPr>
        <w:t xml:space="preserve">Implement the changes that result </w:t>
      </w:r>
      <w:proofErr w:type="spellStart"/>
      <w:r w:rsidRPr="00097730">
        <w:rPr>
          <w:rFonts w:ascii="Arial" w:hAnsi="Arial" w:cs="Arial"/>
        </w:rPr>
        <w:t>form</w:t>
      </w:r>
      <w:proofErr w:type="spellEnd"/>
      <w:r w:rsidRPr="00097730">
        <w:rPr>
          <w:rFonts w:ascii="Arial" w:hAnsi="Arial" w:cs="Arial"/>
        </w:rPr>
        <w:t xml:space="preserve"> the reform of the Environment Protection Act</w:t>
      </w:r>
    </w:p>
    <w:p w:rsidR="00BD43F2" w:rsidRDefault="00BD43F2">
      <w:pPr>
        <w:rPr>
          <w:rFonts w:cs="Arial"/>
          <w:b/>
          <w:bCs/>
          <w:iCs/>
          <w:lang w:eastAsia="en-AU"/>
        </w:rPr>
      </w:pPr>
      <w:r>
        <w:rPr>
          <w:rFonts w:cs="Arial"/>
          <w:b/>
          <w:bCs/>
          <w:iCs/>
          <w:lang w:eastAsia="en-AU"/>
        </w:rPr>
        <w:br w:type="page"/>
      </w:r>
    </w:p>
    <w:p w:rsidR="004B2040" w:rsidRDefault="004B2040" w:rsidP="004B2040">
      <w:pPr>
        <w:jc w:val="both"/>
        <w:rPr>
          <w:rFonts w:cs="Arial"/>
          <w:b/>
          <w:bCs/>
          <w:iCs/>
          <w:lang w:eastAsia="en-AU"/>
        </w:rPr>
      </w:pPr>
      <w:r w:rsidRPr="00CE77FB">
        <w:rPr>
          <w:rFonts w:cs="Arial"/>
          <w:b/>
          <w:bCs/>
          <w:iCs/>
          <w:lang w:eastAsia="en-AU"/>
        </w:rPr>
        <w:lastRenderedPageBreak/>
        <w:t>Service Performance Indicators</w:t>
      </w:r>
    </w:p>
    <w:p w:rsidR="004B2040" w:rsidRPr="00CE77FB" w:rsidRDefault="004B2040" w:rsidP="004B2040">
      <w:pPr>
        <w:jc w:val="both"/>
        <w:rPr>
          <w:rFonts w:cs="Arial"/>
          <w:b/>
          <w:bCs/>
          <w:iCs/>
          <w:lang w:eastAsia="en-AU"/>
        </w:rPr>
      </w:pPr>
    </w:p>
    <w:tbl>
      <w:tblPr>
        <w:tblW w:w="5000" w:type="pct"/>
        <w:tblLook w:val="0000" w:firstRow="0" w:lastRow="0" w:firstColumn="0" w:lastColumn="0" w:noHBand="0" w:noVBand="0"/>
      </w:tblPr>
      <w:tblGrid>
        <w:gridCol w:w="1257"/>
        <w:gridCol w:w="1672"/>
        <w:gridCol w:w="4048"/>
        <w:gridCol w:w="3489"/>
      </w:tblGrid>
      <w:tr w:rsidR="004B2040" w:rsidRPr="00242D2A" w:rsidTr="008F2899">
        <w:trPr>
          <w:trHeight w:val="510"/>
        </w:trPr>
        <w:tc>
          <w:tcPr>
            <w:tcW w:w="600"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Indicator</w:t>
            </w:r>
          </w:p>
        </w:tc>
        <w:tc>
          <w:tcPr>
            <w:tcW w:w="1934"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7" w:type="pct"/>
            <w:tcBorders>
              <w:top w:val="nil"/>
              <w:left w:val="nil"/>
              <w:bottom w:val="single" w:sz="4" w:space="0" w:color="auto"/>
              <w:right w:val="nil"/>
            </w:tcBorders>
            <w:shd w:val="clear" w:color="auto" w:fill="629DD1" w:themeFill="accent2"/>
            <w:vAlign w:val="center"/>
          </w:tcPr>
          <w:p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Pr>
                <w:rFonts w:cs="Arial"/>
                <w:lang w:eastAsia="en-AU"/>
              </w:rPr>
              <w:t>Aquatic Facilities</w:t>
            </w:r>
          </w:p>
          <w:p w:rsidR="004B2040" w:rsidRPr="00CE77FB"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Utilisation </w:t>
            </w:r>
          </w:p>
        </w:tc>
        <w:tc>
          <w:tcPr>
            <w:tcW w:w="1934"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Pr>
                <w:rFonts w:cs="Arial"/>
                <w:lang w:eastAsia="en-AU"/>
              </w:rPr>
              <w:t>Utilisation of aquatic</w:t>
            </w:r>
            <w:r w:rsidRPr="00CE77FB">
              <w:rPr>
                <w:rFonts w:cs="Arial"/>
                <w:lang w:eastAsia="en-AU"/>
              </w:rPr>
              <w:t xml:space="preserve"> facilities (the number of visits to </w:t>
            </w:r>
            <w:r>
              <w:rPr>
                <w:rFonts w:cs="Arial"/>
                <w:lang w:eastAsia="en-AU"/>
              </w:rPr>
              <w:t>aquatic</w:t>
            </w:r>
            <w:r w:rsidRPr="00CE77FB">
              <w:rPr>
                <w:rFonts w:cs="Arial"/>
                <w:lang w:eastAsia="en-AU"/>
              </w:rPr>
              <w:t xml:space="preserve"> facilities per head of municipal population)</w:t>
            </w:r>
          </w:p>
        </w:tc>
        <w:tc>
          <w:tcPr>
            <w:tcW w:w="1667"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Number of visits to </w:t>
            </w:r>
            <w:r>
              <w:rPr>
                <w:rFonts w:cs="Arial"/>
                <w:lang w:eastAsia="en-AU"/>
              </w:rPr>
              <w:t>aquatic</w:t>
            </w:r>
            <w:r w:rsidRPr="00CE77FB">
              <w:rPr>
                <w:rFonts w:cs="Arial"/>
                <w:lang w:eastAsia="en-AU"/>
              </w:rPr>
              <w:t xml:space="preserve"> facilities / Municipal population</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Food Safety</w:t>
            </w:r>
          </w:p>
        </w:tc>
        <w:tc>
          <w:tcPr>
            <w:tcW w:w="799" w:type="pct"/>
            <w:tcBorders>
              <w:top w:val="single" w:sz="4" w:space="0" w:color="auto"/>
              <w:left w:val="nil"/>
              <w:bottom w:val="single" w:sz="4" w:space="0" w:color="auto"/>
              <w:right w:val="nil"/>
            </w:tcBorders>
          </w:tcPr>
          <w:p w:rsidR="004B2040" w:rsidRDefault="004B2040" w:rsidP="004B2040">
            <w:pPr>
              <w:jc w:val="both"/>
              <w:rPr>
                <w:rFonts w:cs="Arial"/>
                <w:lang w:eastAsia="en-AU"/>
              </w:rPr>
            </w:pPr>
            <w:r w:rsidRPr="00CE77FB">
              <w:rPr>
                <w:rFonts w:cs="Arial"/>
                <w:lang w:eastAsia="en-AU"/>
              </w:rPr>
              <w:t>Health</w:t>
            </w:r>
          </w:p>
          <w:p w:rsidR="004B2040" w:rsidRDefault="004B2040" w:rsidP="004B2040">
            <w:pPr>
              <w:jc w:val="both"/>
              <w:rPr>
                <w:rFonts w:cs="Arial"/>
                <w:lang w:eastAsia="en-AU"/>
              </w:rPr>
            </w:pPr>
            <w:r w:rsidRPr="00CE77FB">
              <w:rPr>
                <w:rFonts w:cs="Arial"/>
                <w:lang w:eastAsia="en-AU"/>
              </w:rPr>
              <w:t>And</w:t>
            </w:r>
          </w:p>
          <w:p w:rsidR="004B2040" w:rsidRPr="00CE77FB" w:rsidRDefault="004B2040" w:rsidP="004B2040">
            <w:pPr>
              <w:jc w:val="both"/>
              <w:rPr>
                <w:rFonts w:cs="Arial"/>
                <w:lang w:eastAsia="en-AU"/>
              </w:rPr>
            </w:pPr>
            <w:r w:rsidRPr="00CE77FB">
              <w:rPr>
                <w:rFonts w:cs="Arial"/>
                <w:lang w:eastAsia="en-AU"/>
              </w:rPr>
              <w:t>Safety</w:t>
            </w:r>
          </w:p>
        </w:tc>
        <w:tc>
          <w:tcPr>
            <w:tcW w:w="1934" w:type="pct"/>
            <w:tcBorders>
              <w:top w:val="single" w:sz="4" w:space="0" w:color="auto"/>
              <w:left w:val="nil"/>
              <w:bottom w:val="single" w:sz="4" w:space="0" w:color="auto"/>
              <w:right w:val="nil"/>
            </w:tcBorders>
          </w:tcPr>
          <w:p w:rsidR="004B2040" w:rsidRDefault="004B2040" w:rsidP="004B2040">
            <w:pPr>
              <w:jc w:val="both"/>
              <w:rPr>
                <w:rFonts w:cs="Arial"/>
                <w:lang w:eastAsia="en-AU"/>
              </w:rPr>
            </w:pPr>
            <w:r w:rsidRPr="00CE77FB">
              <w:rPr>
                <w:rFonts w:cs="Arial"/>
                <w:lang w:eastAsia="en-AU"/>
              </w:rPr>
              <w:t>Critical and major non-compliance</w:t>
            </w:r>
            <w:r>
              <w:rPr>
                <w:rFonts w:cs="Arial"/>
                <w:lang w:eastAsia="en-AU"/>
              </w:rPr>
              <w:t xml:space="preserve"> </w:t>
            </w:r>
            <w:r w:rsidRPr="00CE77FB">
              <w:rPr>
                <w:rFonts w:cs="Arial"/>
                <w:lang w:eastAsia="en-AU"/>
              </w:rPr>
              <w:t>outcome notifications</w:t>
            </w:r>
            <w:r>
              <w:rPr>
                <w:rFonts w:cs="Arial"/>
                <w:lang w:eastAsia="en-AU"/>
              </w:rPr>
              <w:t xml:space="preserve"> </w:t>
            </w:r>
            <w:r w:rsidRPr="00CE77FB">
              <w:rPr>
                <w:rFonts w:cs="Arial"/>
                <w:lang w:eastAsia="en-AU"/>
              </w:rPr>
              <w:t xml:space="preserve">(percentage of critical and major non-compliance </w:t>
            </w:r>
            <w:r>
              <w:rPr>
                <w:rFonts w:cs="Arial"/>
                <w:lang w:eastAsia="en-AU"/>
              </w:rPr>
              <w:t>o</w:t>
            </w:r>
            <w:r w:rsidRPr="00CE77FB">
              <w:rPr>
                <w:rFonts w:cs="Arial"/>
                <w:lang w:eastAsia="en-AU"/>
              </w:rPr>
              <w:t>utcome notifications that are followed up by Council)</w:t>
            </w:r>
          </w:p>
          <w:p w:rsidR="004B2040" w:rsidRPr="00CE77FB" w:rsidRDefault="004B2040" w:rsidP="004B2040">
            <w:pPr>
              <w:jc w:val="both"/>
              <w:rPr>
                <w:rFonts w:cs="Arial"/>
                <w:lang w:eastAsia="en-AU"/>
              </w:rPr>
            </w:pPr>
          </w:p>
        </w:tc>
        <w:tc>
          <w:tcPr>
            <w:tcW w:w="1667"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Number of critical and major non-compliance outcome notifications about a food premises followed up / Total number of critical and major non-compliance outcome notifications about food premises</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F83A9C">
            <w:pPr>
              <w:rPr>
                <w:rFonts w:cs="Arial"/>
                <w:lang w:eastAsia="en-AU"/>
              </w:rPr>
            </w:pPr>
            <w:r w:rsidRPr="00CE77FB">
              <w:rPr>
                <w:rFonts w:cs="Arial"/>
                <w:lang w:eastAsia="en-AU"/>
              </w:rPr>
              <w:t>Maternal and</w:t>
            </w:r>
            <w:r w:rsidR="00F83A9C">
              <w:rPr>
                <w:rFonts w:cs="Arial"/>
                <w:lang w:eastAsia="en-AU"/>
              </w:rPr>
              <w:t xml:space="preserve"> </w:t>
            </w:r>
            <w:r w:rsidRPr="00CE77FB">
              <w:rPr>
                <w:rFonts w:cs="Arial"/>
                <w:lang w:eastAsia="en-AU"/>
              </w:rPr>
              <w:t>Child Health</w:t>
            </w: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rsidR="004B2040" w:rsidRPr="00774804" w:rsidRDefault="004B2040" w:rsidP="004B2040">
            <w:pPr>
              <w:jc w:val="both"/>
              <w:rPr>
                <w:rFonts w:cs="Arial"/>
                <w:lang w:eastAsia="en-AU"/>
              </w:rPr>
            </w:pPr>
            <w:r w:rsidRPr="00774804">
              <w:rPr>
                <w:rFonts w:cs="Arial"/>
                <w:color w:val="000000"/>
                <w:lang w:eastAsia="en-AU"/>
              </w:rPr>
              <w:t>Defined as the percentage of children enrolled who participate in the MCH service</w:t>
            </w:r>
          </w:p>
        </w:tc>
        <w:tc>
          <w:tcPr>
            <w:tcW w:w="1667" w:type="pct"/>
            <w:tcBorders>
              <w:top w:val="single" w:sz="4" w:space="0" w:color="auto"/>
              <w:left w:val="nil"/>
              <w:bottom w:val="single" w:sz="4" w:space="0" w:color="auto"/>
              <w:right w:val="nil"/>
            </w:tcBorders>
          </w:tcPr>
          <w:p w:rsidR="004B2040" w:rsidRPr="00774804" w:rsidRDefault="004B2040" w:rsidP="004B2040">
            <w:pPr>
              <w:jc w:val="both"/>
              <w:rPr>
                <w:rFonts w:cs="Arial"/>
                <w:lang w:eastAsia="en-AU"/>
              </w:rPr>
            </w:pPr>
            <w:r w:rsidRPr="00774804">
              <w:rPr>
                <w:rFonts w:cs="Arial"/>
                <w:color w:val="000000"/>
                <w:lang w:eastAsia="en-AU"/>
              </w:rPr>
              <w:t>Number of children who attend the MCH service at least once (in the year) / Number of children enrolled in the MCH service</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F83A9C">
            <w:pPr>
              <w:rPr>
                <w:rFonts w:cs="Arial"/>
                <w:lang w:eastAsia="en-AU"/>
              </w:rPr>
            </w:pPr>
            <w:r w:rsidRPr="00CE77FB">
              <w:rPr>
                <w:rFonts w:cs="Arial"/>
                <w:lang w:eastAsia="en-AU"/>
              </w:rPr>
              <w:t>Maternal and Child Health</w:t>
            </w: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rsidR="004B2040" w:rsidRPr="00ED2512" w:rsidRDefault="004B2040" w:rsidP="004B2040">
            <w:pPr>
              <w:jc w:val="both"/>
              <w:rPr>
                <w:rFonts w:cs="Arial"/>
                <w:lang w:eastAsia="en-AU"/>
              </w:rPr>
            </w:pPr>
            <w:r w:rsidRPr="00ED2512">
              <w:rPr>
                <w:rFonts w:cs="Arial"/>
                <w:color w:val="000000"/>
                <w:lang w:eastAsia="en-AU"/>
              </w:rPr>
              <w:t>Defined as the percentage of Aboriginal children enrolled who participate in the MCH service</w:t>
            </w:r>
          </w:p>
        </w:tc>
        <w:tc>
          <w:tcPr>
            <w:tcW w:w="1667" w:type="pct"/>
            <w:tcBorders>
              <w:top w:val="single" w:sz="4" w:space="0" w:color="auto"/>
              <w:left w:val="nil"/>
              <w:bottom w:val="single" w:sz="4" w:space="0" w:color="auto"/>
              <w:right w:val="nil"/>
            </w:tcBorders>
          </w:tcPr>
          <w:p w:rsidR="004B2040" w:rsidRPr="00ED2512" w:rsidRDefault="004B2040" w:rsidP="004B2040">
            <w:pPr>
              <w:jc w:val="both"/>
              <w:rPr>
                <w:rFonts w:cs="Arial"/>
                <w:lang w:eastAsia="en-AU"/>
              </w:rPr>
            </w:pPr>
            <w:r w:rsidRPr="00ED2512">
              <w:rPr>
                <w:rFonts w:cs="Arial"/>
                <w:color w:val="000000"/>
                <w:lang w:eastAsia="en-AU"/>
              </w:rPr>
              <w:t>Number of Aboriginal children who attend the MCH service at least once (in the year) / Number of Aboriginal children enrolled in the MCH service</w:t>
            </w:r>
          </w:p>
        </w:tc>
      </w:tr>
    </w:tbl>
    <w:p w:rsidR="004B2040" w:rsidRDefault="004B2040" w:rsidP="004B2040">
      <w:pPr>
        <w:rPr>
          <w:rFonts w:cs="Arial"/>
          <w:b/>
        </w:rPr>
      </w:pPr>
    </w:p>
    <w:p w:rsidR="004B2040" w:rsidRPr="002E5F06" w:rsidRDefault="004B2040" w:rsidP="0065738F">
      <w:pPr>
        <w:pStyle w:val="Heading3"/>
      </w:pPr>
      <w:bookmarkStart w:id="91" w:name="_Toc481072876"/>
      <w:bookmarkStart w:id="92" w:name="_Toc481077414"/>
      <w:bookmarkStart w:id="93" w:name="_Toc481483649"/>
      <w:bookmarkStart w:id="94" w:name="_Toc508984188"/>
      <w:bookmarkStart w:id="95" w:name="_Toc4056368"/>
      <w:r w:rsidRPr="002E5F06">
        <w:t xml:space="preserve">2.2 Outcome Area (Strategic Objective) 2: </w:t>
      </w:r>
      <w:r w:rsidRPr="002E5F06">
        <w:rPr>
          <w:lang w:eastAsia="en-AU"/>
        </w:rPr>
        <w:t>A prosperous and learning community</w:t>
      </w:r>
      <w:bookmarkEnd w:id="91"/>
      <w:bookmarkEnd w:id="92"/>
      <w:bookmarkEnd w:id="93"/>
      <w:bookmarkEnd w:id="94"/>
      <w:bookmarkEnd w:id="95"/>
    </w:p>
    <w:p w:rsidR="004B2040" w:rsidRPr="00242D2A" w:rsidRDefault="004B2040" w:rsidP="004B2040">
      <w:pPr>
        <w:jc w:val="both"/>
        <w:rPr>
          <w:rFonts w:cs="Arial"/>
          <w:b/>
        </w:rPr>
      </w:pPr>
    </w:p>
    <w:tbl>
      <w:tblPr>
        <w:tblW w:w="5000" w:type="pct"/>
        <w:tblLook w:val="04A0" w:firstRow="1" w:lastRow="0" w:firstColumn="1" w:lastColumn="0" w:noHBand="0" w:noVBand="1"/>
      </w:tblPr>
      <w:tblGrid>
        <w:gridCol w:w="6732"/>
        <w:gridCol w:w="576"/>
        <w:gridCol w:w="1012"/>
        <w:gridCol w:w="1134"/>
        <w:gridCol w:w="1012"/>
      </w:tblGrid>
      <w:tr w:rsidR="00311B25" w:rsidRPr="00311B25" w:rsidTr="00DA0C75">
        <w:trPr>
          <w:trHeight w:val="300"/>
        </w:trPr>
        <w:tc>
          <w:tcPr>
            <w:tcW w:w="3216" w:type="pct"/>
            <w:vMerge w:val="restart"/>
            <w:tcBorders>
              <w:top w:val="nil"/>
              <w:left w:val="nil"/>
              <w:bottom w:val="nil"/>
              <w:right w:val="nil"/>
            </w:tcBorders>
            <w:shd w:val="clear" w:color="000000" w:fill="5B9BD5"/>
            <w:vAlign w:val="center"/>
            <w:hideMark/>
          </w:tcPr>
          <w:p w:rsidR="00311B25" w:rsidRPr="00311B25" w:rsidRDefault="00311B25" w:rsidP="00311B25">
            <w:pPr>
              <w:rPr>
                <w:rFonts w:eastAsia="Times New Roman" w:cs="Arial"/>
                <w:b/>
                <w:bCs/>
                <w:color w:val="FFFFFF"/>
                <w:lang w:eastAsia="en-AU"/>
              </w:rPr>
            </w:pPr>
            <w:r w:rsidRPr="00311B25">
              <w:rPr>
                <w:rFonts w:eastAsia="Times New Roman" w:cs="Arial"/>
                <w:b/>
                <w:bCs/>
                <w:color w:val="FFFFFF"/>
                <w:lang w:eastAsia="en-AU"/>
              </w:rPr>
              <w:t>Service and Description</w:t>
            </w:r>
          </w:p>
        </w:tc>
        <w:tc>
          <w:tcPr>
            <w:tcW w:w="275"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2020/21</w:t>
            </w:r>
          </w:p>
        </w:tc>
      </w:tr>
      <w:tr w:rsidR="00311B25" w:rsidRPr="00311B25" w:rsidTr="00DA0C75">
        <w:trPr>
          <w:trHeight w:val="300"/>
        </w:trPr>
        <w:tc>
          <w:tcPr>
            <w:tcW w:w="3216" w:type="pct"/>
            <w:vMerge/>
            <w:tcBorders>
              <w:top w:val="nil"/>
              <w:left w:val="nil"/>
              <w:bottom w:val="nil"/>
              <w:right w:val="nil"/>
            </w:tcBorders>
            <w:vAlign w:val="center"/>
            <w:hideMark/>
          </w:tcPr>
          <w:p w:rsidR="00311B25" w:rsidRPr="00311B25" w:rsidRDefault="00311B25" w:rsidP="00311B25">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Budget</w:t>
            </w:r>
          </w:p>
        </w:tc>
      </w:tr>
      <w:tr w:rsidR="00311B25" w:rsidRPr="00311B25" w:rsidTr="00DA0C75">
        <w:trPr>
          <w:trHeight w:val="300"/>
        </w:trPr>
        <w:tc>
          <w:tcPr>
            <w:tcW w:w="3216" w:type="pct"/>
            <w:vMerge/>
            <w:tcBorders>
              <w:top w:val="nil"/>
              <w:left w:val="nil"/>
              <w:bottom w:val="nil"/>
              <w:right w:val="nil"/>
            </w:tcBorders>
            <w:vAlign w:val="center"/>
            <w:hideMark/>
          </w:tcPr>
          <w:p w:rsidR="00311B25" w:rsidRPr="00311B25" w:rsidRDefault="00311B25" w:rsidP="00311B25">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311B25" w:rsidRPr="00311B25" w:rsidRDefault="00311B25" w:rsidP="00311B25">
            <w:pPr>
              <w:jc w:val="center"/>
              <w:rPr>
                <w:rFonts w:eastAsia="Times New Roman" w:cs="Arial"/>
                <w:b/>
                <w:bCs/>
                <w:color w:val="FFFFFF"/>
                <w:lang w:eastAsia="en-AU"/>
              </w:rPr>
            </w:pPr>
            <w:r w:rsidRPr="00311B25">
              <w:rPr>
                <w:rFonts w:eastAsia="Times New Roman" w:cs="Arial"/>
                <w:b/>
                <w:bCs/>
                <w:color w:val="FFFFFF"/>
                <w:lang w:eastAsia="en-AU"/>
              </w:rPr>
              <w:t>$'000</w:t>
            </w:r>
          </w:p>
        </w:tc>
      </w:tr>
      <w:tr w:rsidR="00311B25" w:rsidRPr="00311B25" w:rsidTr="00DA0C75">
        <w:trPr>
          <w:trHeight w:val="525"/>
        </w:trPr>
        <w:tc>
          <w:tcPr>
            <w:tcW w:w="3216" w:type="pct"/>
            <w:tcBorders>
              <w:top w:val="nil"/>
              <w:left w:val="nil"/>
              <w:bottom w:val="single" w:sz="4" w:space="0" w:color="auto"/>
              <w:right w:val="nil"/>
            </w:tcBorders>
            <w:shd w:val="clear" w:color="auto" w:fill="auto"/>
            <w:noWrap/>
            <w:vAlign w:val="center"/>
            <w:hideMark/>
          </w:tcPr>
          <w:p w:rsidR="00311B25" w:rsidRPr="00311B25" w:rsidRDefault="00311B25" w:rsidP="00311B25">
            <w:pPr>
              <w:rPr>
                <w:rFonts w:eastAsia="Times New Roman" w:cs="Arial"/>
                <w:b/>
                <w:bCs/>
                <w:color w:val="5B9BD5"/>
                <w:lang w:eastAsia="en-AU"/>
              </w:rPr>
            </w:pPr>
            <w:r w:rsidRPr="00311B25">
              <w:rPr>
                <w:rFonts w:eastAsia="Times New Roman" w:cs="Arial"/>
                <w:b/>
                <w:bCs/>
                <w:color w:val="5B9BD5"/>
                <w:lang w:eastAsia="en-AU"/>
              </w:rPr>
              <w:t>Business &amp; Activity Centre Development</w:t>
            </w:r>
          </w:p>
        </w:tc>
        <w:tc>
          <w:tcPr>
            <w:tcW w:w="275"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p>
        </w:tc>
      </w:tr>
      <w:tr w:rsidR="00311B25" w:rsidRPr="00311B25" w:rsidTr="00DA0C75">
        <w:trPr>
          <w:trHeight w:val="360"/>
        </w:trPr>
        <w:tc>
          <w:tcPr>
            <w:tcW w:w="3216" w:type="pct"/>
            <w:vMerge w:val="restart"/>
            <w:tcBorders>
              <w:top w:val="nil"/>
              <w:left w:val="nil"/>
              <w:bottom w:val="single" w:sz="4" w:space="0" w:color="000000"/>
              <w:right w:val="nil"/>
            </w:tcBorders>
            <w:shd w:val="clear" w:color="auto" w:fill="auto"/>
            <w:hideMark/>
          </w:tcPr>
          <w:p w:rsidR="00311B25" w:rsidRPr="00311B25" w:rsidRDefault="00311B25" w:rsidP="00311B25">
            <w:pPr>
              <w:jc w:val="both"/>
              <w:rPr>
                <w:rFonts w:eastAsia="Times New Roman" w:cs="Arial"/>
                <w:color w:val="000000"/>
                <w:lang w:eastAsia="en-AU"/>
              </w:rPr>
            </w:pPr>
            <w:r w:rsidRPr="00F50723">
              <w:rPr>
                <w:rFonts w:eastAsia="Times New Roman" w:cs="Arial"/>
                <w:color w:val="000000"/>
                <w:lang w:eastAsia="en-AU"/>
              </w:rPr>
              <w:t> </w:t>
            </w:r>
            <w:r w:rsidRPr="0094032E">
              <w:t xml:space="preserve">Business &amp; Activity Centre Development’s key </w:t>
            </w:r>
            <w:r>
              <w:t xml:space="preserve">focus is strengthening the local economy, recognising that a healthy community is built on a strong local </w:t>
            </w:r>
            <w:proofErr w:type="spellStart"/>
            <w:r>
              <w:t>economy.</w:t>
            </w:r>
            <w:r w:rsidRPr="0094032E">
              <w:t>The</w:t>
            </w:r>
            <w:proofErr w:type="spellEnd"/>
            <w:r w:rsidRPr="0094032E">
              <w:t xml:space="preserve"> </w:t>
            </w:r>
            <w:r>
              <w:t>t</w:t>
            </w:r>
            <w:r w:rsidRPr="0094032E">
              <w:t>eam stewards investment attraction and development of the Ringwood Metropolitan Activity Centre</w:t>
            </w:r>
            <w:r>
              <w:t xml:space="preserve">, </w:t>
            </w:r>
            <w:r w:rsidRPr="0094032E">
              <w:t>the Croydon Major Activity Centre</w:t>
            </w:r>
            <w:r>
              <w:t xml:space="preserve"> and the</w:t>
            </w:r>
            <w:r w:rsidRPr="0094032E">
              <w:t xml:space="preserve"> Bayswater Business </w:t>
            </w:r>
            <w:proofErr w:type="spellStart"/>
            <w:r>
              <w:t>P</w:t>
            </w:r>
            <w:r w:rsidRPr="0094032E">
              <w:t>recinct</w:t>
            </w:r>
            <w:r>
              <w:t>.The</w:t>
            </w:r>
            <w:proofErr w:type="spellEnd"/>
            <w:r>
              <w:t xml:space="preserve"> team</w:t>
            </w:r>
            <w:r w:rsidRPr="0094032E">
              <w:t xml:space="preserve"> deliver</w:t>
            </w:r>
            <w:r>
              <w:t>s</w:t>
            </w:r>
            <w:r w:rsidRPr="0094032E">
              <w:t xml:space="preserve"> a collaborative co-work space, </w:t>
            </w:r>
            <w:r>
              <w:t xml:space="preserve">business </w:t>
            </w:r>
            <w:r w:rsidRPr="0094032E">
              <w:t>programs,</w:t>
            </w:r>
            <w:r>
              <w:t xml:space="preserve"> workshops </w:t>
            </w:r>
            <w:r w:rsidRPr="0094032E">
              <w:t xml:space="preserve">and </w:t>
            </w:r>
            <w:r>
              <w:t xml:space="preserve">events and information all designed to develop, strengthen, connect and celebrate our </w:t>
            </w:r>
            <w:r w:rsidRPr="0094032E">
              <w:t>businesses</w:t>
            </w:r>
            <w:r>
              <w:t>.</w:t>
            </w:r>
            <w:r w:rsidRPr="0094032E">
              <w:t xml:space="preserve"> </w:t>
            </w:r>
            <w:r>
              <w:t xml:space="preserve">The team develops partnerships with business, investors, governments, education provider and others as these are critical to delivery. </w:t>
            </w:r>
            <w:r w:rsidRPr="0094032E">
              <w:t>All activities are designed to support business growth and employment throughout</w:t>
            </w:r>
            <w:r>
              <w:t xml:space="preserve"> Maroondah and</w:t>
            </w:r>
            <w:r w:rsidRPr="0094032E">
              <w:t xml:space="preserve"> the region.</w:t>
            </w:r>
          </w:p>
        </w:tc>
        <w:tc>
          <w:tcPr>
            <w:tcW w:w="275" w:type="pct"/>
            <w:tcBorders>
              <w:top w:val="nil"/>
              <w:left w:val="nil"/>
              <w:bottom w:val="nil"/>
              <w:right w:val="nil"/>
            </w:tcBorders>
            <w:shd w:val="clear" w:color="000000" w:fill="FFFFFF"/>
            <w:hideMark/>
          </w:tcPr>
          <w:p w:rsidR="00311B25" w:rsidRPr="00311B25" w:rsidRDefault="00311B25" w:rsidP="00311B25">
            <w:pPr>
              <w:rPr>
                <w:rFonts w:eastAsia="Times New Roman" w:cs="Arial"/>
                <w:sz w:val="18"/>
                <w:szCs w:val="18"/>
                <w:lang w:eastAsia="en-AU"/>
              </w:rPr>
            </w:pPr>
            <w:r w:rsidRPr="00311B25">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1,646</w:t>
            </w:r>
          </w:p>
        </w:tc>
        <w:tc>
          <w:tcPr>
            <w:tcW w:w="542" w:type="pct"/>
            <w:tcBorders>
              <w:top w:val="nil"/>
              <w:left w:val="nil"/>
              <w:bottom w:val="nil"/>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1,487</w:t>
            </w:r>
          </w:p>
        </w:tc>
        <w:tc>
          <w:tcPr>
            <w:tcW w:w="483" w:type="pct"/>
            <w:tcBorders>
              <w:top w:val="single" w:sz="4" w:space="0" w:color="auto"/>
              <w:left w:val="nil"/>
              <w:bottom w:val="nil"/>
              <w:right w:val="nil"/>
            </w:tcBorders>
            <w:shd w:val="clear" w:color="000000" w:fill="BDD7EE"/>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1,610</w:t>
            </w:r>
          </w:p>
        </w:tc>
      </w:tr>
      <w:tr w:rsidR="00311B25" w:rsidRPr="00311B25" w:rsidTr="00DA0C75">
        <w:trPr>
          <w:trHeight w:val="360"/>
        </w:trPr>
        <w:tc>
          <w:tcPr>
            <w:tcW w:w="3216" w:type="pct"/>
            <w:vMerge/>
            <w:tcBorders>
              <w:top w:val="nil"/>
              <w:left w:val="nil"/>
              <w:bottom w:val="single" w:sz="4" w:space="0" w:color="000000"/>
              <w:right w:val="nil"/>
            </w:tcBorders>
            <w:vAlign w:val="center"/>
            <w:hideMark/>
          </w:tcPr>
          <w:p w:rsidR="00311B25" w:rsidRPr="00311B25" w:rsidRDefault="00311B25" w:rsidP="00311B25">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311B25" w:rsidRPr="00311B25" w:rsidRDefault="00311B25" w:rsidP="00311B25">
            <w:pPr>
              <w:rPr>
                <w:rFonts w:eastAsia="Times New Roman" w:cs="Arial"/>
                <w:sz w:val="18"/>
                <w:szCs w:val="18"/>
                <w:lang w:eastAsia="en-AU"/>
              </w:rPr>
            </w:pPr>
            <w:r w:rsidRPr="00311B25">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(383)</w:t>
            </w:r>
          </w:p>
        </w:tc>
        <w:tc>
          <w:tcPr>
            <w:tcW w:w="542"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(99)</w:t>
            </w:r>
          </w:p>
        </w:tc>
        <w:tc>
          <w:tcPr>
            <w:tcW w:w="483" w:type="pct"/>
            <w:tcBorders>
              <w:top w:val="nil"/>
              <w:left w:val="nil"/>
              <w:bottom w:val="single" w:sz="4" w:space="0" w:color="auto"/>
              <w:right w:val="nil"/>
            </w:tcBorders>
            <w:shd w:val="clear" w:color="000000" w:fill="BDD7EE"/>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(277)</w:t>
            </w:r>
          </w:p>
        </w:tc>
      </w:tr>
      <w:tr w:rsidR="00311B25" w:rsidRPr="00311B25" w:rsidTr="00DA0C75">
        <w:trPr>
          <w:trHeight w:val="300"/>
        </w:trPr>
        <w:tc>
          <w:tcPr>
            <w:tcW w:w="3216" w:type="pct"/>
            <w:vMerge/>
            <w:tcBorders>
              <w:top w:val="nil"/>
              <w:left w:val="nil"/>
              <w:bottom w:val="single" w:sz="4" w:space="0" w:color="000000"/>
              <w:right w:val="nil"/>
            </w:tcBorders>
            <w:vAlign w:val="center"/>
            <w:hideMark/>
          </w:tcPr>
          <w:p w:rsidR="00311B25" w:rsidRPr="00311B25" w:rsidRDefault="00311B25" w:rsidP="00311B25">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311B25" w:rsidRPr="00311B25" w:rsidRDefault="00311B25" w:rsidP="00311B25">
            <w:pPr>
              <w:rPr>
                <w:rFonts w:eastAsia="Times New Roman" w:cs="Arial"/>
                <w:b/>
                <w:bCs/>
                <w:sz w:val="18"/>
                <w:szCs w:val="18"/>
                <w:lang w:eastAsia="en-AU"/>
              </w:rPr>
            </w:pPr>
            <w:r w:rsidRPr="00311B25">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1,262</w:t>
            </w:r>
          </w:p>
        </w:tc>
        <w:tc>
          <w:tcPr>
            <w:tcW w:w="542"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1,388</w:t>
            </w:r>
          </w:p>
        </w:tc>
        <w:tc>
          <w:tcPr>
            <w:tcW w:w="483" w:type="pct"/>
            <w:tcBorders>
              <w:top w:val="nil"/>
              <w:left w:val="nil"/>
              <w:bottom w:val="single" w:sz="4" w:space="0" w:color="auto"/>
              <w:right w:val="nil"/>
            </w:tcBorders>
            <w:shd w:val="clear" w:color="000000" w:fill="BDD7EE"/>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1,333</w:t>
            </w:r>
          </w:p>
        </w:tc>
      </w:tr>
      <w:tr w:rsidR="00311B25" w:rsidRPr="00311B25" w:rsidTr="00DA0C75">
        <w:trPr>
          <w:trHeight w:val="525"/>
        </w:trPr>
        <w:tc>
          <w:tcPr>
            <w:tcW w:w="3216" w:type="pct"/>
            <w:tcBorders>
              <w:top w:val="nil"/>
              <w:left w:val="nil"/>
              <w:bottom w:val="single" w:sz="4" w:space="0" w:color="auto"/>
              <w:right w:val="nil"/>
            </w:tcBorders>
            <w:shd w:val="clear" w:color="auto" w:fill="auto"/>
            <w:noWrap/>
            <w:vAlign w:val="center"/>
            <w:hideMark/>
          </w:tcPr>
          <w:p w:rsidR="00311B25" w:rsidRPr="00311B25" w:rsidRDefault="00311B25" w:rsidP="00311B25">
            <w:pPr>
              <w:rPr>
                <w:rFonts w:eastAsia="Times New Roman" w:cs="Arial"/>
                <w:b/>
                <w:bCs/>
                <w:color w:val="5B9BD5"/>
                <w:lang w:eastAsia="en-AU"/>
              </w:rPr>
            </w:pPr>
            <w:r w:rsidRPr="00311B25">
              <w:rPr>
                <w:rFonts w:eastAsia="Times New Roman" w:cs="Arial"/>
                <w:b/>
                <w:bCs/>
                <w:color w:val="5B9BD5"/>
                <w:lang w:eastAsia="en-AU"/>
              </w:rPr>
              <w:t>Libraries</w:t>
            </w:r>
          </w:p>
        </w:tc>
        <w:tc>
          <w:tcPr>
            <w:tcW w:w="275"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r w:rsidRPr="00311B25">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311B25" w:rsidRPr="00311B25" w:rsidRDefault="00311B25" w:rsidP="00311B25">
            <w:pPr>
              <w:jc w:val="center"/>
              <w:rPr>
                <w:rFonts w:eastAsia="Times New Roman" w:cs="Arial"/>
                <w:b/>
                <w:bCs/>
                <w:color w:val="FFFFFF"/>
                <w:sz w:val="18"/>
                <w:szCs w:val="18"/>
                <w:lang w:eastAsia="en-AU"/>
              </w:rPr>
            </w:pPr>
          </w:p>
        </w:tc>
      </w:tr>
      <w:tr w:rsidR="00311B25" w:rsidRPr="00311B25" w:rsidTr="00DA0C75">
        <w:trPr>
          <w:trHeight w:val="300"/>
        </w:trPr>
        <w:tc>
          <w:tcPr>
            <w:tcW w:w="3216" w:type="pct"/>
            <w:vMerge w:val="restart"/>
            <w:tcBorders>
              <w:top w:val="nil"/>
              <w:left w:val="nil"/>
              <w:bottom w:val="single" w:sz="4" w:space="0" w:color="000000"/>
              <w:right w:val="nil"/>
            </w:tcBorders>
            <w:shd w:val="clear" w:color="auto" w:fill="auto"/>
            <w:hideMark/>
          </w:tcPr>
          <w:p w:rsidR="00311B25" w:rsidRPr="00311B25" w:rsidRDefault="00311B25" w:rsidP="00311B25">
            <w:pPr>
              <w:jc w:val="both"/>
              <w:rPr>
                <w:rFonts w:eastAsia="Times New Roman" w:cs="Arial"/>
                <w:color w:val="000000"/>
                <w:lang w:eastAsia="en-AU"/>
              </w:rPr>
            </w:pPr>
            <w:r w:rsidRPr="00F50723">
              <w:rPr>
                <w:rFonts w:eastAsia="Times New Roman" w:cs="Arial"/>
                <w:color w:val="000000"/>
                <w:lang w:eastAsia="en-AU"/>
              </w:rPr>
              <w:t> </w:t>
            </w:r>
            <w:r w:rsidRPr="00662938">
              <w:rPr>
                <w:rFonts w:cs="Arial"/>
                <w:lang w:eastAsia="en-AU"/>
              </w:rPr>
              <w:t>Maroondah City Council provides two library facilities – one in Ringwood and one in Croydon. The library service is delivered under a regional partnership model by Eastern Regional Libraries Corporation.</w:t>
            </w:r>
          </w:p>
        </w:tc>
        <w:tc>
          <w:tcPr>
            <w:tcW w:w="275" w:type="pct"/>
            <w:tcBorders>
              <w:top w:val="nil"/>
              <w:left w:val="nil"/>
              <w:bottom w:val="nil"/>
              <w:right w:val="nil"/>
            </w:tcBorders>
            <w:shd w:val="clear" w:color="000000" w:fill="FFFFFF"/>
            <w:hideMark/>
          </w:tcPr>
          <w:p w:rsidR="00311B25" w:rsidRPr="00311B25" w:rsidRDefault="00311B25" w:rsidP="00311B25">
            <w:pPr>
              <w:rPr>
                <w:rFonts w:eastAsia="Times New Roman" w:cs="Arial"/>
                <w:sz w:val="18"/>
                <w:szCs w:val="18"/>
                <w:lang w:eastAsia="en-AU"/>
              </w:rPr>
            </w:pPr>
            <w:r w:rsidRPr="00311B25">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2,813</w:t>
            </w:r>
          </w:p>
        </w:tc>
        <w:tc>
          <w:tcPr>
            <w:tcW w:w="542" w:type="pct"/>
            <w:tcBorders>
              <w:top w:val="nil"/>
              <w:left w:val="nil"/>
              <w:bottom w:val="nil"/>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2,925</w:t>
            </w:r>
          </w:p>
        </w:tc>
        <w:tc>
          <w:tcPr>
            <w:tcW w:w="483" w:type="pct"/>
            <w:tcBorders>
              <w:top w:val="single" w:sz="4" w:space="0" w:color="auto"/>
              <w:left w:val="nil"/>
              <w:bottom w:val="nil"/>
              <w:right w:val="nil"/>
            </w:tcBorders>
            <w:shd w:val="clear" w:color="000000" w:fill="BDD7EE"/>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3,055</w:t>
            </w:r>
          </w:p>
        </w:tc>
      </w:tr>
      <w:tr w:rsidR="00311B25" w:rsidRPr="00311B25" w:rsidTr="00DA0C75">
        <w:trPr>
          <w:trHeight w:val="300"/>
        </w:trPr>
        <w:tc>
          <w:tcPr>
            <w:tcW w:w="3216" w:type="pct"/>
            <w:vMerge/>
            <w:tcBorders>
              <w:top w:val="nil"/>
              <w:left w:val="nil"/>
              <w:bottom w:val="single" w:sz="4" w:space="0" w:color="000000"/>
              <w:right w:val="nil"/>
            </w:tcBorders>
            <w:vAlign w:val="center"/>
            <w:hideMark/>
          </w:tcPr>
          <w:p w:rsidR="00311B25" w:rsidRPr="00311B25" w:rsidRDefault="00311B25" w:rsidP="00311B25">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311B25" w:rsidRPr="00311B25" w:rsidRDefault="00311B25" w:rsidP="00311B25">
            <w:pPr>
              <w:rPr>
                <w:rFonts w:eastAsia="Times New Roman" w:cs="Arial"/>
                <w:sz w:val="18"/>
                <w:szCs w:val="18"/>
                <w:lang w:eastAsia="en-AU"/>
              </w:rPr>
            </w:pPr>
            <w:r w:rsidRPr="00311B25">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w:t>
            </w:r>
          </w:p>
        </w:tc>
        <w:tc>
          <w:tcPr>
            <w:tcW w:w="542"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w:t>
            </w:r>
          </w:p>
        </w:tc>
        <w:tc>
          <w:tcPr>
            <w:tcW w:w="483" w:type="pct"/>
            <w:tcBorders>
              <w:top w:val="nil"/>
              <w:left w:val="nil"/>
              <w:bottom w:val="single" w:sz="4" w:space="0" w:color="auto"/>
              <w:right w:val="nil"/>
            </w:tcBorders>
            <w:shd w:val="clear" w:color="000000" w:fill="BDD7EE"/>
            <w:hideMark/>
          </w:tcPr>
          <w:p w:rsidR="00311B25" w:rsidRPr="00311B25" w:rsidRDefault="00311B25" w:rsidP="00311B25">
            <w:pPr>
              <w:jc w:val="right"/>
              <w:rPr>
                <w:rFonts w:eastAsia="Times New Roman" w:cs="Arial"/>
                <w:sz w:val="18"/>
                <w:szCs w:val="18"/>
                <w:lang w:eastAsia="en-AU"/>
              </w:rPr>
            </w:pPr>
            <w:r w:rsidRPr="00311B25">
              <w:rPr>
                <w:rFonts w:eastAsia="Times New Roman" w:cs="Arial"/>
                <w:sz w:val="18"/>
                <w:szCs w:val="18"/>
                <w:lang w:eastAsia="en-AU"/>
              </w:rPr>
              <w:t>-</w:t>
            </w:r>
          </w:p>
        </w:tc>
      </w:tr>
      <w:tr w:rsidR="00311B25" w:rsidRPr="00311B25" w:rsidTr="00DA0C75">
        <w:trPr>
          <w:trHeight w:val="300"/>
        </w:trPr>
        <w:tc>
          <w:tcPr>
            <w:tcW w:w="3216" w:type="pct"/>
            <w:vMerge/>
            <w:tcBorders>
              <w:top w:val="nil"/>
              <w:left w:val="nil"/>
              <w:bottom w:val="single" w:sz="4" w:space="0" w:color="000000"/>
              <w:right w:val="nil"/>
            </w:tcBorders>
            <w:vAlign w:val="center"/>
            <w:hideMark/>
          </w:tcPr>
          <w:p w:rsidR="00311B25" w:rsidRPr="00311B25" w:rsidRDefault="00311B25" w:rsidP="00311B25">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311B25" w:rsidRPr="00311B25" w:rsidRDefault="00311B25" w:rsidP="00311B25">
            <w:pPr>
              <w:rPr>
                <w:rFonts w:eastAsia="Times New Roman" w:cs="Arial"/>
                <w:b/>
                <w:bCs/>
                <w:sz w:val="18"/>
                <w:szCs w:val="18"/>
                <w:lang w:eastAsia="en-AU"/>
              </w:rPr>
            </w:pPr>
            <w:r w:rsidRPr="00311B25">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2,813</w:t>
            </w:r>
          </w:p>
        </w:tc>
        <w:tc>
          <w:tcPr>
            <w:tcW w:w="542" w:type="pct"/>
            <w:tcBorders>
              <w:top w:val="nil"/>
              <w:left w:val="nil"/>
              <w:bottom w:val="single" w:sz="4" w:space="0" w:color="auto"/>
              <w:right w:val="nil"/>
            </w:tcBorders>
            <w:shd w:val="clear" w:color="000000" w:fill="FFFFFF"/>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2,925</w:t>
            </w:r>
          </w:p>
        </w:tc>
        <w:tc>
          <w:tcPr>
            <w:tcW w:w="483" w:type="pct"/>
            <w:tcBorders>
              <w:top w:val="nil"/>
              <w:left w:val="nil"/>
              <w:bottom w:val="single" w:sz="4" w:space="0" w:color="auto"/>
              <w:right w:val="nil"/>
            </w:tcBorders>
            <w:shd w:val="clear" w:color="000000" w:fill="BDD7EE"/>
            <w:hideMark/>
          </w:tcPr>
          <w:p w:rsidR="00311B25" w:rsidRPr="00311B25" w:rsidRDefault="00311B25" w:rsidP="00311B25">
            <w:pPr>
              <w:jc w:val="right"/>
              <w:rPr>
                <w:rFonts w:eastAsia="Times New Roman" w:cs="Arial"/>
                <w:b/>
                <w:bCs/>
                <w:sz w:val="18"/>
                <w:szCs w:val="18"/>
                <w:lang w:eastAsia="en-AU"/>
              </w:rPr>
            </w:pPr>
            <w:r w:rsidRPr="00311B25">
              <w:rPr>
                <w:rFonts w:eastAsia="Times New Roman" w:cs="Arial"/>
                <w:b/>
                <w:bCs/>
                <w:sz w:val="18"/>
                <w:szCs w:val="18"/>
                <w:lang w:eastAsia="en-AU"/>
              </w:rPr>
              <w:t>3,055</w:t>
            </w:r>
          </w:p>
        </w:tc>
      </w:tr>
    </w:tbl>
    <w:p w:rsidR="00311B25" w:rsidRDefault="00311B25" w:rsidP="004B2040">
      <w:pPr>
        <w:jc w:val="both"/>
        <w:rPr>
          <w:rFonts w:cs="Arial"/>
          <w:b/>
          <w:bCs/>
          <w:iCs/>
          <w:lang w:eastAsia="en-AU"/>
        </w:rPr>
      </w:pPr>
    </w:p>
    <w:p w:rsidR="004B2040" w:rsidRPr="006876D2" w:rsidRDefault="004B2040" w:rsidP="004B2040">
      <w:pPr>
        <w:rPr>
          <w:rFonts w:cs="Arial"/>
          <w:b/>
        </w:rPr>
      </w:pPr>
      <w:r w:rsidRPr="006876D2">
        <w:rPr>
          <w:rFonts w:cs="Arial"/>
          <w:b/>
        </w:rPr>
        <w:t>Major Initiatives (Priority Action)</w:t>
      </w:r>
    </w:p>
    <w:p w:rsidR="00FA5C45" w:rsidRPr="000C74A5" w:rsidRDefault="00FA5C45" w:rsidP="00FA5C45">
      <w:pPr>
        <w:jc w:val="both"/>
        <w:rPr>
          <w:rFonts w:cs="Arial"/>
        </w:rPr>
      </w:pP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Undertake a strategic review of shopping centres in Maroondah and develop a Community Shopping Centre Strategy</w:t>
      </w:r>
    </w:p>
    <w:p w:rsidR="00DA0C75" w:rsidRDefault="00DA0C75">
      <w:pPr>
        <w:rPr>
          <w:rFonts w:cs="Arial"/>
          <w:b/>
          <w:bCs/>
          <w:iCs/>
          <w:lang w:eastAsia="en-AU"/>
        </w:rPr>
      </w:pPr>
      <w:r>
        <w:rPr>
          <w:rFonts w:cs="Arial"/>
          <w:b/>
          <w:bCs/>
          <w:iCs/>
          <w:lang w:eastAsia="en-AU"/>
        </w:rPr>
        <w:br w:type="page"/>
      </w:r>
    </w:p>
    <w:p w:rsidR="00544946" w:rsidRPr="000C74A5" w:rsidRDefault="00544946" w:rsidP="00544946">
      <w:pPr>
        <w:jc w:val="both"/>
        <w:rPr>
          <w:rFonts w:cs="Arial"/>
          <w:b/>
          <w:bCs/>
          <w:iCs/>
          <w:lang w:eastAsia="en-AU"/>
        </w:rPr>
      </w:pPr>
      <w:r w:rsidRPr="000C74A5">
        <w:rPr>
          <w:rFonts w:cs="Arial"/>
          <w:b/>
          <w:bCs/>
          <w:iCs/>
          <w:lang w:eastAsia="en-AU"/>
        </w:rPr>
        <w:lastRenderedPageBreak/>
        <w:t xml:space="preserve">Initiatives </w:t>
      </w:r>
    </w:p>
    <w:p w:rsidR="00F00D0D" w:rsidRPr="000C74A5" w:rsidRDefault="00F00D0D" w:rsidP="00F00D0D">
      <w:pPr>
        <w:jc w:val="both"/>
        <w:rPr>
          <w:rFonts w:cs="Arial"/>
        </w:rPr>
      </w:pPr>
    </w:p>
    <w:p w:rsidR="00F00D0D" w:rsidRPr="000C74A5" w:rsidRDefault="00F00D0D" w:rsidP="00274DF7">
      <w:pPr>
        <w:pStyle w:val="ListParagraph"/>
        <w:numPr>
          <w:ilvl w:val="0"/>
          <w:numId w:val="9"/>
        </w:numPr>
        <w:ind w:left="426" w:hanging="426"/>
        <w:jc w:val="both"/>
        <w:rPr>
          <w:rFonts w:ascii="Arial" w:hAnsi="Arial" w:cs="Arial"/>
        </w:rPr>
      </w:pPr>
      <w:r w:rsidRPr="000C74A5">
        <w:rPr>
          <w:rFonts w:ascii="Arial" w:hAnsi="Arial" w:cs="Arial"/>
        </w:rPr>
        <w:t>Work in partnership to implement the Bayswater Business Precinct strategy to assist local businesses and promote investment attraction</w:t>
      </w: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Develop</w:t>
      </w:r>
      <w:r w:rsidR="00F00D0D" w:rsidRPr="000C74A5">
        <w:rPr>
          <w:rFonts w:ascii="Arial" w:hAnsi="Arial" w:cs="Arial"/>
        </w:rPr>
        <w:t xml:space="preserve"> and </w:t>
      </w:r>
      <w:r w:rsidRPr="000C74A5">
        <w:rPr>
          <w:rFonts w:ascii="Arial" w:hAnsi="Arial" w:cs="Arial"/>
        </w:rPr>
        <w:t>promote the BizHub Co-Working Space</w:t>
      </w: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Plan and implement carparking improvements in the Ringwood Metropolitan Activity Centre and the Croydon Activity Centre</w:t>
      </w: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Work in partnership to facilitate appropriate development within the Ringwood Metropolitan Activity Centre and Croydon Activity Centre</w:t>
      </w: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As part of the Croydon Community</w:t>
      </w:r>
      <w:r w:rsidR="00F00D0D" w:rsidRPr="000C74A5">
        <w:rPr>
          <w:rFonts w:ascii="Arial" w:hAnsi="Arial" w:cs="Arial"/>
        </w:rPr>
        <w:t xml:space="preserve"> Wellbeing</w:t>
      </w:r>
      <w:r w:rsidRPr="000C74A5">
        <w:rPr>
          <w:rFonts w:ascii="Arial" w:hAnsi="Arial" w:cs="Arial"/>
        </w:rPr>
        <w:t xml:space="preserve"> Precinct development, plan </w:t>
      </w:r>
      <w:proofErr w:type="gramStart"/>
      <w:r w:rsidRPr="000C74A5">
        <w:rPr>
          <w:rFonts w:ascii="Arial" w:hAnsi="Arial" w:cs="Arial"/>
        </w:rPr>
        <w:t>and  deliver</w:t>
      </w:r>
      <w:proofErr w:type="gramEnd"/>
      <w:r w:rsidRPr="000C74A5">
        <w:rPr>
          <w:rFonts w:ascii="Arial" w:hAnsi="Arial" w:cs="Arial"/>
        </w:rPr>
        <w:t xml:space="preserve"> the Croydon library integrated Customer Service Project</w:t>
      </w:r>
    </w:p>
    <w:p w:rsidR="000968D9" w:rsidRPr="000C74A5" w:rsidRDefault="000968D9" w:rsidP="00274DF7">
      <w:pPr>
        <w:pStyle w:val="ListParagraph"/>
        <w:numPr>
          <w:ilvl w:val="0"/>
          <w:numId w:val="9"/>
        </w:numPr>
        <w:ind w:left="426" w:hanging="426"/>
        <w:jc w:val="both"/>
        <w:rPr>
          <w:rFonts w:ascii="Arial" w:hAnsi="Arial" w:cs="Arial"/>
        </w:rPr>
      </w:pPr>
      <w:r w:rsidRPr="000C74A5">
        <w:rPr>
          <w:rFonts w:ascii="Arial" w:hAnsi="Arial" w:cs="Arial"/>
        </w:rPr>
        <w:t xml:space="preserve">Implement </w:t>
      </w:r>
      <w:r w:rsidR="002F1621" w:rsidRPr="000C74A5">
        <w:rPr>
          <w:rFonts w:ascii="Arial" w:hAnsi="Arial" w:cs="Arial"/>
        </w:rPr>
        <w:t>Better Business Approvals Project</w:t>
      </w:r>
    </w:p>
    <w:p w:rsidR="003919CE" w:rsidRPr="000968D9" w:rsidRDefault="003919CE" w:rsidP="003919CE">
      <w:pPr>
        <w:pStyle w:val="ListParagraph"/>
        <w:ind w:left="360"/>
        <w:jc w:val="both"/>
        <w:rPr>
          <w:rFonts w:ascii="Arial" w:hAnsi="Arial" w:cs="Arial"/>
          <w:highlight w:val="green"/>
        </w:rPr>
      </w:pPr>
    </w:p>
    <w:p w:rsidR="004B2040" w:rsidRDefault="004B2040" w:rsidP="004B2040">
      <w:pPr>
        <w:jc w:val="both"/>
        <w:rPr>
          <w:rFonts w:cs="Arial"/>
          <w:b/>
          <w:bCs/>
          <w:iCs/>
          <w:lang w:eastAsia="en-AU"/>
        </w:rPr>
      </w:pPr>
      <w:r w:rsidRPr="00787EC0">
        <w:rPr>
          <w:rFonts w:cs="Arial"/>
          <w:b/>
          <w:bCs/>
          <w:iCs/>
          <w:lang w:eastAsia="en-AU"/>
        </w:rPr>
        <w:t>Service Performance Indicators</w:t>
      </w:r>
    </w:p>
    <w:p w:rsidR="004B2040" w:rsidRPr="00787EC0" w:rsidRDefault="004B2040" w:rsidP="004B2040">
      <w:pPr>
        <w:jc w:val="both"/>
        <w:rPr>
          <w:rFonts w:cs="Arial"/>
          <w:b/>
          <w:bCs/>
          <w:iCs/>
          <w:lang w:eastAsia="en-AU"/>
        </w:rPr>
      </w:pPr>
    </w:p>
    <w:tbl>
      <w:tblPr>
        <w:tblW w:w="5000" w:type="pct"/>
        <w:tblLook w:val="0000" w:firstRow="0" w:lastRow="0" w:firstColumn="0" w:lastColumn="0" w:noHBand="0" w:noVBand="0"/>
      </w:tblPr>
      <w:tblGrid>
        <w:gridCol w:w="1773"/>
        <w:gridCol w:w="1672"/>
        <w:gridCol w:w="3540"/>
        <w:gridCol w:w="3481"/>
      </w:tblGrid>
      <w:tr w:rsidR="004B2040" w:rsidRPr="00242D2A" w:rsidTr="008F2899">
        <w:trPr>
          <w:trHeight w:val="510"/>
        </w:trPr>
        <w:tc>
          <w:tcPr>
            <w:tcW w:w="847" w:type="pct"/>
            <w:tcBorders>
              <w:top w:val="nil"/>
              <w:left w:val="nil"/>
              <w:bottom w:val="single" w:sz="4" w:space="0" w:color="auto"/>
              <w:right w:val="nil"/>
            </w:tcBorders>
            <w:shd w:val="clear" w:color="auto" w:fill="629DD1" w:themeFill="accent2"/>
            <w:vAlign w:val="center"/>
          </w:tcPr>
          <w:p w:rsidR="004B2040" w:rsidRPr="00242D2A" w:rsidRDefault="004B2040" w:rsidP="004B2040">
            <w:pPr>
              <w:jc w:val="both"/>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rsidR="004B2040" w:rsidRPr="00242D2A" w:rsidRDefault="004B2040" w:rsidP="004B2040">
            <w:pPr>
              <w:jc w:val="both"/>
              <w:rPr>
                <w:rFonts w:cs="Arial"/>
                <w:b/>
                <w:bCs/>
                <w:color w:val="FFFFFF"/>
                <w:sz w:val="20"/>
                <w:lang w:eastAsia="en-AU"/>
              </w:rPr>
            </w:pPr>
            <w:r>
              <w:rPr>
                <w:rFonts w:cs="Arial"/>
                <w:b/>
                <w:bCs/>
                <w:color w:val="FFFFFF"/>
                <w:sz w:val="20"/>
                <w:lang w:eastAsia="en-AU"/>
              </w:rPr>
              <w:t>Indicator</w:t>
            </w:r>
          </w:p>
        </w:tc>
        <w:tc>
          <w:tcPr>
            <w:tcW w:w="1691"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3" w:type="pct"/>
            <w:tcBorders>
              <w:top w:val="nil"/>
              <w:left w:val="nil"/>
              <w:bottom w:val="single" w:sz="4" w:space="0" w:color="auto"/>
              <w:right w:val="nil"/>
            </w:tcBorders>
            <w:shd w:val="clear" w:color="auto" w:fill="629DD1" w:themeFill="accent2"/>
            <w:vAlign w:val="center"/>
          </w:tcPr>
          <w:p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875308" w:rsidTr="008F2899">
        <w:trPr>
          <w:trHeight w:val="742"/>
        </w:trPr>
        <w:tc>
          <w:tcPr>
            <w:tcW w:w="847"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Libraries</w:t>
            </w:r>
          </w:p>
          <w:p w:rsidR="004B2040" w:rsidRPr="00B51AD2"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Participation</w:t>
            </w:r>
          </w:p>
        </w:tc>
        <w:tc>
          <w:tcPr>
            <w:tcW w:w="1691"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 xml:space="preserve">Number of active library </w:t>
            </w:r>
            <w:r w:rsidR="009B6D94">
              <w:rPr>
                <w:rFonts w:cs="Arial"/>
                <w:lang w:eastAsia="en-AU"/>
              </w:rPr>
              <w:t>borrower</w:t>
            </w:r>
            <w:r w:rsidRPr="00B51AD2">
              <w:rPr>
                <w:rFonts w:cs="Arial"/>
                <w:lang w:eastAsia="en-AU"/>
              </w:rPr>
              <w:t xml:space="preserve">s (percentage of the municipal population that are active library </w:t>
            </w:r>
            <w:r w:rsidR="009B6D94">
              <w:rPr>
                <w:rFonts w:cs="Arial"/>
                <w:lang w:eastAsia="en-AU"/>
              </w:rPr>
              <w:t>borrowe</w:t>
            </w:r>
            <w:r w:rsidRPr="00B51AD2">
              <w:rPr>
                <w:rFonts w:cs="Arial"/>
                <w:lang w:eastAsia="en-AU"/>
              </w:rPr>
              <w:t>rs)</w:t>
            </w:r>
          </w:p>
        </w:tc>
        <w:tc>
          <w:tcPr>
            <w:tcW w:w="1663"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 xml:space="preserve">Number of active library </w:t>
            </w:r>
            <w:r w:rsidR="009B6D94">
              <w:rPr>
                <w:rFonts w:cs="Arial"/>
                <w:lang w:eastAsia="en-AU"/>
              </w:rPr>
              <w:t>borrowers (reported on a 3-year rolling period)</w:t>
            </w:r>
            <w:r w:rsidRPr="00B51AD2">
              <w:rPr>
                <w:rFonts w:cs="Arial"/>
                <w:lang w:eastAsia="en-AU"/>
              </w:rPr>
              <w:t xml:space="preserve"> / </w:t>
            </w:r>
            <w:r w:rsidR="009B6D94">
              <w:rPr>
                <w:rFonts w:cs="Arial"/>
                <w:lang w:eastAsia="en-AU"/>
              </w:rPr>
              <w:t>M</w:t>
            </w:r>
            <w:r w:rsidRPr="00B51AD2">
              <w:rPr>
                <w:rFonts w:cs="Arial"/>
                <w:lang w:eastAsia="en-AU"/>
              </w:rPr>
              <w:t xml:space="preserve">unicipal population </w:t>
            </w:r>
            <w:r w:rsidR="009B6D94">
              <w:rPr>
                <w:rFonts w:cs="Arial"/>
                <w:lang w:eastAsia="en-AU"/>
              </w:rPr>
              <w:t>over the last 3 years</w:t>
            </w:r>
          </w:p>
        </w:tc>
      </w:tr>
    </w:tbl>
    <w:p w:rsidR="004B2040" w:rsidRDefault="004B2040" w:rsidP="004B2040">
      <w:pPr>
        <w:rPr>
          <w:rFonts w:cs="Arial"/>
          <w:b/>
        </w:rPr>
      </w:pPr>
      <w:r>
        <w:rPr>
          <w:rFonts w:cs="Arial"/>
          <w:b/>
        </w:rPr>
        <w:br w:type="page"/>
      </w:r>
    </w:p>
    <w:p w:rsidR="004B2040" w:rsidRPr="009B6FB7" w:rsidRDefault="004B2040" w:rsidP="0065738F">
      <w:pPr>
        <w:pStyle w:val="Heading3"/>
      </w:pPr>
      <w:bookmarkStart w:id="96" w:name="_Toc481072877"/>
      <w:bookmarkStart w:id="97" w:name="_Toc481077415"/>
      <w:bookmarkStart w:id="98" w:name="_Toc481483650"/>
      <w:bookmarkStart w:id="99" w:name="_Toc508984189"/>
      <w:bookmarkStart w:id="100" w:name="_Toc4056369"/>
      <w:r w:rsidRPr="009B6FB7">
        <w:lastRenderedPageBreak/>
        <w:t xml:space="preserve">2.3 Outcome Area (Strategic Objective) 3: </w:t>
      </w:r>
      <w:r w:rsidRPr="009B6FB7">
        <w:rPr>
          <w:lang w:eastAsia="en-AU"/>
        </w:rPr>
        <w:t>A vibrant and culturally rich community</w:t>
      </w:r>
      <w:bookmarkEnd w:id="96"/>
      <w:bookmarkEnd w:id="97"/>
      <w:bookmarkEnd w:id="98"/>
      <w:bookmarkEnd w:id="99"/>
      <w:bookmarkEnd w:id="100"/>
    </w:p>
    <w:p w:rsidR="004B2040" w:rsidRPr="00242D2A" w:rsidRDefault="004B2040" w:rsidP="004B2040">
      <w:pPr>
        <w:jc w:val="both"/>
        <w:rPr>
          <w:rFonts w:cs="Arial"/>
          <w:b/>
        </w:rPr>
      </w:pPr>
    </w:p>
    <w:tbl>
      <w:tblPr>
        <w:tblW w:w="5000" w:type="pct"/>
        <w:tblLook w:val="04A0" w:firstRow="1" w:lastRow="0" w:firstColumn="1" w:lastColumn="0" w:noHBand="0" w:noVBand="1"/>
      </w:tblPr>
      <w:tblGrid>
        <w:gridCol w:w="6732"/>
        <w:gridCol w:w="576"/>
        <w:gridCol w:w="1012"/>
        <w:gridCol w:w="1134"/>
        <w:gridCol w:w="1012"/>
      </w:tblGrid>
      <w:tr w:rsidR="00C81BC6" w:rsidRPr="00C81BC6" w:rsidTr="00824CF2">
        <w:trPr>
          <w:trHeight w:val="300"/>
        </w:trPr>
        <w:tc>
          <w:tcPr>
            <w:tcW w:w="3216" w:type="pct"/>
            <w:vMerge w:val="restart"/>
            <w:tcBorders>
              <w:top w:val="nil"/>
              <w:left w:val="nil"/>
              <w:bottom w:val="nil"/>
              <w:right w:val="nil"/>
            </w:tcBorders>
            <w:shd w:val="clear" w:color="000000" w:fill="5B9BD5"/>
            <w:vAlign w:val="center"/>
            <w:hideMark/>
          </w:tcPr>
          <w:p w:rsidR="00C81BC6" w:rsidRPr="00C81BC6" w:rsidRDefault="00C81BC6" w:rsidP="00C81BC6">
            <w:pPr>
              <w:rPr>
                <w:rFonts w:eastAsia="Times New Roman" w:cs="Arial"/>
                <w:b/>
                <w:bCs/>
                <w:color w:val="FFFFFF"/>
                <w:lang w:eastAsia="en-AU"/>
              </w:rPr>
            </w:pPr>
            <w:r w:rsidRPr="00C81BC6">
              <w:rPr>
                <w:rFonts w:eastAsia="Times New Roman" w:cs="Arial"/>
                <w:b/>
                <w:bCs/>
                <w:color w:val="FFFFFF"/>
                <w:lang w:eastAsia="en-AU"/>
              </w:rPr>
              <w:t>Service and Description</w:t>
            </w:r>
          </w:p>
        </w:tc>
        <w:tc>
          <w:tcPr>
            <w:tcW w:w="275"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2020/21</w:t>
            </w:r>
          </w:p>
        </w:tc>
      </w:tr>
      <w:tr w:rsidR="00C81BC6" w:rsidRPr="00C81BC6" w:rsidTr="00824CF2">
        <w:trPr>
          <w:trHeight w:val="300"/>
        </w:trPr>
        <w:tc>
          <w:tcPr>
            <w:tcW w:w="3216" w:type="pct"/>
            <w:vMerge/>
            <w:tcBorders>
              <w:top w:val="nil"/>
              <w:left w:val="nil"/>
              <w:bottom w:val="nil"/>
              <w:right w:val="nil"/>
            </w:tcBorders>
            <w:vAlign w:val="center"/>
            <w:hideMark/>
          </w:tcPr>
          <w:p w:rsidR="00C81BC6" w:rsidRPr="00C81BC6" w:rsidRDefault="00C81BC6" w:rsidP="00C81BC6">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Budget</w:t>
            </w:r>
          </w:p>
        </w:tc>
      </w:tr>
      <w:tr w:rsidR="00C81BC6" w:rsidRPr="00C81BC6" w:rsidTr="00824CF2">
        <w:trPr>
          <w:trHeight w:val="300"/>
        </w:trPr>
        <w:tc>
          <w:tcPr>
            <w:tcW w:w="3216" w:type="pct"/>
            <w:vMerge/>
            <w:tcBorders>
              <w:top w:val="nil"/>
              <w:left w:val="nil"/>
              <w:bottom w:val="nil"/>
              <w:right w:val="nil"/>
            </w:tcBorders>
            <w:vAlign w:val="center"/>
            <w:hideMark/>
          </w:tcPr>
          <w:p w:rsidR="00C81BC6" w:rsidRPr="00C81BC6" w:rsidRDefault="00C81BC6" w:rsidP="00C81BC6">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$'000</w:t>
            </w:r>
          </w:p>
        </w:tc>
      </w:tr>
      <w:tr w:rsidR="00C81BC6" w:rsidRPr="00C81BC6" w:rsidTr="00824CF2">
        <w:trPr>
          <w:trHeight w:val="300"/>
        </w:trPr>
        <w:tc>
          <w:tcPr>
            <w:tcW w:w="3216"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275"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542"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C81BC6" w:rsidRPr="00C81BC6" w:rsidRDefault="00C81BC6" w:rsidP="00C81BC6">
            <w:pPr>
              <w:jc w:val="center"/>
              <w:rPr>
                <w:rFonts w:eastAsia="Times New Roman" w:cs="Arial"/>
                <w:b/>
                <w:bCs/>
                <w:color w:val="FFFFFF"/>
                <w:lang w:eastAsia="en-AU"/>
              </w:rPr>
            </w:pPr>
            <w:r w:rsidRPr="00C81BC6">
              <w:rPr>
                <w:rFonts w:eastAsia="Times New Roman" w:cs="Arial"/>
                <w:b/>
                <w:bCs/>
                <w:color w:val="FFFFFF"/>
                <w:lang w:eastAsia="en-AU"/>
              </w:rPr>
              <w:t> </w:t>
            </w:r>
          </w:p>
        </w:tc>
      </w:tr>
      <w:tr w:rsidR="00C81BC6" w:rsidRPr="00C81BC6" w:rsidTr="00824CF2">
        <w:trPr>
          <w:trHeight w:val="525"/>
        </w:trPr>
        <w:tc>
          <w:tcPr>
            <w:tcW w:w="3216" w:type="pct"/>
            <w:tcBorders>
              <w:top w:val="nil"/>
              <w:left w:val="nil"/>
              <w:bottom w:val="single" w:sz="4" w:space="0" w:color="auto"/>
              <w:right w:val="nil"/>
            </w:tcBorders>
            <w:shd w:val="clear" w:color="auto" w:fill="auto"/>
            <w:noWrap/>
            <w:vAlign w:val="center"/>
            <w:hideMark/>
          </w:tcPr>
          <w:p w:rsidR="00C81BC6" w:rsidRPr="00C81BC6" w:rsidRDefault="00C81BC6" w:rsidP="00C81BC6">
            <w:pPr>
              <w:rPr>
                <w:rFonts w:eastAsia="Times New Roman" w:cs="Arial"/>
                <w:b/>
                <w:bCs/>
                <w:color w:val="5B9BD5"/>
                <w:lang w:eastAsia="en-AU"/>
              </w:rPr>
            </w:pPr>
            <w:r w:rsidRPr="00C81BC6">
              <w:rPr>
                <w:rFonts w:eastAsia="Times New Roman" w:cs="Arial"/>
                <w:b/>
                <w:bCs/>
                <w:color w:val="5B9BD5"/>
                <w:lang w:eastAsia="en-AU"/>
              </w:rPr>
              <w:t>Arts and Cultural Development</w:t>
            </w:r>
          </w:p>
        </w:tc>
        <w:tc>
          <w:tcPr>
            <w:tcW w:w="275"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p>
        </w:tc>
      </w:tr>
      <w:tr w:rsidR="00C81BC6" w:rsidRPr="00C81BC6" w:rsidTr="00824CF2">
        <w:trPr>
          <w:trHeight w:val="360"/>
        </w:trPr>
        <w:tc>
          <w:tcPr>
            <w:tcW w:w="3216" w:type="pct"/>
            <w:vMerge w:val="restart"/>
            <w:tcBorders>
              <w:top w:val="nil"/>
              <w:left w:val="nil"/>
              <w:bottom w:val="single" w:sz="4" w:space="0" w:color="000000"/>
              <w:right w:val="nil"/>
            </w:tcBorders>
            <w:shd w:val="clear" w:color="auto" w:fill="auto"/>
            <w:hideMark/>
          </w:tcPr>
          <w:p w:rsidR="00C81BC6" w:rsidRDefault="00C81BC6" w:rsidP="00C81BC6">
            <w:pPr>
              <w:autoSpaceDE w:val="0"/>
              <w:autoSpaceDN w:val="0"/>
              <w:adjustRightInd w:val="0"/>
              <w:jc w:val="both"/>
              <w:rPr>
                <w:rFonts w:cs="Arial"/>
                <w:color w:val="000000"/>
                <w:lang w:eastAsia="en-AU"/>
              </w:rPr>
            </w:pPr>
            <w:r w:rsidRPr="00C81BC6">
              <w:rPr>
                <w:rFonts w:eastAsia="Times New Roman" w:cs="Arial"/>
                <w:color w:val="000000"/>
                <w:lang w:eastAsia="en-AU"/>
              </w:rPr>
              <w:t> </w:t>
            </w:r>
            <w:r>
              <w:rPr>
                <w:rFonts w:cs="Arial"/>
                <w:color w:val="000000"/>
                <w:lang w:eastAsia="en-AU"/>
              </w:rPr>
              <w:t>Arts, creativity and cultural vitality are a key part of Maroondah’s liveability.</w:t>
            </w:r>
          </w:p>
          <w:p w:rsidR="00C81BC6" w:rsidRPr="004C324D" w:rsidRDefault="00C81BC6" w:rsidP="00C81BC6">
            <w:pPr>
              <w:autoSpaceDE w:val="0"/>
              <w:autoSpaceDN w:val="0"/>
              <w:adjustRightInd w:val="0"/>
              <w:jc w:val="both"/>
              <w:rPr>
                <w:rFonts w:cs="Arial"/>
                <w:color w:val="000000"/>
                <w:lang w:eastAsia="en-AU"/>
              </w:rPr>
            </w:pPr>
            <w:r>
              <w:rPr>
                <w:rFonts w:cs="Arial"/>
                <w:color w:val="000000"/>
                <w:lang w:eastAsia="en-AU"/>
              </w:rPr>
              <w:t xml:space="preserve">The </w:t>
            </w:r>
            <w:r w:rsidRPr="004C324D">
              <w:rPr>
                <w:rFonts w:cs="Arial"/>
                <w:color w:val="000000"/>
                <w:lang w:eastAsia="en-AU"/>
              </w:rPr>
              <w:t xml:space="preserve">Arts and Cultural Development </w:t>
            </w:r>
            <w:r>
              <w:rPr>
                <w:rFonts w:cs="Arial"/>
                <w:color w:val="000000"/>
                <w:lang w:eastAsia="en-AU"/>
              </w:rPr>
              <w:t>team present, support and facilitate</w:t>
            </w:r>
            <w:r w:rsidRPr="004C324D">
              <w:rPr>
                <w:rFonts w:cs="Arial"/>
                <w:color w:val="000000"/>
                <w:lang w:eastAsia="en-AU"/>
              </w:rPr>
              <w:t xml:space="preserve"> a wide range of creative opportunities across Maroondah, ensuring it is culturally rich and vibrant in line with the community's aspirations. </w:t>
            </w:r>
          </w:p>
          <w:p w:rsidR="00C81BC6" w:rsidRPr="004C324D" w:rsidRDefault="00C81BC6" w:rsidP="00C81BC6">
            <w:pPr>
              <w:autoSpaceDE w:val="0"/>
              <w:autoSpaceDN w:val="0"/>
              <w:adjustRightInd w:val="0"/>
              <w:jc w:val="both"/>
              <w:rPr>
                <w:rFonts w:cs="Arial"/>
                <w:color w:val="000000"/>
                <w:lang w:eastAsia="en-AU"/>
              </w:rPr>
            </w:pPr>
            <w:r w:rsidRPr="004C324D">
              <w:rPr>
                <w:rFonts w:cs="Arial"/>
                <w:color w:val="000000"/>
                <w:lang w:eastAsia="en-AU"/>
              </w:rPr>
              <w:t xml:space="preserve">The </w:t>
            </w:r>
            <w:r>
              <w:rPr>
                <w:rFonts w:cs="Arial"/>
                <w:color w:val="000000"/>
                <w:lang w:eastAsia="en-AU"/>
              </w:rPr>
              <w:t>team</w:t>
            </w:r>
            <w:r w:rsidRPr="004C324D">
              <w:rPr>
                <w:rFonts w:cs="Arial"/>
                <w:color w:val="000000"/>
                <w:lang w:eastAsia="en-AU"/>
              </w:rPr>
              <w:t xml:space="preserve"> </w:t>
            </w:r>
            <w:r>
              <w:rPr>
                <w:rFonts w:cs="Arial"/>
                <w:color w:val="000000"/>
                <w:lang w:eastAsia="en-AU"/>
              </w:rPr>
              <w:t>develops and delivers</w:t>
            </w:r>
            <w:r w:rsidRPr="004C324D">
              <w:rPr>
                <w:rFonts w:cs="Arial"/>
                <w:color w:val="000000"/>
                <w:lang w:eastAsia="en-AU"/>
              </w:rPr>
              <w:t xml:space="preserve"> dynamic and exciting arts programming for all ages and abilities within high calibre </w:t>
            </w:r>
            <w:r>
              <w:rPr>
                <w:rFonts w:cs="Arial"/>
                <w:color w:val="000000"/>
                <w:lang w:eastAsia="en-AU"/>
              </w:rPr>
              <w:t xml:space="preserve">indoor and outdoor </w:t>
            </w:r>
            <w:r w:rsidRPr="004C324D">
              <w:rPr>
                <w:rFonts w:cs="Arial"/>
                <w:color w:val="000000"/>
                <w:lang w:eastAsia="en-AU"/>
              </w:rPr>
              <w:t xml:space="preserve">arts </w:t>
            </w:r>
            <w:r>
              <w:rPr>
                <w:rFonts w:cs="Arial"/>
                <w:color w:val="000000"/>
                <w:lang w:eastAsia="en-AU"/>
              </w:rPr>
              <w:t xml:space="preserve">spaces </w:t>
            </w:r>
            <w:r w:rsidRPr="004C324D">
              <w:rPr>
                <w:rFonts w:cs="Arial"/>
                <w:color w:val="000000"/>
                <w:lang w:eastAsia="en-AU"/>
              </w:rPr>
              <w:t>including</w:t>
            </w:r>
            <w:r>
              <w:rPr>
                <w:rFonts w:cs="Arial"/>
                <w:color w:val="000000"/>
                <w:lang w:eastAsia="en-AU"/>
              </w:rPr>
              <w:t xml:space="preserve"> Ringwood arts precinct, </w:t>
            </w:r>
            <w:r w:rsidRPr="004C324D">
              <w:rPr>
                <w:rFonts w:cs="Arial"/>
                <w:color w:val="000000"/>
                <w:lang w:eastAsia="en-AU"/>
              </w:rPr>
              <w:t xml:space="preserve">ArtSpace at Realm, Maroondah </w:t>
            </w:r>
            <w:r>
              <w:rPr>
                <w:rFonts w:cs="Arial"/>
                <w:color w:val="000000"/>
                <w:lang w:eastAsia="en-AU"/>
              </w:rPr>
              <w:t>Federation Estate</w:t>
            </w:r>
            <w:r w:rsidRPr="004C324D">
              <w:rPr>
                <w:rFonts w:cs="Arial"/>
                <w:color w:val="000000"/>
                <w:lang w:eastAsia="en-AU"/>
              </w:rPr>
              <w:t xml:space="preserve"> Gallery and Wyreena Community Arts Centre. </w:t>
            </w:r>
          </w:p>
          <w:p w:rsidR="00C81BC6" w:rsidRPr="00C81BC6" w:rsidRDefault="00C81BC6" w:rsidP="00C81BC6">
            <w:pPr>
              <w:jc w:val="both"/>
              <w:rPr>
                <w:rFonts w:eastAsia="Times New Roman" w:cs="Arial"/>
                <w:color w:val="000000"/>
                <w:lang w:eastAsia="en-AU"/>
              </w:rPr>
            </w:pPr>
            <w:r w:rsidRPr="004C324D">
              <w:rPr>
                <w:rFonts w:cs="Arial"/>
                <w:color w:val="000000"/>
                <w:lang w:eastAsia="en-AU"/>
              </w:rPr>
              <w:t xml:space="preserve">All art forms are included, from visual arts to music, from performance to digital media. </w:t>
            </w:r>
            <w:r>
              <w:rPr>
                <w:rFonts w:cs="Arial"/>
                <w:color w:val="000000"/>
                <w:lang w:eastAsia="en-AU"/>
              </w:rPr>
              <w:t xml:space="preserve">Innovative visual and performing </w:t>
            </w:r>
            <w:r w:rsidRPr="004C324D">
              <w:rPr>
                <w:rFonts w:cs="Arial"/>
                <w:color w:val="000000"/>
                <w:lang w:eastAsia="en-AU"/>
              </w:rPr>
              <w:t>art</w:t>
            </w:r>
            <w:r>
              <w:rPr>
                <w:rFonts w:cs="Arial"/>
                <w:color w:val="000000"/>
                <w:lang w:eastAsia="en-AU"/>
              </w:rPr>
              <w:t>s programming,</w:t>
            </w:r>
            <w:r w:rsidRPr="004C324D">
              <w:rPr>
                <w:rFonts w:cs="Arial"/>
                <w:color w:val="000000"/>
                <w:lang w:eastAsia="en-AU"/>
              </w:rPr>
              <w:t xml:space="preserve"> </w:t>
            </w:r>
            <w:r>
              <w:rPr>
                <w:rFonts w:cs="Arial"/>
                <w:color w:val="000000"/>
                <w:lang w:eastAsia="en-AU"/>
              </w:rPr>
              <w:t xml:space="preserve">including arts incubators and  </w:t>
            </w:r>
            <w:r w:rsidRPr="004C324D">
              <w:rPr>
                <w:rFonts w:cs="Arial"/>
                <w:color w:val="000000"/>
                <w:lang w:eastAsia="en-AU"/>
              </w:rPr>
              <w:t xml:space="preserve"> the McGivern Painting Prize valued at $25,000</w:t>
            </w:r>
            <w:r>
              <w:rPr>
                <w:rFonts w:cs="Arial"/>
                <w:color w:val="000000"/>
                <w:lang w:eastAsia="en-AU"/>
              </w:rPr>
              <w:t xml:space="preserve">, </w:t>
            </w:r>
            <w:r w:rsidRPr="004C324D">
              <w:rPr>
                <w:rFonts w:cs="Arial"/>
                <w:color w:val="000000"/>
                <w:lang w:eastAsia="en-AU"/>
              </w:rPr>
              <w:t>bring highly skilled artists and a wide range of visitors to Maroondah from across the eastern region and beyond. Workshops, classes, events and networking programmes respond to local community needs, while the Grants program supports a diverse range of community initiatives.</w:t>
            </w:r>
            <w:r>
              <w:rPr>
                <w:rFonts w:cs="Arial"/>
                <w:color w:val="000000"/>
                <w:lang w:eastAsia="en-AU"/>
              </w:rPr>
              <w:t xml:space="preserve"> Arts and Cultural Development also foster creative placemaking initiatives within Maroondah’s activity centres and</w:t>
            </w:r>
            <w:r w:rsidRPr="004C324D">
              <w:rPr>
                <w:rFonts w:cs="Arial"/>
                <w:color w:val="000000"/>
                <w:lang w:eastAsia="en-AU"/>
              </w:rPr>
              <w:t xml:space="preserve"> manage the Maroondah City Art Collection and the Public Art Program, </w:t>
            </w:r>
            <w:r>
              <w:rPr>
                <w:rFonts w:cs="Arial"/>
                <w:color w:val="000000"/>
                <w:lang w:eastAsia="en-AU"/>
              </w:rPr>
              <w:t xml:space="preserve">enhancing </w:t>
            </w:r>
            <w:r w:rsidRPr="004C324D">
              <w:rPr>
                <w:rFonts w:cs="Arial"/>
                <w:color w:val="000000"/>
                <w:lang w:eastAsia="en-AU"/>
              </w:rPr>
              <w:t>Council’s facilities and add</w:t>
            </w:r>
            <w:r>
              <w:rPr>
                <w:rFonts w:cs="Arial"/>
                <w:color w:val="000000"/>
                <w:lang w:eastAsia="en-AU"/>
              </w:rPr>
              <w:t>ing</w:t>
            </w:r>
            <w:r w:rsidRPr="004C324D">
              <w:rPr>
                <w:rFonts w:cs="Arial"/>
                <w:color w:val="000000"/>
                <w:lang w:eastAsia="en-AU"/>
              </w:rPr>
              <w:t xml:space="preserve"> value to the outdoor and built environment.</w:t>
            </w:r>
          </w:p>
        </w:tc>
        <w:tc>
          <w:tcPr>
            <w:tcW w:w="275" w:type="pct"/>
            <w:tcBorders>
              <w:top w:val="nil"/>
              <w:left w:val="nil"/>
              <w:bottom w:val="nil"/>
              <w:right w:val="nil"/>
            </w:tcBorders>
            <w:shd w:val="clear" w:color="000000" w:fill="FFFFFF"/>
            <w:hideMark/>
          </w:tcPr>
          <w:p w:rsidR="00C81BC6" w:rsidRPr="00C81BC6" w:rsidRDefault="00C81BC6" w:rsidP="00C81BC6">
            <w:pPr>
              <w:rPr>
                <w:rFonts w:eastAsia="Times New Roman" w:cs="Arial"/>
                <w:sz w:val="18"/>
                <w:szCs w:val="18"/>
                <w:lang w:eastAsia="en-AU"/>
              </w:rPr>
            </w:pPr>
            <w:r w:rsidRPr="00C81BC6">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1,537</w:t>
            </w:r>
          </w:p>
        </w:tc>
        <w:tc>
          <w:tcPr>
            <w:tcW w:w="542" w:type="pct"/>
            <w:tcBorders>
              <w:top w:val="nil"/>
              <w:left w:val="nil"/>
              <w:bottom w:val="nil"/>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1,436</w:t>
            </w:r>
          </w:p>
        </w:tc>
        <w:tc>
          <w:tcPr>
            <w:tcW w:w="483" w:type="pct"/>
            <w:tcBorders>
              <w:top w:val="single" w:sz="4" w:space="0" w:color="auto"/>
              <w:left w:val="nil"/>
              <w:bottom w:val="nil"/>
              <w:right w:val="nil"/>
            </w:tcBorders>
            <w:shd w:val="clear" w:color="000000" w:fill="BDD7EE"/>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1,389</w:t>
            </w:r>
          </w:p>
        </w:tc>
      </w:tr>
      <w:tr w:rsidR="00C81BC6" w:rsidRPr="00C81BC6" w:rsidTr="00824CF2">
        <w:trPr>
          <w:trHeight w:val="360"/>
        </w:trPr>
        <w:tc>
          <w:tcPr>
            <w:tcW w:w="3216" w:type="pct"/>
            <w:vMerge/>
            <w:tcBorders>
              <w:top w:val="nil"/>
              <w:left w:val="nil"/>
              <w:bottom w:val="single" w:sz="4" w:space="0" w:color="000000"/>
              <w:right w:val="nil"/>
            </w:tcBorders>
            <w:vAlign w:val="center"/>
            <w:hideMark/>
          </w:tcPr>
          <w:p w:rsidR="00C81BC6" w:rsidRPr="00C81BC6" w:rsidRDefault="00C81BC6" w:rsidP="00C81BC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C81BC6" w:rsidRPr="00C81BC6" w:rsidRDefault="00C81BC6" w:rsidP="00C81BC6">
            <w:pPr>
              <w:rPr>
                <w:rFonts w:eastAsia="Times New Roman" w:cs="Arial"/>
                <w:sz w:val="18"/>
                <w:szCs w:val="18"/>
                <w:lang w:eastAsia="en-AU"/>
              </w:rPr>
            </w:pPr>
            <w:r w:rsidRPr="00C81BC6">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(397)</w:t>
            </w:r>
          </w:p>
        </w:tc>
        <w:tc>
          <w:tcPr>
            <w:tcW w:w="542"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(265)</w:t>
            </w:r>
          </w:p>
        </w:tc>
        <w:tc>
          <w:tcPr>
            <w:tcW w:w="483" w:type="pct"/>
            <w:tcBorders>
              <w:top w:val="nil"/>
              <w:left w:val="nil"/>
              <w:bottom w:val="single" w:sz="4" w:space="0" w:color="auto"/>
              <w:right w:val="nil"/>
            </w:tcBorders>
            <w:shd w:val="clear" w:color="000000" w:fill="BDD7EE"/>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(261)</w:t>
            </w:r>
          </w:p>
        </w:tc>
      </w:tr>
      <w:tr w:rsidR="00C81BC6" w:rsidRPr="00C81BC6" w:rsidTr="00824CF2">
        <w:trPr>
          <w:trHeight w:val="300"/>
        </w:trPr>
        <w:tc>
          <w:tcPr>
            <w:tcW w:w="3216" w:type="pct"/>
            <w:vMerge/>
            <w:tcBorders>
              <w:top w:val="nil"/>
              <w:left w:val="nil"/>
              <w:bottom w:val="single" w:sz="4" w:space="0" w:color="000000"/>
              <w:right w:val="nil"/>
            </w:tcBorders>
            <w:vAlign w:val="center"/>
            <w:hideMark/>
          </w:tcPr>
          <w:p w:rsidR="00C81BC6" w:rsidRPr="00C81BC6" w:rsidRDefault="00C81BC6" w:rsidP="00C81BC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C81BC6" w:rsidRPr="00C81BC6" w:rsidRDefault="00C81BC6" w:rsidP="00C81BC6">
            <w:pPr>
              <w:rPr>
                <w:rFonts w:eastAsia="Times New Roman" w:cs="Arial"/>
                <w:b/>
                <w:bCs/>
                <w:sz w:val="18"/>
                <w:szCs w:val="18"/>
                <w:lang w:eastAsia="en-AU"/>
              </w:rPr>
            </w:pPr>
            <w:r w:rsidRPr="00C81BC6">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1,139</w:t>
            </w:r>
          </w:p>
        </w:tc>
        <w:tc>
          <w:tcPr>
            <w:tcW w:w="542"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1,171</w:t>
            </w:r>
          </w:p>
        </w:tc>
        <w:tc>
          <w:tcPr>
            <w:tcW w:w="483" w:type="pct"/>
            <w:tcBorders>
              <w:top w:val="nil"/>
              <w:left w:val="nil"/>
              <w:bottom w:val="single" w:sz="4" w:space="0" w:color="auto"/>
              <w:right w:val="nil"/>
            </w:tcBorders>
            <w:shd w:val="clear" w:color="000000" w:fill="BDD7EE"/>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1,128</w:t>
            </w:r>
          </w:p>
        </w:tc>
      </w:tr>
      <w:tr w:rsidR="00C81BC6" w:rsidRPr="00C81BC6" w:rsidTr="00824CF2">
        <w:trPr>
          <w:trHeight w:val="525"/>
        </w:trPr>
        <w:tc>
          <w:tcPr>
            <w:tcW w:w="3216" w:type="pct"/>
            <w:tcBorders>
              <w:top w:val="nil"/>
              <w:left w:val="nil"/>
              <w:bottom w:val="single" w:sz="4" w:space="0" w:color="auto"/>
              <w:right w:val="nil"/>
            </w:tcBorders>
            <w:shd w:val="clear" w:color="auto" w:fill="auto"/>
            <w:noWrap/>
            <w:vAlign w:val="center"/>
            <w:hideMark/>
          </w:tcPr>
          <w:p w:rsidR="00C81BC6" w:rsidRPr="00C81BC6" w:rsidRDefault="00C81BC6" w:rsidP="00C81BC6">
            <w:pPr>
              <w:rPr>
                <w:rFonts w:eastAsia="Times New Roman" w:cs="Arial"/>
                <w:b/>
                <w:bCs/>
                <w:color w:val="5B9BD5"/>
                <w:lang w:eastAsia="en-AU"/>
              </w:rPr>
            </w:pPr>
            <w:r w:rsidRPr="00C81BC6">
              <w:rPr>
                <w:rFonts w:eastAsia="Times New Roman" w:cs="Arial"/>
                <w:b/>
                <w:bCs/>
                <w:color w:val="5B9BD5"/>
                <w:lang w:eastAsia="en-AU"/>
              </w:rPr>
              <w:t>Karralyka Centre</w:t>
            </w:r>
          </w:p>
        </w:tc>
        <w:tc>
          <w:tcPr>
            <w:tcW w:w="275"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r w:rsidRPr="00C81BC6">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C81BC6" w:rsidRPr="00C81BC6" w:rsidRDefault="00C81BC6" w:rsidP="00C81BC6">
            <w:pPr>
              <w:jc w:val="center"/>
              <w:rPr>
                <w:rFonts w:eastAsia="Times New Roman" w:cs="Arial"/>
                <w:b/>
                <w:bCs/>
                <w:color w:val="FFFFFF"/>
                <w:sz w:val="18"/>
                <w:szCs w:val="18"/>
                <w:lang w:eastAsia="en-AU"/>
              </w:rPr>
            </w:pPr>
          </w:p>
        </w:tc>
      </w:tr>
      <w:tr w:rsidR="00C81BC6" w:rsidRPr="00C81BC6" w:rsidTr="00824CF2">
        <w:trPr>
          <w:trHeight w:val="360"/>
        </w:trPr>
        <w:tc>
          <w:tcPr>
            <w:tcW w:w="3216" w:type="pct"/>
            <w:vMerge w:val="restart"/>
            <w:tcBorders>
              <w:top w:val="nil"/>
              <w:left w:val="nil"/>
              <w:bottom w:val="single" w:sz="4" w:space="0" w:color="000000"/>
              <w:right w:val="nil"/>
            </w:tcBorders>
            <w:shd w:val="clear" w:color="auto" w:fill="auto"/>
            <w:hideMark/>
          </w:tcPr>
          <w:p w:rsidR="00C81BC6" w:rsidRPr="00C81BC6" w:rsidRDefault="00C81BC6" w:rsidP="00C81BC6">
            <w:pPr>
              <w:jc w:val="both"/>
              <w:rPr>
                <w:rFonts w:eastAsia="Times New Roman" w:cs="Arial"/>
                <w:color w:val="000000"/>
                <w:lang w:eastAsia="en-AU"/>
              </w:rPr>
            </w:pPr>
            <w:r w:rsidRPr="00C81BC6">
              <w:rPr>
                <w:rFonts w:eastAsia="Times New Roman" w:cs="Arial"/>
                <w:color w:val="000000"/>
                <w:lang w:eastAsia="en-AU"/>
              </w:rPr>
              <w:t> </w:t>
            </w:r>
            <w:r w:rsidRPr="00D96061">
              <w:rPr>
                <w:rFonts w:eastAsia="Times New Roman" w:cs="Arial"/>
                <w:color w:val="000000"/>
                <w:lang w:eastAsia="en-AU"/>
              </w:rPr>
              <w:t> </w:t>
            </w:r>
            <w:r w:rsidRPr="003571B7">
              <w:rPr>
                <w:rFonts w:cs="Arial"/>
              </w:rPr>
              <w:t>Karralyka is a premier theatre and function centre in Melbourne's eastern suburbs and the only such facility of this size in Maroondah. The theatre has a seating capacity of 430 and delivers a season of theatre for the community, including Morning Melodies, children's theatre and drama workshops, comedy, musical and dramatic performances. Karralyka partners with local theatre groups to promote and develop performing arts in the community. The theatre generates positive demand as a ‘venue for hire’, and regularly hosts local school and corporate performances and seminars. Karralyka is a flexible function and conference venue with a total capacity for 550 seated guests. Karralyka manages its food and beverage operations in-house. The kitchen facilities at Karralyka are also used to prepare food for Council’s Meals on Wheels service. The Maroondah Federation Estate, a community and cultural facility and Maroondah Community Halls are also managed through Karralyka.</w:t>
            </w:r>
          </w:p>
        </w:tc>
        <w:tc>
          <w:tcPr>
            <w:tcW w:w="275" w:type="pct"/>
            <w:tcBorders>
              <w:top w:val="nil"/>
              <w:left w:val="nil"/>
              <w:bottom w:val="nil"/>
              <w:right w:val="nil"/>
            </w:tcBorders>
            <w:shd w:val="clear" w:color="000000" w:fill="FFFFFF"/>
            <w:hideMark/>
          </w:tcPr>
          <w:p w:rsidR="00C81BC6" w:rsidRPr="00C81BC6" w:rsidRDefault="00C81BC6" w:rsidP="00C81BC6">
            <w:pPr>
              <w:rPr>
                <w:rFonts w:eastAsia="Times New Roman" w:cs="Arial"/>
                <w:sz w:val="18"/>
                <w:szCs w:val="18"/>
                <w:lang w:eastAsia="en-AU"/>
              </w:rPr>
            </w:pPr>
            <w:r w:rsidRPr="00C81BC6">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3,322</w:t>
            </w:r>
          </w:p>
        </w:tc>
        <w:tc>
          <w:tcPr>
            <w:tcW w:w="542" w:type="pct"/>
            <w:tcBorders>
              <w:top w:val="nil"/>
              <w:left w:val="nil"/>
              <w:bottom w:val="nil"/>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3,444</w:t>
            </w:r>
          </w:p>
        </w:tc>
        <w:tc>
          <w:tcPr>
            <w:tcW w:w="483" w:type="pct"/>
            <w:tcBorders>
              <w:top w:val="single" w:sz="4" w:space="0" w:color="auto"/>
              <w:left w:val="nil"/>
              <w:bottom w:val="nil"/>
              <w:right w:val="nil"/>
            </w:tcBorders>
            <w:shd w:val="clear" w:color="000000" w:fill="BDD7EE"/>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2,532</w:t>
            </w:r>
          </w:p>
        </w:tc>
      </w:tr>
      <w:tr w:rsidR="00C81BC6" w:rsidRPr="00C81BC6" w:rsidTr="00824CF2">
        <w:trPr>
          <w:trHeight w:val="360"/>
        </w:trPr>
        <w:tc>
          <w:tcPr>
            <w:tcW w:w="3216" w:type="pct"/>
            <w:vMerge/>
            <w:tcBorders>
              <w:top w:val="nil"/>
              <w:left w:val="nil"/>
              <w:bottom w:val="single" w:sz="4" w:space="0" w:color="000000"/>
              <w:right w:val="nil"/>
            </w:tcBorders>
            <w:vAlign w:val="center"/>
            <w:hideMark/>
          </w:tcPr>
          <w:p w:rsidR="00C81BC6" w:rsidRPr="00C81BC6" w:rsidRDefault="00C81BC6" w:rsidP="00C81BC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C81BC6" w:rsidRPr="00C81BC6" w:rsidRDefault="00C81BC6" w:rsidP="00C81BC6">
            <w:pPr>
              <w:rPr>
                <w:rFonts w:eastAsia="Times New Roman" w:cs="Arial"/>
                <w:sz w:val="18"/>
                <w:szCs w:val="18"/>
                <w:lang w:eastAsia="en-AU"/>
              </w:rPr>
            </w:pPr>
            <w:r w:rsidRPr="00C81BC6">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(3,284)</w:t>
            </w:r>
          </w:p>
        </w:tc>
        <w:tc>
          <w:tcPr>
            <w:tcW w:w="542"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(2,760)</w:t>
            </w:r>
          </w:p>
        </w:tc>
        <w:tc>
          <w:tcPr>
            <w:tcW w:w="483" w:type="pct"/>
            <w:tcBorders>
              <w:top w:val="nil"/>
              <w:left w:val="nil"/>
              <w:bottom w:val="single" w:sz="4" w:space="0" w:color="auto"/>
              <w:right w:val="nil"/>
            </w:tcBorders>
            <w:shd w:val="clear" w:color="000000" w:fill="BDD7EE"/>
            <w:hideMark/>
          </w:tcPr>
          <w:p w:rsidR="00C81BC6" w:rsidRPr="00C81BC6" w:rsidRDefault="00C81BC6" w:rsidP="00C81BC6">
            <w:pPr>
              <w:jc w:val="right"/>
              <w:rPr>
                <w:rFonts w:eastAsia="Times New Roman" w:cs="Arial"/>
                <w:sz w:val="18"/>
                <w:szCs w:val="18"/>
                <w:lang w:eastAsia="en-AU"/>
              </w:rPr>
            </w:pPr>
            <w:r w:rsidRPr="00C81BC6">
              <w:rPr>
                <w:rFonts w:eastAsia="Times New Roman" w:cs="Arial"/>
                <w:sz w:val="18"/>
                <w:szCs w:val="18"/>
                <w:lang w:eastAsia="en-AU"/>
              </w:rPr>
              <w:t>(1,335)</w:t>
            </w:r>
          </w:p>
        </w:tc>
      </w:tr>
      <w:tr w:rsidR="00C81BC6" w:rsidRPr="00C81BC6" w:rsidTr="00824CF2">
        <w:trPr>
          <w:trHeight w:val="300"/>
        </w:trPr>
        <w:tc>
          <w:tcPr>
            <w:tcW w:w="3216" w:type="pct"/>
            <w:vMerge/>
            <w:tcBorders>
              <w:top w:val="nil"/>
              <w:left w:val="nil"/>
              <w:bottom w:val="single" w:sz="4" w:space="0" w:color="000000"/>
              <w:right w:val="nil"/>
            </w:tcBorders>
            <w:vAlign w:val="center"/>
            <w:hideMark/>
          </w:tcPr>
          <w:p w:rsidR="00C81BC6" w:rsidRPr="00C81BC6" w:rsidRDefault="00C81BC6" w:rsidP="00C81BC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C81BC6" w:rsidRPr="00C81BC6" w:rsidRDefault="00C81BC6" w:rsidP="00C81BC6">
            <w:pPr>
              <w:rPr>
                <w:rFonts w:eastAsia="Times New Roman" w:cs="Arial"/>
                <w:b/>
                <w:bCs/>
                <w:sz w:val="18"/>
                <w:szCs w:val="18"/>
                <w:lang w:eastAsia="en-AU"/>
              </w:rPr>
            </w:pPr>
            <w:r w:rsidRPr="00C81BC6">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38</w:t>
            </w:r>
          </w:p>
        </w:tc>
        <w:tc>
          <w:tcPr>
            <w:tcW w:w="542" w:type="pct"/>
            <w:tcBorders>
              <w:top w:val="nil"/>
              <w:left w:val="nil"/>
              <w:bottom w:val="single" w:sz="4" w:space="0" w:color="auto"/>
              <w:right w:val="nil"/>
            </w:tcBorders>
            <w:shd w:val="clear" w:color="000000" w:fill="FFFFFF"/>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684</w:t>
            </w:r>
          </w:p>
        </w:tc>
        <w:tc>
          <w:tcPr>
            <w:tcW w:w="483" w:type="pct"/>
            <w:tcBorders>
              <w:top w:val="nil"/>
              <w:left w:val="nil"/>
              <w:bottom w:val="single" w:sz="4" w:space="0" w:color="auto"/>
              <w:right w:val="nil"/>
            </w:tcBorders>
            <w:shd w:val="clear" w:color="000000" w:fill="BDD7EE"/>
            <w:hideMark/>
          </w:tcPr>
          <w:p w:rsidR="00C81BC6" w:rsidRPr="00C81BC6" w:rsidRDefault="00C81BC6" w:rsidP="00C81BC6">
            <w:pPr>
              <w:jc w:val="right"/>
              <w:rPr>
                <w:rFonts w:eastAsia="Times New Roman" w:cs="Arial"/>
                <w:b/>
                <w:bCs/>
                <w:sz w:val="18"/>
                <w:szCs w:val="18"/>
                <w:lang w:eastAsia="en-AU"/>
              </w:rPr>
            </w:pPr>
            <w:r w:rsidRPr="00C81BC6">
              <w:rPr>
                <w:rFonts w:eastAsia="Times New Roman" w:cs="Arial"/>
                <w:b/>
                <w:bCs/>
                <w:sz w:val="18"/>
                <w:szCs w:val="18"/>
                <w:lang w:eastAsia="en-AU"/>
              </w:rPr>
              <w:t>1,197</w:t>
            </w:r>
          </w:p>
        </w:tc>
      </w:tr>
    </w:tbl>
    <w:p w:rsidR="00C81BC6" w:rsidRDefault="00C81BC6" w:rsidP="004B2040">
      <w:pPr>
        <w:jc w:val="both"/>
        <w:rPr>
          <w:rFonts w:cs="Arial"/>
          <w:b/>
          <w:bCs/>
          <w:iCs/>
          <w:lang w:eastAsia="en-AU"/>
        </w:rPr>
      </w:pPr>
    </w:p>
    <w:p w:rsidR="004B2040" w:rsidRDefault="004B2040" w:rsidP="004B2040">
      <w:pPr>
        <w:jc w:val="both"/>
        <w:rPr>
          <w:rFonts w:cs="Arial"/>
          <w:sz w:val="20"/>
        </w:rPr>
      </w:pPr>
    </w:p>
    <w:p w:rsidR="004B2040" w:rsidRPr="00441A36" w:rsidRDefault="004B2040" w:rsidP="004B2040">
      <w:pPr>
        <w:jc w:val="both"/>
        <w:rPr>
          <w:rFonts w:cs="Arial"/>
          <w:b/>
          <w:bCs/>
          <w:iCs/>
          <w:lang w:eastAsia="en-AU"/>
        </w:rPr>
      </w:pPr>
      <w:r w:rsidRPr="00441A36">
        <w:rPr>
          <w:rFonts w:cs="Arial"/>
          <w:b/>
          <w:bCs/>
          <w:iCs/>
          <w:lang w:eastAsia="en-AU"/>
        </w:rPr>
        <w:t>Major Initiatives (Priority Actions)</w:t>
      </w:r>
    </w:p>
    <w:p w:rsidR="004B2040" w:rsidRPr="00441A36" w:rsidRDefault="004B2040" w:rsidP="004B2040">
      <w:pPr>
        <w:jc w:val="both"/>
        <w:rPr>
          <w:rFonts w:cs="Arial"/>
          <w:b/>
          <w:bCs/>
          <w:iCs/>
          <w:lang w:eastAsia="en-AU"/>
        </w:rPr>
      </w:pPr>
    </w:p>
    <w:p w:rsidR="00B65A1A" w:rsidRPr="00441A36" w:rsidRDefault="00156219" w:rsidP="00EA3843">
      <w:pPr>
        <w:pStyle w:val="ListParagraph"/>
        <w:numPr>
          <w:ilvl w:val="0"/>
          <w:numId w:val="9"/>
        </w:numPr>
        <w:ind w:left="426" w:hanging="426"/>
        <w:jc w:val="both"/>
        <w:rPr>
          <w:rFonts w:ascii="Arial" w:hAnsi="Arial" w:cs="Arial"/>
        </w:rPr>
      </w:pPr>
      <w:r w:rsidRPr="00441A36">
        <w:rPr>
          <w:rFonts w:ascii="Arial" w:hAnsi="Arial" w:cs="Arial"/>
        </w:rPr>
        <w:t>Design the Karralyka Centre redevelopment</w:t>
      </w:r>
      <w:r w:rsidR="00B65A1A" w:rsidRPr="00441A36">
        <w:rPr>
          <w:rFonts w:ascii="Arial" w:hAnsi="Arial" w:cs="Arial"/>
        </w:rPr>
        <w:t>, and undertake staged redevelopment works</w:t>
      </w:r>
    </w:p>
    <w:p w:rsidR="00156219" w:rsidRPr="00441A36" w:rsidRDefault="00156219" w:rsidP="00EA3843">
      <w:pPr>
        <w:pStyle w:val="ListParagraph"/>
        <w:numPr>
          <w:ilvl w:val="0"/>
          <w:numId w:val="9"/>
        </w:numPr>
        <w:ind w:left="426" w:hanging="426"/>
        <w:jc w:val="both"/>
        <w:rPr>
          <w:rFonts w:ascii="Arial" w:hAnsi="Arial" w:cs="Arial"/>
        </w:rPr>
      </w:pPr>
      <w:r w:rsidRPr="00441A36">
        <w:rPr>
          <w:rFonts w:ascii="Arial" w:hAnsi="Arial" w:cs="Arial"/>
        </w:rPr>
        <w:t>Implement a new Arts and Cultural Development Strategy</w:t>
      </w:r>
      <w:r w:rsidR="00B65A1A" w:rsidRPr="00441A36">
        <w:rPr>
          <w:rFonts w:ascii="Arial" w:hAnsi="Arial" w:cs="Arial"/>
        </w:rPr>
        <w:t xml:space="preserve"> 2020 - 2025</w:t>
      </w:r>
    </w:p>
    <w:p w:rsidR="005E5F68" w:rsidRDefault="005E5F68">
      <w:pPr>
        <w:rPr>
          <w:rFonts w:eastAsiaTheme="minorHAnsi" w:cs="Candara"/>
          <w:i/>
          <w:iCs/>
          <w:color w:val="5C80AC"/>
          <w:sz w:val="28"/>
          <w:szCs w:val="36"/>
          <w:lang w:val="en-GB"/>
        </w:rPr>
      </w:pPr>
      <w:bookmarkStart w:id="101" w:name="_Toc481072878"/>
      <w:bookmarkStart w:id="102" w:name="_Toc481077416"/>
      <w:bookmarkStart w:id="103" w:name="_Toc481483651"/>
      <w:bookmarkStart w:id="104" w:name="_Toc508984190"/>
      <w:bookmarkStart w:id="105" w:name="_Toc4056370"/>
      <w:r>
        <w:br w:type="page"/>
      </w:r>
    </w:p>
    <w:p w:rsidR="004B2040" w:rsidRPr="009B6FB7" w:rsidRDefault="004B2040" w:rsidP="0065738F">
      <w:pPr>
        <w:pStyle w:val="Heading3"/>
      </w:pPr>
      <w:r w:rsidRPr="009B6FB7">
        <w:lastRenderedPageBreak/>
        <w:t xml:space="preserve">2.4 Outcome Area (Strategic Objective) 4: </w:t>
      </w:r>
      <w:r w:rsidRPr="009B6FB7">
        <w:rPr>
          <w:lang w:eastAsia="en-AU"/>
        </w:rPr>
        <w:t>A clean, green and sustainable community</w:t>
      </w:r>
      <w:bookmarkEnd w:id="101"/>
      <w:bookmarkEnd w:id="102"/>
      <w:bookmarkEnd w:id="103"/>
      <w:bookmarkEnd w:id="104"/>
      <w:bookmarkEnd w:id="105"/>
    </w:p>
    <w:p w:rsidR="004B2040" w:rsidRDefault="004B2040" w:rsidP="004B2040">
      <w:pPr>
        <w:jc w:val="both"/>
        <w:rPr>
          <w:rFonts w:cs="Arial"/>
          <w:b/>
          <w:bCs/>
          <w:iCs/>
          <w:lang w:eastAsia="en-AU"/>
        </w:rPr>
      </w:pPr>
    </w:p>
    <w:tbl>
      <w:tblPr>
        <w:tblW w:w="5000" w:type="pct"/>
        <w:tblLook w:val="04A0" w:firstRow="1" w:lastRow="0" w:firstColumn="1" w:lastColumn="0" w:noHBand="0" w:noVBand="1"/>
      </w:tblPr>
      <w:tblGrid>
        <w:gridCol w:w="6732"/>
        <w:gridCol w:w="576"/>
        <w:gridCol w:w="1012"/>
        <w:gridCol w:w="1134"/>
        <w:gridCol w:w="1012"/>
      </w:tblGrid>
      <w:tr w:rsidR="00AA1BB6" w:rsidRPr="00AA1BB6" w:rsidTr="00824CF2">
        <w:trPr>
          <w:trHeight w:val="300"/>
        </w:trPr>
        <w:tc>
          <w:tcPr>
            <w:tcW w:w="3216" w:type="pct"/>
            <w:vMerge w:val="restart"/>
            <w:tcBorders>
              <w:top w:val="nil"/>
              <w:left w:val="nil"/>
              <w:bottom w:val="nil"/>
              <w:right w:val="nil"/>
            </w:tcBorders>
            <w:shd w:val="clear" w:color="000000" w:fill="5B9BD5"/>
            <w:vAlign w:val="center"/>
            <w:hideMark/>
          </w:tcPr>
          <w:p w:rsidR="00AA1BB6" w:rsidRPr="00AA1BB6" w:rsidRDefault="00AA1BB6" w:rsidP="00AA1BB6">
            <w:pPr>
              <w:rPr>
                <w:rFonts w:eastAsia="Times New Roman" w:cs="Arial"/>
                <w:b/>
                <w:bCs/>
                <w:color w:val="FFFFFF"/>
                <w:lang w:eastAsia="en-AU"/>
              </w:rPr>
            </w:pPr>
            <w:r w:rsidRPr="00AA1BB6">
              <w:rPr>
                <w:rFonts w:eastAsia="Times New Roman" w:cs="Arial"/>
                <w:b/>
                <w:bCs/>
                <w:color w:val="FFFFFF"/>
                <w:lang w:eastAsia="en-AU"/>
              </w:rPr>
              <w:t>Service and Description</w:t>
            </w:r>
          </w:p>
        </w:tc>
        <w:tc>
          <w:tcPr>
            <w:tcW w:w="275"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2020/21</w:t>
            </w:r>
          </w:p>
        </w:tc>
      </w:tr>
      <w:tr w:rsidR="00AA1BB6" w:rsidRPr="00AA1BB6" w:rsidTr="00824CF2">
        <w:trPr>
          <w:trHeight w:val="300"/>
        </w:trPr>
        <w:tc>
          <w:tcPr>
            <w:tcW w:w="3216" w:type="pct"/>
            <w:vMerge/>
            <w:tcBorders>
              <w:top w:val="nil"/>
              <w:left w:val="nil"/>
              <w:bottom w:val="nil"/>
              <w:right w:val="nil"/>
            </w:tcBorders>
            <w:vAlign w:val="center"/>
            <w:hideMark/>
          </w:tcPr>
          <w:p w:rsidR="00AA1BB6" w:rsidRPr="00AA1BB6" w:rsidRDefault="00AA1BB6" w:rsidP="00AA1BB6">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Budget</w:t>
            </w:r>
          </w:p>
        </w:tc>
      </w:tr>
      <w:tr w:rsidR="00AA1BB6" w:rsidRPr="00AA1BB6" w:rsidTr="00824CF2">
        <w:trPr>
          <w:trHeight w:val="300"/>
        </w:trPr>
        <w:tc>
          <w:tcPr>
            <w:tcW w:w="3216" w:type="pct"/>
            <w:vMerge/>
            <w:tcBorders>
              <w:top w:val="nil"/>
              <w:left w:val="nil"/>
              <w:bottom w:val="nil"/>
              <w:right w:val="nil"/>
            </w:tcBorders>
            <w:vAlign w:val="center"/>
            <w:hideMark/>
          </w:tcPr>
          <w:p w:rsidR="00AA1BB6" w:rsidRPr="00AA1BB6" w:rsidRDefault="00AA1BB6" w:rsidP="00AA1BB6">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r>
      <w:tr w:rsidR="00AA1BB6" w:rsidRPr="00AA1BB6" w:rsidTr="00824CF2">
        <w:trPr>
          <w:trHeight w:val="525"/>
        </w:trPr>
        <w:tc>
          <w:tcPr>
            <w:tcW w:w="3216" w:type="pct"/>
            <w:tcBorders>
              <w:top w:val="nil"/>
              <w:left w:val="nil"/>
              <w:bottom w:val="single" w:sz="4" w:space="0" w:color="auto"/>
              <w:right w:val="nil"/>
            </w:tcBorders>
            <w:shd w:val="clear" w:color="auto" w:fill="auto"/>
            <w:noWrap/>
            <w:vAlign w:val="center"/>
            <w:hideMark/>
          </w:tcPr>
          <w:p w:rsidR="00AA1BB6" w:rsidRPr="00AA1BB6" w:rsidRDefault="00AA1BB6" w:rsidP="00AA1BB6">
            <w:pPr>
              <w:rPr>
                <w:rFonts w:eastAsia="Times New Roman" w:cs="Arial"/>
                <w:b/>
                <w:bCs/>
                <w:color w:val="5B9BD5"/>
                <w:lang w:eastAsia="en-AU"/>
              </w:rPr>
            </w:pPr>
            <w:r w:rsidRPr="00AA1BB6">
              <w:rPr>
                <w:rFonts w:eastAsia="Times New Roman" w:cs="Arial"/>
                <w:b/>
                <w:bCs/>
                <w:color w:val="5B9BD5"/>
                <w:lang w:eastAsia="en-AU"/>
              </w:rPr>
              <w:t>Natural Environment</w:t>
            </w:r>
          </w:p>
        </w:tc>
        <w:tc>
          <w:tcPr>
            <w:tcW w:w="275"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p>
        </w:tc>
      </w:tr>
      <w:tr w:rsidR="00AA1BB6" w:rsidRPr="00AA1BB6" w:rsidTr="00824CF2">
        <w:trPr>
          <w:trHeight w:val="360"/>
        </w:trPr>
        <w:tc>
          <w:tcPr>
            <w:tcW w:w="3216" w:type="pct"/>
            <w:vMerge w:val="restart"/>
            <w:tcBorders>
              <w:top w:val="nil"/>
              <w:left w:val="nil"/>
              <w:bottom w:val="single" w:sz="4" w:space="0" w:color="000000"/>
              <w:right w:val="nil"/>
            </w:tcBorders>
            <w:shd w:val="clear" w:color="auto" w:fill="auto"/>
            <w:hideMark/>
          </w:tcPr>
          <w:p w:rsidR="00AA1BB6" w:rsidRPr="000E52EA" w:rsidRDefault="00AA1BB6" w:rsidP="00AA1BB6">
            <w:pPr>
              <w:pStyle w:val="NoSpacing"/>
              <w:jc w:val="both"/>
              <w:rPr>
                <w:rFonts w:cs="Arial"/>
              </w:rPr>
            </w:pPr>
            <w:r w:rsidRPr="00AA1BB6">
              <w:rPr>
                <w:rFonts w:eastAsia="Times New Roman" w:cs="Arial"/>
                <w:color w:val="000000"/>
                <w:lang w:eastAsia="en-AU"/>
              </w:rPr>
              <w:t> </w:t>
            </w:r>
            <w:r w:rsidRPr="000E52EA">
              <w:rPr>
                <w:rFonts w:cs="Arial"/>
              </w:rPr>
              <w:t>This function maintains over 50 bushland reserves, which involves proactively supporting biodiversity and maintaining appropriate fire breaks.  The team also works closely and proactively with Council’s bush reserves ‘Friends of Groups’ to support and assist with the maintenance of Bushland Reserves. The parks maintenance team maintains Council managed parks</w:t>
            </w:r>
            <w:r>
              <w:rPr>
                <w:rFonts w:cs="Arial"/>
              </w:rPr>
              <w:t xml:space="preserve"> and</w:t>
            </w:r>
            <w:r w:rsidRPr="000E52EA">
              <w:rPr>
                <w:rFonts w:cs="Arial"/>
              </w:rPr>
              <w:t xml:space="preserve"> gardens</w:t>
            </w:r>
            <w:r>
              <w:rPr>
                <w:rFonts w:cs="Arial"/>
              </w:rPr>
              <w:t xml:space="preserve">, </w:t>
            </w:r>
            <w:r w:rsidRPr="000E52EA">
              <w:rPr>
                <w:rFonts w:cs="Arial"/>
              </w:rPr>
              <w:t>including proactive and reactive maintenance of landscaped areas, grass mowing.</w:t>
            </w:r>
          </w:p>
          <w:p w:rsidR="00AA1BB6" w:rsidRPr="00AA1BB6" w:rsidRDefault="00AA1BB6" w:rsidP="00AA1BB6">
            <w:pPr>
              <w:jc w:val="both"/>
              <w:rPr>
                <w:rFonts w:eastAsia="Times New Roman" w:cs="Arial"/>
                <w:color w:val="000000"/>
                <w:lang w:eastAsia="en-AU"/>
              </w:rPr>
            </w:pPr>
            <w:r w:rsidRPr="000E52EA">
              <w:rPr>
                <w:rFonts w:cs="Arial"/>
              </w:rPr>
              <w:t>The tree maintenance team manage power line clearance, reactive tree maintenance program, tree data capture program and tree planting in streets and reserves.</w:t>
            </w:r>
          </w:p>
        </w:tc>
        <w:tc>
          <w:tcPr>
            <w:tcW w:w="275" w:type="pct"/>
            <w:tcBorders>
              <w:top w:val="nil"/>
              <w:left w:val="nil"/>
              <w:bottom w:val="nil"/>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8,840</w:t>
            </w:r>
          </w:p>
        </w:tc>
        <w:tc>
          <w:tcPr>
            <w:tcW w:w="542"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8,898</w:t>
            </w:r>
          </w:p>
        </w:tc>
        <w:tc>
          <w:tcPr>
            <w:tcW w:w="483" w:type="pct"/>
            <w:tcBorders>
              <w:top w:val="single" w:sz="4" w:space="0" w:color="auto"/>
              <w:left w:val="nil"/>
              <w:bottom w:val="nil"/>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9,109</w:t>
            </w:r>
          </w:p>
        </w:tc>
      </w:tr>
      <w:tr w:rsidR="00AA1BB6" w:rsidRPr="00AA1BB6" w:rsidTr="00824CF2">
        <w:trPr>
          <w:trHeight w:val="360"/>
        </w:trPr>
        <w:tc>
          <w:tcPr>
            <w:tcW w:w="3216"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(74)</w:t>
            </w:r>
          </w:p>
        </w:tc>
        <w:tc>
          <w:tcPr>
            <w:tcW w:w="542"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(75)</w:t>
            </w:r>
          </w:p>
        </w:tc>
        <w:tc>
          <w:tcPr>
            <w:tcW w:w="483"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(60)</w:t>
            </w:r>
          </w:p>
        </w:tc>
      </w:tr>
      <w:tr w:rsidR="00AA1BB6" w:rsidRPr="00AA1BB6" w:rsidTr="00824CF2">
        <w:trPr>
          <w:trHeight w:val="300"/>
        </w:trPr>
        <w:tc>
          <w:tcPr>
            <w:tcW w:w="3216"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b/>
                <w:bCs/>
                <w:sz w:val="18"/>
                <w:szCs w:val="18"/>
                <w:lang w:eastAsia="en-AU"/>
              </w:rPr>
            </w:pPr>
            <w:r w:rsidRPr="00AA1BB6">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8,766</w:t>
            </w:r>
          </w:p>
        </w:tc>
        <w:tc>
          <w:tcPr>
            <w:tcW w:w="542"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8,823</w:t>
            </w:r>
          </w:p>
        </w:tc>
        <w:tc>
          <w:tcPr>
            <w:tcW w:w="483"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9,049</w:t>
            </w:r>
          </w:p>
        </w:tc>
      </w:tr>
      <w:tr w:rsidR="00AA1BB6" w:rsidRPr="00AA1BB6" w:rsidTr="00824CF2">
        <w:trPr>
          <w:trHeight w:val="525"/>
        </w:trPr>
        <w:tc>
          <w:tcPr>
            <w:tcW w:w="3216" w:type="pct"/>
            <w:tcBorders>
              <w:top w:val="nil"/>
              <w:left w:val="nil"/>
              <w:bottom w:val="single" w:sz="4" w:space="0" w:color="auto"/>
              <w:right w:val="nil"/>
            </w:tcBorders>
            <w:shd w:val="clear" w:color="auto" w:fill="auto"/>
            <w:noWrap/>
            <w:vAlign w:val="center"/>
            <w:hideMark/>
          </w:tcPr>
          <w:p w:rsidR="00AA1BB6" w:rsidRPr="00AA1BB6" w:rsidRDefault="00AA1BB6" w:rsidP="00AA1BB6">
            <w:pPr>
              <w:rPr>
                <w:rFonts w:eastAsia="Times New Roman" w:cs="Arial"/>
                <w:b/>
                <w:bCs/>
                <w:color w:val="5B9BD5"/>
                <w:lang w:eastAsia="en-AU"/>
              </w:rPr>
            </w:pPr>
            <w:r w:rsidRPr="00AA1BB6">
              <w:rPr>
                <w:rFonts w:eastAsia="Times New Roman" w:cs="Arial"/>
                <w:b/>
                <w:bCs/>
                <w:color w:val="5B9BD5"/>
                <w:lang w:eastAsia="en-AU"/>
              </w:rPr>
              <w:t>Waste Management</w:t>
            </w:r>
          </w:p>
        </w:tc>
        <w:tc>
          <w:tcPr>
            <w:tcW w:w="275"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p>
        </w:tc>
      </w:tr>
      <w:tr w:rsidR="00AA1BB6" w:rsidRPr="00AA1BB6" w:rsidTr="00824CF2">
        <w:trPr>
          <w:trHeight w:val="360"/>
        </w:trPr>
        <w:tc>
          <w:tcPr>
            <w:tcW w:w="3216" w:type="pct"/>
            <w:vMerge w:val="restart"/>
            <w:tcBorders>
              <w:top w:val="nil"/>
              <w:left w:val="nil"/>
              <w:bottom w:val="single" w:sz="4" w:space="0" w:color="000000"/>
              <w:right w:val="nil"/>
            </w:tcBorders>
            <w:shd w:val="clear" w:color="auto" w:fill="auto"/>
            <w:hideMark/>
          </w:tcPr>
          <w:p w:rsidR="00AA1BB6" w:rsidRPr="00AA1BB6" w:rsidRDefault="00AA1BB6" w:rsidP="00AA1BB6">
            <w:pPr>
              <w:jc w:val="both"/>
              <w:rPr>
                <w:rFonts w:eastAsia="Times New Roman" w:cs="Arial"/>
                <w:color w:val="000000"/>
                <w:lang w:eastAsia="en-AU"/>
              </w:rPr>
            </w:pPr>
            <w:r w:rsidRPr="00AA1BB6">
              <w:rPr>
                <w:rFonts w:eastAsia="Times New Roman" w:cs="Arial"/>
                <w:color w:val="000000"/>
                <w:lang w:eastAsia="en-AU"/>
              </w:rPr>
              <w:t> </w:t>
            </w:r>
            <w:r w:rsidRPr="00D96061">
              <w:rPr>
                <w:rFonts w:eastAsia="Times New Roman" w:cs="Arial"/>
                <w:color w:val="000000"/>
                <w:lang w:eastAsia="en-AU"/>
              </w:rPr>
              <w:t> </w:t>
            </w:r>
            <w:r w:rsidRPr="006110EB">
              <w:rPr>
                <w:rFonts w:cs="Arial"/>
                <w:lang w:val="en-US"/>
              </w:rPr>
              <w:t>The waste management team provides residential and commercial waste services to the Maroondah community, including public recycling bins, street litter bins, parks and reserves bins and Council facilities bins. The team manages the contracts for kerbside collection, receipt and sorting, green organics, land fill supply and hard waste contracts. Services also include on-call hard waste collection, a schools and community waste education program, and planning to meet future waste management needs.</w:t>
            </w:r>
          </w:p>
        </w:tc>
        <w:tc>
          <w:tcPr>
            <w:tcW w:w="275" w:type="pct"/>
            <w:tcBorders>
              <w:top w:val="nil"/>
              <w:left w:val="nil"/>
              <w:bottom w:val="nil"/>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12,852</w:t>
            </w:r>
          </w:p>
        </w:tc>
        <w:tc>
          <w:tcPr>
            <w:tcW w:w="542"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14,488</w:t>
            </w:r>
          </w:p>
        </w:tc>
        <w:tc>
          <w:tcPr>
            <w:tcW w:w="483" w:type="pct"/>
            <w:tcBorders>
              <w:top w:val="single" w:sz="4" w:space="0" w:color="auto"/>
              <w:left w:val="nil"/>
              <w:bottom w:val="nil"/>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15,950</w:t>
            </w:r>
          </w:p>
        </w:tc>
      </w:tr>
      <w:tr w:rsidR="00AA1BB6" w:rsidRPr="00AA1BB6" w:rsidTr="00824CF2">
        <w:trPr>
          <w:trHeight w:val="360"/>
        </w:trPr>
        <w:tc>
          <w:tcPr>
            <w:tcW w:w="3216"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(101)</w:t>
            </w:r>
          </w:p>
        </w:tc>
        <w:tc>
          <w:tcPr>
            <w:tcW w:w="542"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(280)</w:t>
            </w:r>
          </w:p>
        </w:tc>
        <w:tc>
          <w:tcPr>
            <w:tcW w:w="483"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w:t>
            </w:r>
          </w:p>
        </w:tc>
      </w:tr>
      <w:tr w:rsidR="00AA1BB6" w:rsidRPr="00AA1BB6" w:rsidTr="00824CF2">
        <w:trPr>
          <w:trHeight w:val="300"/>
        </w:trPr>
        <w:tc>
          <w:tcPr>
            <w:tcW w:w="3216"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b/>
                <w:bCs/>
                <w:sz w:val="18"/>
                <w:szCs w:val="18"/>
                <w:lang w:eastAsia="en-AU"/>
              </w:rPr>
            </w:pPr>
            <w:r w:rsidRPr="00AA1BB6">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12,750</w:t>
            </w:r>
          </w:p>
        </w:tc>
        <w:tc>
          <w:tcPr>
            <w:tcW w:w="542"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14,208</w:t>
            </w:r>
          </w:p>
        </w:tc>
        <w:tc>
          <w:tcPr>
            <w:tcW w:w="483"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15,950</w:t>
            </w:r>
          </w:p>
        </w:tc>
      </w:tr>
    </w:tbl>
    <w:p w:rsidR="00AA1BB6" w:rsidRDefault="00AA1BB6" w:rsidP="004B2040">
      <w:pPr>
        <w:jc w:val="both"/>
        <w:rPr>
          <w:rFonts w:cs="Arial"/>
          <w:b/>
          <w:bCs/>
          <w:iCs/>
          <w:lang w:eastAsia="en-AU"/>
        </w:rPr>
      </w:pPr>
    </w:p>
    <w:p w:rsidR="00AA1BB6" w:rsidRDefault="00AA1BB6" w:rsidP="004B2040">
      <w:pPr>
        <w:jc w:val="both"/>
        <w:rPr>
          <w:rFonts w:cs="Arial"/>
          <w:b/>
          <w:bCs/>
          <w:iCs/>
          <w:lang w:eastAsia="en-AU"/>
        </w:rPr>
      </w:pPr>
    </w:p>
    <w:p w:rsidR="0016708A" w:rsidRDefault="0016708A" w:rsidP="004B2040">
      <w:pPr>
        <w:jc w:val="both"/>
        <w:rPr>
          <w:rFonts w:cs="Arial"/>
          <w:sz w:val="20"/>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CE7BB7" w:rsidRDefault="004B2040" w:rsidP="00CE7BB7">
      <w:pPr>
        <w:jc w:val="both"/>
        <w:rPr>
          <w:rFonts w:cs="Arial"/>
        </w:rPr>
      </w:pPr>
    </w:p>
    <w:p w:rsidR="003A6D2A" w:rsidRPr="004D4476" w:rsidRDefault="003A6D2A" w:rsidP="00274DF7">
      <w:pPr>
        <w:pStyle w:val="ListParagraph"/>
        <w:numPr>
          <w:ilvl w:val="0"/>
          <w:numId w:val="9"/>
        </w:numPr>
        <w:ind w:left="426" w:hanging="426"/>
        <w:jc w:val="both"/>
        <w:rPr>
          <w:rFonts w:ascii="Arial" w:hAnsi="Arial" w:cs="Arial"/>
        </w:rPr>
      </w:pPr>
      <w:r w:rsidRPr="004D4476">
        <w:rPr>
          <w:rFonts w:ascii="Arial" w:hAnsi="Arial" w:cs="Arial"/>
        </w:rPr>
        <w:t xml:space="preserve">Work in partnership to implement the Reimagining Tarralla </w:t>
      </w:r>
      <w:proofErr w:type="gramStart"/>
      <w:r w:rsidRPr="004D4476">
        <w:rPr>
          <w:rFonts w:ascii="Arial" w:hAnsi="Arial" w:cs="Arial"/>
        </w:rPr>
        <w:t>Creek  project</w:t>
      </w:r>
      <w:proofErr w:type="gramEnd"/>
    </w:p>
    <w:p w:rsidR="003A6D2A" w:rsidRPr="004D4476" w:rsidRDefault="003A6D2A" w:rsidP="00274DF7">
      <w:pPr>
        <w:pStyle w:val="ListParagraph"/>
        <w:numPr>
          <w:ilvl w:val="0"/>
          <w:numId w:val="9"/>
        </w:numPr>
        <w:ind w:left="426" w:hanging="426"/>
        <w:jc w:val="both"/>
        <w:rPr>
          <w:rFonts w:ascii="Arial" w:hAnsi="Arial" w:cs="Arial"/>
        </w:rPr>
      </w:pPr>
      <w:r w:rsidRPr="004D4476">
        <w:rPr>
          <w:rFonts w:ascii="Arial" w:hAnsi="Arial" w:cs="Arial"/>
        </w:rPr>
        <w:t>Complete the tender and implement contracts for waste collection, landfill and the receipt and sorting of recyclables</w:t>
      </w:r>
    </w:p>
    <w:p w:rsidR="004B2040" w:rsidRPr="004D4476" w:rsidRDefault="004B2040" w:rsidP="004B2040">
      <w:pPr>
        <w:jc w:val="both"/>
        <w:rPr>
          <w:rFonts w:cs="Arial"/>
          <w:b/>
          <w:bCs/>
          <w:iCs/>
          <w:lang w:eastAsia="en-AU"/>
        </w:rPr>
      </w:pPr>
      <w:r w:rsidRPr="004D4476">
        <w:rPr>
          <w:rFonts w:cs="Arial"/>
          <w:b/>
          <w:bCs/>
          <w:iCs/>
          <w:lang w:eastAsia="en-AU"/>
        </w:rPr>
        <w:t xml:space="preserve">Initiatives </w:t>
      </w:r>
    </w:p>
    <w:p w:rsidR="004B2040" w:rsidRPr="004D4476" w:rsidRDefault="004B2040" w:rsidP="004B2040">
      <w:pPr>
        <w:jc w:val="both"/>
        <w:rPr>
          <w:rFonts w:cs="Arial"/>
          <w:b/>
          <w:bCs/>
          <w:iCs/>
          <w:lang w:eastAsia="en-AU"/>
        </w:rPr>
      </w:pPr>
    </w:p>
    <w:p w:rsidR="003A6D2A" w:rsidRPr="004D4476" w:rsidRDefault="003A6D2A" w:rsidP="00274DF7">
      <w:pPr>
        <w:pStyle w:val="ListParagraph"/>
        <w:numPr>
          <w:ilvl w:val="0"/>
          <w:numId w:val="9"/>
        </w:numPr>
        <w:ind w:left="426" w:hanging="426"/>
        <w:jc w:val="both"/>
        <w:rPr>
          <w:rFonts w:ascii="Arial" w:hAnsi="Arial" w:cs="Arial"/>
        </w:rPr>
      </w:pPr>
      <w:r w:rsidRPr="004D4476">
        <w:rPr>
          <w:rFonts w:ascii="Arial" w:hAnsi="Arial" w:cs="Arial"/>
        </w:rPr>
        <w:t xml:space="preserve">Introduce </w:t>
      </w:r>
      <w:r w:rsidR="00650FF1" w:rsidRPr="004D4476">
        <w:rPr>
          <w:rFonts w:ascii="Arial" w:hAnsi="Arial" w:cs="Arial"/>
        </w:rPr>
        <w:t>the Maroondah Environm</w:t>
      </w:r>
      <w:r w:rsidR="00E84AF9">
        <w:rPr>
          <w:rFonts w:ascii="Arial" w:hAnsi="Arial" w:cs="Arial"/>
        </w:rPr>
        <w:t>en</w:t>
      </w:r>
      <w:r w:rsidR="00650FF1" w:rsidRPr="004D4476">
        <w:rPr>
          <w:rFonts w:ascii="Arial" w:hAnsi="Arial" w:cs="Arial"/>
        </w:rPr>
        <w:t xml:space="preserve">tally Sustainable Design Policy into the </w:t>
      </w:r>
      <w:r w:rsidRPr="004D4476">
        <w:rPr>
          <w:rFonts w:ascii="Arial" w:hAnsi="Arial" w:cs="Arial"/>
        </w:rPr>
        <w:t>Maroondah Planning Scheme</w:t>
      </w:r>
    </w:p>
    <w:p w:rsidR="003A6D2A" w:rsidRPr="004D4476" w:rsidRDefault="003A6D2A" w:rsidP="00274DF7">
      <w:pPr>
        <w:pStyle w:val="ListParagraph"/>
        <w:numPr>
          <w:ilvl w:val="0"/>
          <w:numId w:val="9"/>
        </w:numPr>
        <w:ind w:left="426" w:hanging="426"/>
        <w:jc w:val="both"/>
        <w:rPr>
          <w:rFonts w:ascii="Arial" w:hAnsi="Arial" w:cs="Arial"/>
        </w:rPr>
      </w:pPr>
      <w:r w:rsidRPr="004D4476">
        <w:rPr>
          <w:rFonts w:ascii="Arial" w:hAnsi="Arial" w:cs="Arial"/>
        </w:rPr>
        <w:t>Undertake a review and update Council's Sustainability Strategy and Carbon Neutral Strategy</w:t>
      </w:r>
    </w:p>
    <w:p w:rsidR="003A6D2A" w:rsidRPr="004D4476" w:rsidRDefault="003A6D2A" w:rsidP="00274DF7">
      <w:pPr>
        <w:pStyle w:val="ListParagraph"/>
        <w:numPr>
          <w:ilvl w:val="0"/>
          <w:numId w:val="9"/>
        </w:numPr>
        <w:ind w:left="426" w:hanging="426"/>
        <w:jc w:val="both"/>
        <w:rPr>
          <w:rFonts w:ascii="Arial" w:hAnsi="Arial" w:cs="Arial"/>
        </w:rPr>
      </w:pPr>
      <w:r w:rsidRPr="004D4476">
        <w:rPr>
          <w:rFonts w:ascii="Arial" w:hAnsi="Arial" w:cs="Arial"/>
        </w:rPr>
        <w:t>Implement an accelerated streetscape enhancement program, including a significant increase in tree planting</w:t>
      </w:r>
    </w:p>
    <w:p w:rsidR="004B2040" w:rsidRDefault="004B2040" w:rsidP="004B2040">
      <w:pPr>
        <w:jc w:val="both"/>
        <w:rPr>
          <w:rFonts w:cs="Arial"/>
          <w:b/>
          <w:bCs/>
          <w:iCs/>
          <w:lang w:eastAsia="en-AU"/>
        </w:rPr>
      </w:pPr>
      <w:r w:rsidRPr="005E0E40">
        <w:rPr>
          <w:rFonts w:cs="Arial"/>
          <w:b/>
          <w:bCs/>
          <w:iCs/>
          <w:lang w:eastAsia="en-AU"/>
        </w:rPr>
        <w:t>Service Performance Indicators</w:t>
      </w:r>
    </w:p>
    <w:p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387"/>
        <w:gridCol w:w="1574"/>
        <w:gridCol w:w="3787"/>
        <w:gridCol w:w="3718"/>
      </w:tblGrid>
      <w:tr w:rsidR="004B2040" w:rsidRPr="005E0E40" w:rsidTr="00351D1F">
        <w:trPr>
          <w:trHeight w:val="510"/>
        </w:trPr>
        <w:tc>
          <w:tcPr>
            <w:tcW w:w="663"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2"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09"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76"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rsidTr="00351D1F">
        <w:trPr>
          <w:trHeight w:val="742"/>
        </w:trPr>
        <w:tc>
          <w:tcPr>
            <w:tcW w:w="663"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Waste Collection</w:t>
            </w:r>
          </w:p>
        </w:tc>
        <w:tc>
          <w:tcPr>
            <w:tcW w:w="752"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Waste Diversion</w:t>
            </w:r>
          </w:p>
        </w:tc>
        <w:tc>
          <w:tcPr>
            <w:tcW w:w="1809"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 xml:space="preserve">Kerbside collection waste diverted from </w:t>
            </w:r>
            <w:r w:rsidR="00826C91" w:rsidRPr="005E0E40">
              <w:rPr>
                <w:rFonts w:cs="Arial"/>
                <w:lang w:eastAsia="en-AU"/>
              </w:rPr>
              <w:t>landfill (</w:t>
            </w:r>
            <w:r w:rsidRPr="005E0E40">
              <w:rPr>
                <w:rFonts w:cs="Arial"/>
                <w:lang w:eastAsia="en-AU"/>
              </w:rPr>
              <w:t>percentage of garbage, recyclables and green organics collected from kerbside bins that is diverted to landfill)</w:t>
            </w:r>
          </w:p>
        </w:tc>
        <w:tc>
          <w:tcPr>
            <w:tcW w:w="1776"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Weight of recyclables and green organics collected from kerbside bins / Total weight of garbage, recyclables and green organics collected from kerbside bins</w:t>
            </w:r>
          </w:p>
        </w:tc>
      </w:tr>
    </w:tbl>
    <w:p w:rsidR="004B2040" w:rsidRDefault="004B2040" w:rsidP="004B2040"/>
    <w:p w:rsidR="004B2040" w:rsidRDefault="004B2040" w:rsidP="004B2040">
      <w:r>
        <w:br w:type="page"/>
      </w:r>
    </w:p>
    <w:p w:rsidR="004B2040" w:rsidRPr="009B6FB7" w:rsidRDefault="004B2040" w:rsidP="0065738F">
      <w:pPr>
        <w:pStyle w:val="Heading3"/>
      </w:pPr>
      <w:bookmarkStart w:id="106" w:name="_Toc481072879"/>
      <w:bookmarkStart w:id="107" w:name="_Toc481077417"/>
      <w:bookmarkStart w:id="108" w:name="_Toc481483652"/>
      <w:bookmarkStart w:id="109" w:name="_Toc508984191"/>
      <w:bookmarkStart w:id="110" w:name="_Toc4056371"/>
      <w:r w:rsidRPr="009B6FB7">
        <w:lastRenderedPageBreak/>
        <w:t xml:space="preserve">2.5 Outcome Area (Strategic Objective) 5: </w:t>
      </w:r>
      <w:r w:rsidRPr="009B6FB7">
        <w:rPr>
          <w:lang w:eastAsia="en-AU"/>
        </w:rPr>
        <w:t>An accessible and connected community</w:t>
      </w:r>
      <w:bookmarkEnd w:id="106"/>
      <w:bookmarkEnd w:id="107"/>
      <w:bookmarkEnd w:id="108"/>
      <w:bookmarkEnd w:id="109"/>
      <w:bookmarkEnd w:id="110"/>
    </w:p>
    <w:p w:rsidR="004B2040" w:rsidRPr="00242D2A" w:rsidRDefault="004B2040" w:rsidP="004B2040">
      <w:pPr>
        <w:jc w:val="both"/>
        <w:rPr>
          <w:rFonts w:cs="Arial"/>
          <w:sz w:val="20"/>
        </w:rPr>
      </w:pPr>
    </w:p>
    <w:tbl>
      <w:tblPr>
        <w:tblW w:w="5079" w:type="pct"/>
        <w:tblLook w:val="04A0" w:firstRow="1" w:lastRow="0" w:firstColumn="1" w:lastColumn="0" w:noHBand="0" w:noVBand="1"/>
      </w:tblPr>
      <w:tblGrid>
        <w:gridCol w:w="6897"/>
        <w:gridCol w:w="576"/>
        <w:gridCol w:w="1012"/>
        <w:gridCol w:w="1134"/>
        <w:gridCol w:w="1012"/>
      </w:tblGrid>
      <w:tr w:rsidR="00B64059" w:rsidRPr="00AA1BB6" w:rsidTr="00824CF2">
        <w:trPr>
          <w:trHeight w:val="300"/>
        </w:trPr>
        <w:tc>
          <w:tcPr>
            <w:tcW w:w="3243" w:type="pct"/>
            <w:vMerge w:val="restart"/>
            <w:tcBorders>
              <w:top w:val="nil"/>
              <w:left w:val="nil"/>
              <w:bottom w:val="nil"/>
              <w:right w:val="nil"/>
            </w:tcBorders>
            <w:shd w:val="clear" w:color="000000" w:fill="5B9BD5"/>
            <w:vAlign w:val="center"/>
            <w:hideMark/>
          </w:tcPr>
          <w:p w:rsidR="00AA1BB6" w:rsidRPr="00AA1BB6" w:rsidRDefault="00AA1BB6" w:rsidP="00AA1BB6">
            <w:pPr>
              <w:rPr>
                <w:rFonts w:eastAsia="Times New Roman" w:cs="Arial"/>
                <w:b/>
                <w:bCs/>
                <w:color w:val="FFFFFF"/>
                <w:lang w:eastAsia="en-AU"/>
              </w:rPr>
            </w:pPr>
            <w:r w:rsidRPr="00AA1BB6">
              <w:rPr>
                <w:rFonts w:eastAsia="Times New Roman" w:cs="Arial"/>
                <w:b/>
                <w:bCs/>
                <w:color w:val="FFFFFF"/>
                <w:lang w:eastAsia="en-AU"/>
              </w:rPr>
              <w:t>Service and Description</w:t>
            </w:r>
          </w:p>
        </w:tc>
        <w:tc>
          <w:tcPr>
            <w:tcW w:w="271"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2018/19</w:t>
            </w:r>
          </w:p>
        </w:tc>
        <w:tc>
          <w:tcPr>
            <w:tcW w:w="53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2019/20</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2020/21</w:t>
            </w:r>
          </w:p>
        </w:tc>
      </w:tr>
      <w:tr w:rsidR="00B64059" w:rsidRPr="00AA1BB6" w:rsidTr="00824CF2">
        <w:trPr>
          <w:trHeight w:val="600"/>
        </w:trPr>
        <w:tc>
          <w:tcPr>
            <w:tcW w:w="3243" w:type="pct"/>
            <w:vMerge/>
            <w:tcBorders>
              <w:top w:val="nil"/>
              <w:left w:val="nil"/>
              <w:bottom w:val="nil"/>
              <w:right w:val="nil"/>
            </w:tcBorders>
            <w:vAlign w:val="center"/>
            <w:hideMark/>
          </w:tcPr>
          <w:p w:rsidR="00AA1BB6" w:rsidRPr="00AA1BB6" w:rsidRDefault="00AA1BB6" w:rsidP="00AA1BB6">
            <w:pPr>
              <w:rPr>
                <w:rFonts w:eastAsia="Times New Roman" w:cs="Arial"/>
                <w:b/>
                <w:bCs/>
                <w:color w:val="FFFFFF"/>
                <w:lang w:eastAsia="en-AU"/>
              </w:rPr>
            </w:pPr>
          </w:p>
        </w:tc>
        <w:tc>
          <w:tcPr>
            <w:tcW w:w="271"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Actual</w:t>
            </w:r>
          </w:p>
        </w:tc>
        <w:tc>
          <w:tcPr>
            <w:tcW w:w="53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Forecast</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Budget</w:t>
            </w:r>
          </w:p>
        </w:tc>
      </w:tr>
      <w:tr w:rsidR="00B64059" w:rsidRPr="00AA1BB6" w:rsidTr="00824CF2">
        <w:trPr>
          <w:trHeight w:val="300"/>
        </w:trPr>
        <w:tc>
          <w:tcPr>
            <w:tcW w:w="3243" w:type="pct"/>
            <w:vMerge/>
            <w:tcBorders>
              <w:top w:val="nil"/>
              <w:left w:val="nil"/>
              <w:bottom w:val="nil"/>
              <w:right w:val="nil"/>
            </w:tcBorders>
            <w:vAlign w:val="center"/>
            <w:hideMark/>
          </w:tcPr>
          <w:p w:rsidR="00AA1BB6" w:rsidRPr="00AA1BB6" w:rsidRDefault="00AA1BB6" w:rsidP="00AA1BB6">
            <w:pPr>
              <w:rPr>
                <w:rFonts w:eastAsia="Times New Roman" w:cs="Arial"/>
                <w:b/>
                <w:bCs/>
                <w:color w:val="FFFFFF"/>
                <w:lang w:eastAsia="en-AU"/>
              </w:rPr>
            </w:pPr>
          </w:p>
        </w:tc>
        <w:tc>
          <w:tcPr>
            <w:tcW w:w="271"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 </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c>
          <w:tcPr>
            <w:tcW w:w="533"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c>
          <w:tcPr>
            <w:tcW w:w="476" w:type="pct"/>
            <w:tcBorders>
              <w:top w:val="nil"/>
              <w:left w:val="nil"/>
              <w:bottom w:val="nil"/>
              <w:right w:val="nil"/>
            </w:tcBorders>
            <w:shd w:val="clear" w:color="000000" w:fill="5B9BD5"/>
            <w:vAlign w:val="center"/>
            <w:hideMark/>
          </w:tcPr>
          <w:p w:rsidR="00AA1BB6" w:rsidRPr="00AA1BB6" w:rsidRDefault="00AA1BB6" w:rsidP="00AA1BB6">
            <w:pPr>
              <w:jc w:val="center"/>
              <w:rPr>
                <w:rFonts w:eastAsia="Times New Roman" w:cs="Arial"/>
                <w:b/>
                <w:bCs/>
                <w:color w:val="FFFFFF"/>
                <w:lang w:eastAsia="en-AU"/>
              </w:rPr>
            </w:pPr>
            <w:r w:rsidRPr="00AA1BB6">
              <w:rPr>
                <w:rFonts w:eastAsia="Times New Roman" w:cs="Arial"/>
                <w:b/>
                <w:bCs/>
                <w:color w:val="FFFFFF"/>
                <w:lang w:eastAsia="en-AU"/>
              </w:rPr>
              <w:t>$'000</w:t>
            </w:r>
          </w:p>
        </w:tc>
      </w:tr>
      <w:tr w:rsidR="00B64059" w:rsidRPr="00AA1BB6" w:rsidTr="00824CF2">
        <w:trPr>
          <w:trHeight w:val="525"/>
        </w:trPr>
        <w:tc>
          <w:tcPr>
            <w:tcW w:w="3243" w:type="pct"/>
            <w:tcBorders>
              <w:top w:val="nil"/>
              <w:left w:val="nil"/>
              <w:bottom w:val="single" w:sz="4" w:space="0" w:color="auto"/>
              <w:right w:val="nil"/>
            </w:tcBorders>
            <w:shd w:val="clear" w:color="auto" w:fill="auto"/>
            <w:noWrap/>
            <w:vAlign w:val="center"/>
            <w:hideMark/>
          </w:tcPr>
          <w:p w:rsidR="00AA1BB6" w:rsidRPr="00AA1BB6" w:rsidRDefault="00AA1BB6" w:rsidP="00AA1BB6">
            <w:pPr>
              <w:rPr>
                <w:rFonts w:eastAsia="Times New Roman" w:cs="Arial"/>
                <w:b/>
                <w:bCs/>
                <w:color w:val="5B9BD5"/>
                <w:lang w:eastAsia="en-AU"/>
              </w:rPr>
            </w:pPr>
            <w:r w:rsidRPr="00AA1BB6">
              <w:rPr>
                <w:rFonts w:eastAsia="Times New Roman" w:cs="Arial"/>
                <w:b/>
                <w:bCs/>
                <w:color w:val="5B9BD5"/>
                <w:lang w:eastAsia="en-AU"/>
              </w:rPr>
              <w:t>Asset Management</w:t>
            </w:r>
          </w:p>
        </w:tc>
        <w:tc>
          <w:tcPr>
            <w:tcW w:w="271"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76"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533"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76" w:type="pct"/>
            <w:tcBorders>
              <w:top w:val="nil"/>
              <w:left w:val="nil"/>
              <w:bottom w:val="nil"/>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p>
        </w:tc>
      </w:tr>
      <w:tr w:rsidR="00B64059" w:rsidRPr="00AA1BB6" w:rsidTr="00824CF2">
        <w:trPr>
          <w:trHeight w:val="360"/>
        </w:trPr>
        <w:tc>
          <w:tcPr>
            <w:tcW w:w="3243" w:type="pct"/>
            <w:vMerge w:val="restart"/>
            <w:tcBorders>
              <w:top w:val="nil"/>
              <w:left w:val="nil"/>
              <w:bottom w:val="single" w:sz="4" w:space="0" w:color="000000"/>
              <w:right w:val="nil"/>
            </w:tcBorders>
            <w:shd w:val="clear" w:color="auto" w:fill="auto"/>
            <w:hideMark/>
          </w:tcPr>
          <w:p w:rsidR="00AA1BB6" w:rsidRPr="007B5B6A" w:rsidRDefault="00AA1BB6" w:rsidP="00AA1BB6">
            <w:pPr>
              <w:pStyle w:val="NoSpacing"/>
              <w:jc w:val="both"/>
              <w:rPr>
                <w:rFonts w:cs="Arial"/>
              </w:rPr>
            </w:pPr>
            <w:r w:rsidRPr="00AA1BB6">
              <w:rPr>
                <w:rFonts w:eastAsia="Times New Roman" w:cs="Arial"/>
                <w:color w:val="000000"/>
                <w:lang w:eastAsia="en-AU"/>
              </w:rPr>
              <w:t> </w:t>
            </w:r>
            <w:r w:rsidRPr="00122D52">
              <w:rPr>
                <w:rFonts w:eastAsia="Times New Roman" w:cs="Arial"/>
                <w:color w:val="000000"/>
                <w:lang w:eastAsia="en-AU"/>
              </w:rPr>
              <w:t> </w:t>
            </w:r>
            <w:r w:rsidRPr="007B5B6A">
              <w:rPr>
                <w:rFonts w:cs="Arial"/>
              </w:rPr>
              <w:t>This team provides a range of functions including:</w:t>
            </w:r>
          </w:p>
          <w:p w:rsidR="00AA1BB6" w:rsidRPr="007B5B6A" w:rsidRDefault="00AA1BB6" w:rsidP="00AA1BB6">
            <w:pPr>
              <w:pStyle w:val="NoSpacing"/>
              <w:numPr>
                <w:ilvl w:val="0"/>
                <w:numId w:val="29"/>
              </w:numPr>
              <w:jc w:val="both"/>
              <w:rPr>
                <w:rFonts w:cs="Arial"/>
              </w:rPr>
            </w:pPr>
            <w:r w:rsidRPr="007B5B6A">
              <w:rPr>
                <w:rFonts w:cs="Arial"/>
              </w:rPr>
              <w:t>Strategic asset management;</w:t>
            </w:r>
          </w:p>
          <w:p w:rsidR="00AA1BB6" w:rsidRPr="007B5B6A" w:rsidRDefault="00AA1BB6" w:rsidP="00AA1BB6">
            <w:pPr>
              <w:pStyle w:val="NoSpacing"/>
              <w:numPr>
                <w:ilvl w:val="0"/>
                <w:numId w:val="29"/>
              </w:numPr>
              <w:jc w:val="both"/>
              <w:rPr>
                <w:rFonts w:cs="Arial"/>
              </w:rPr>
            </w:pPr>
            <w:r w:rsidRPr="007B5B6A">
              <w:rPr>
                <w:rFonts w:cs="Arial"/>
              </w:rPr>
              <w:t>Implementation and development of Council’s corporate asset and works management system;</w:t>
            </w:r>
          </w:p>
          <w:p w:rsidR="00AA1BB6" w:rsidRPr="007B5B6A" w:rsidRDefault="00AA1BB6" w:rsidP="00AA1BB6">
            <w:pPr>
              <w:pStyle w:val="NoSpacing"/>
              <w:numPr>
                <w:ilvl w:val="0"/>
                <w:numId w:val="29"/>
              </w:numPr>
              <w:jc w:val="both"/>
              <w:rPr>
                <w:rFonts w:cs="Arial"/>
              </w:rPr>
            </w:pPr>
            <w:r w:rsidRPr="007B5B6A">
              <w:rPr>
                <w:rFonts w:cs="Arial"/>
              </w:rPr>
              <w:t>Management of all corporate data relating to Council’s assets; and</w:t>
            </w:r>
          </w:p>
          <w:p w:rsidR="00AA1BB6" w:rsidRPr="007B5B6A" w:rsidRDefault="00AA1BB6" w:rsidP="00AA1BB6">
            <w:pPr>
              <w:pStyle w:val="NoSpacing"/>
              <w:numPr>
                <w:ilvl w:val="0"/>
                <w:numId w:val="29"/>
              </w:numPr>
              <w:jc w:val="both"/>
              <w:rPr>
                <w:rFonts w:cs="Arial"/>
              </w:rPr>
            </w:pPr>
            <w:r w:rsidRPr="007B5B6A">
              <w:rPr>
                <w:rFonts w:cs="Arial"/>
              </w:rPr>
              <w:t>Cyclical proactive inspections of Council’s assets in accordance with Council’s Road Management Plan.</w:t>
            </w:r>
          </w:p>
          <w:p w:rsidR="00AA1BB6" w:rsidRPr="00AA1BB6" w:rsidRDefault="00AA1BB6" w:rsidP="00AA1BB6">
            <w:pPr>
              <w:jc w:val="both"/>
              <w:rPr>
                <w:rFonts w:eastAsia="Times New Roman" w:cs="Arial"/>
                <w:color w:val="000000"/>
                <w:lang w:eastAsia="en-AU"/>
              </w:rPr>
            </w:pPr>
            <w:r w:rsidRPr="007B5B6A">
              <w:rPr>
                <w:rFonts w:cs="Arial"/>
              </w:rPr>
              <w:t>The team also develops Council’s annual capital works program relating to roads, car parks, laneways, shared paths, stormwater drainage and community facility assets.</w:t>
            </w:r>
          </w:p>
        </w:tc>
        <w:tc>
          <w:tcPr>
            <w:tcW w:w="271" w:type="pct"/>
            <w:tcBorders>
              <w:top w:val="nil"/>
              <w:left w:val="nil"/>
              <w:bottom w:val="nil"/>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Exp</w:t>
            </w:r>
          </w:p>
        </w:tc>
        <w:tc>
          <w:tcPr>
            <w:tcW w:w="476"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1,558</w:t>
            </w:r>
          </w:p>
        </w:tc>
        <w:tc>
          <w:tcPr>
            <w:tcW w:w="533" w:type="pct"/>
            <w:tcBorders>
              <w:top w:val="nil"/>
              <w:left w:val="nil"/>
              <w:bottom w:val="nil"/>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1,582</w:t>
            </w:r>
          </w:p>
        </w:tc>
        <w:tc>
          <w:tcPr>
            <w:tcW w:w="476" w:type="pct"/>
            <w:tcBorders>
              <w:top w:val="single" w:sz="4" w:space="0" w:color="auto"/>
              <w:left w:val="nil"/>
              <w:bottom w:val="nil"/>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1,382</w:t>
            </w:r>
          </w:p>
        </w:tc>
      </w:tr>
      <w:tr w:rsidR="00B64059" w:rsidRPr="00AA1BB6" w:rsidTr="00824CF2">
        <w:trPr>
          <w:trHeight w:val="360"/>
        </w:trPr>
        <w:tc>
          <w:tcPr>
            <w:tcW w:w="3243"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1"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sz w:val="18"/>
                <w:szCs w:val="18"/>
                <w:lang w:eastAsia="en-AU"/>
              </w:rPr>
            </w:pPr>
            <w:r w:rsidRPr="00AA1BB6">
              <w:rPr>
                <w:rFonts w:eastAsia="Times New Roman" w:cs="Arial"/>
                <w:sz w:val="18"/>
                <w:szCs w:val="18"/>
                <w:lang w:eastAsia="en-AU"/>
              </w:rPr>
              <w:t>Rev</w:t>
            </w:r>
          </w:p>
        </w:tc>
        <w:tc>
          <w:tcPr>
            <w:tcW w:w="476"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(30)</w:t>
            </w:r>
          </w:p>
        </w:tc>
        <w:tc>
          <w:tcPr>
            <w:tcW w:w="53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(66)</w:t>
            </w:r>
          </w:p>
        </w:tc>
        <w:tc>
          <w:tcPr>
            <w:tcW w:w="476"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sz w:val="18"/>
                <w:szCs w:val="18"/>
                <w:lang w:eastAsia="en-AU"/>
              </w:rPr>
            </w:pPr>
            <w:r w:rsidRPr="00AA1BB6">
              <w:rPr>
                <w:rFonts w:eastAsia="Times New Roman" w:cs="Arial"/>
                <w:sz w:val="18"/>
                <w:szCs w:val="18"/>
                <w:lang w:eastAsia="en-AU"/>
              </w:rPr>
              <w:t>(46)</w:t>
            </w:r>
          </w:p>
        </w:tc>
      </w:tr>
      <w:tr w:rsidR="00B64059" w:rsidRPr="00AA1BB6" w:rsidTr="00824CF2">
        <w:trPr>
          <w:trHeight w:val="300"/>
        </w:trPr>
        <w:tc>
          <w:tcPr>
            <w:tcW w:w="3243" w:type="pct"/>
            <w:vMerge/>
            <w:tcBorders>
              <w:top w:val="nil"/>
              <w:left w:val="nil"/>
              <w:bottom w:val="single" w:sz="4" w:space="0" w:color="000000"/>
              <w:right w:val="nil"/>
            </w:tcBorders>
            <w:vAlign w:val="center"/>
            <w:hideMark/>
          </w:tcPr>
          <w:p w:rsidR="00AA1BB6" w:rsidRPr="00AA1BB6" w:rsidRDefault="00AA1BB6" w:rsidP="00AA1BB6">
            <w:pPr>
              <w:rPr>
                <w:rFonts w:eastAsia="Times New Roman" w:cs="Arial"/>
                <w:color w:val="000000"/>
                <w:lang w:eastAsia="en-AU"/>
              </w:rPr>
            </w:pPr>
          </w:p>
        </w:tc>
        <w:tc>
          <w:tcPr>
            <w:tcW w:w="271" w:type="pct"/>
            <w:tcBorders>
              <w:top w:val="nil"/>
              <w:left w:val="nil"/>
              <w:bottom w:val="single" w:sz="4" w:space="0" w:color="auto"/>
              <w:right w:val="nil"/>
            </w:tcBorders>
            <w:shd w:val="clear" w:color="000000" w:fill="FFFFFF"/>
            <w:hideMark/>
          </w:tcPr>
          <w:p w:rsidR="00AA1BB6" w:rsidRPr="00AA1BB6" w:rsidRDefault="00AA1BB6" w:rsidP="00AA1BB6">
            <w:pPr>
              <w:rPr>
                <w:rFonts w:eastAsia="Times New Roman" w:cs="Arial"/>
                <w:b/>
                <w:bCs/>
                <w:sz w:val="18"/>
                <w:szCs w:val="18"/>
                <w:lang w:eastAsia="en-AU"/>
              </w:rPr>
            </w:pPr>
            <w:r w:rsidRPr="00AA1BB6">
              <w:rPr>
                <w:rFonts w:eastAsia="Times New Roman" w:cs="Arial"/>
                <w:b/>
                <w:bCs/>
                <w:sz w:val="18"/>
                <w:szCs w:val="18"/>
                <w:lang w:eastAsia="en-AU"/>
              </w:rPr>
              <w:t>NET</w:t>
            </w:r>
          </w:p>
        </w:tc>
        <w:tc>
          <w:tcPr>
            <w:tcW w:w="476"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1,528</w:t>
            </w:r>
          </w:p>
        </w:tc>
        <w:tc>
          <w:tcPr>
            <w:tcW w:w="533" w:type="pct"/>
            <w:tcBorders>
              <w:top w:val="nil"/>
              <w:left w:val="nil"/>
              <w:bottom w:val="single" w:sz="4" w:space="0" w:color="auto"/>
              <w:right w:val="nil"/>
            </w:tcBorders>
            <w:shd w:val="clear" w:color="000000" w:fill="FFFFFF"/>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1,516</w:t>
            </w:r>
          </w:p>
        </w:tc>
        <w:tc>
          <w:tcPr>
            <w:tcW w:w="476" w:type="pct"/>
            <w:tcBorders>
              <w:top w:val="nil"/>
              <w:left w:val="nil"/>
              <w:bottom w:val="single" w:sz="4" w:space="0" w:color="auto"/>
              <w:right w:val="nil"/>
            </w:tcBorders>
            <w:shd w:val="clear" w:color="000000" w:fill="BDD7EE"/>
            <w:hideMark/>
          </w:tcPr>
          <w:p w:rsidR="00AA1BB6" w:rsidRPr="00AA1BB6" w:rsidRDefault="00AA1BB6" w:rsidP="00AA1BB6">
            <w:pPr>
              <w:jc w:val="right"/>
              <w:rPr>
                <w:rFonts w:eastAsia="Times New Roman" w:cs="Arial"/>
                <w:b/>
                <w:bCs/>
                <w:sz w:val="18"/>
                <w:szCs w:val="18"/>
                <w:lang w:eastAsia="en-AU"/>
              </w:rPr>
            </w:pPr>
            <w:r w:rsidRPr="00AA1BB6">
              <w:rPr>
                <w:rFonts w:eastAsia="Times New Roman" w:cs="Arial"/>
                <w:b/>
                <w:bCs/>
                <w:sz w:val="18"/>
                <w:szCs w:val="18"/>
                <w:lang w:eastAsia="en-AU"/>
              </w:rPr>
              <w:t>1,336</w:t>
            </w:r>
          </w:p>
        </w:tc>
      </w:tr>
      <w:tr w:rsidR="00B64059" w:rsidRPr="00AA1BB6" w:rsidTr="00824CF2">
        <w:trPr>
          <w:trHeight w:val="525"/>
        </w:trPr>
        <w:tc>
          <w:tcPr>
            <w:tcW w:w="3243" w:type="pct"/>
            <w:tcBorders>
              <w:top w:val="nil"/>
              <w:left w:val="nil"/>
              <w:bottom w:val="single" w:sz="4" w:space="0" w:color="auto"/>
              <w:right w:val="nil"/>
            </w:tcBorders>
            <w:shd w:val="clear" w:color="auto" w:fill="auto"/>
            <w:noWrap/>
            <w:vAlign w:val="center"/>
            <w:hideMark/>
          </w:tcPr>
          <w:p w:rsidR="00AA1BB6" w:rsidRPr="00AA1BB6" w:rsidRDefault="00AA1BB6" w:rsidP="00AA1BB6">
            <w:pPr>
              <w:rPr>
                <w:rFonts w:eastAsia="Times New Roman" w:cs="Arial"/>
                <w:b/>
                <w:bCs/>
                <w:color w:val="5B9BD5"/>
                <w:lang w:eastAsia="en-AU"/>
              </w:rPr>
            </w:pPr>
            <w:r w:rsidRPr="00AA1BB6">
              <w:rPr>
                <w:rFonts w:eastAsia="Times New Roman" w:cs="Arial"/>
                <w:b/>
                <w:bCs/>
                <w:color w:val="5B9BD5"/>
                <w:lang w:eastAsia="en-AU"/>
              </w:rPr>
              <w:t>Engineering Services</w:t>
            </w:r>
          </w:p>
        </w:tc>
        <w:tc>
          <w:tcPr>
            <w:tcW w:w="271"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76"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533" w:type="pct"/>
            <w:tcBorders>
              <w:top w:val="nil"/>
              <w:left w:val="nil"/>
              <w:bottom w:val="single" w:sz="4" w:space="0" w:color="auto"/>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r w:rsidRPr="00AA1BB6">
              <w:rPr>
                <w:rFonts w:eastAsia="Times New Roman" w:cs="Arial"/>
                <w:b/>
                <w:bCs/>
                <w:color w:val="FFFFFF"/>
                <w:sz w:val="18"/>
                <w:szCs w:val="18"/>
                <w:lang w:eastAsia="en-AU"/>
              </w:rPr>
              <w:t> </w:t>
            </w:r>
          </w:p>
        </w:tc>
        <w:tc>
          <w:tcPr>
            <w:tcW w:w="476" w:type="pct"/>
            <w:tcBorders>
              <w:top w:val="nil"/>
              <w:left w:val="nil"/>
              <w:bottom w:val="nil"/>
              <w:right w:val="nil"/>
            </w:tcBorders>
            <w:shd w:val="clear" w:color="auto" w:fill="auto"/>
            <w:vAlign w:val="center"/>
            <w:hideMark/>
          </w:tcPr>
          <w:p w:rsidR="00AA1BB6" w:rsidRPr="00AA1BB6" w:rsidRDefault="00AA1BB6" w:rsidP="00AA1BB6">
            <w:pPr>
              <w:jc w:val="center"/>
              <w:rPr>
                <w:rFonts w:eastAsia="Times New Roman" w:cs="Arial"/>
                <w:b/>
                <w:bCs/>
                <w:color w:val="FFFFFF"/>
                <w:sz w:val="18"/>
                <w:szCs w:val="18"/>
                <w:lang w:eastAsia="en-AU"/>
              </w:rPr>
            </w:pPr>
          </w:p>
        </w:tc>
      </w:tr>
      <w:tr w:rsidR="00B64059" w:rsidRPr="00AA1BB6" w:rsidTr="00824CF2">
        <w:trPr>
          <w:trHeight w:val="300"/>
        </w:trPr>
        <w:tc>
          <w:tcPr>
            <w:tcW w:w="3243" w:type="pct"/>
            <w:vMerge w:val="restart"/>
            <w:tcBorders>
              <w:top w:val="nil"/>
              <w:left w:val="nil"/>
              <w:bottom w:val="single" w:sz="4" w:space="0" w:color="000000"/>
              <w:right w:val="nil"/>
            </w:tcBorders>
            <w:shd w:val="clear" w:color="auto" w:fill="auto"/>
            <w:hideMark/>
          </w:tcPr>
          <w:p w:rsidR="00B64059" w:rsidRPr="00AA1BB6" w:rsidRDefault="00B64059" w:rsidP="00B64059">
            <w:pPr>
              <w:jc w:val="both"/>
              <w:rPr>
                <w:rFonts w:eastAsia="Times New Roman" w:cs="Arial"/>
                <w:color w:val="000000"/>
                <w:lang w:eastAsia="en-AU"/>
              </w:rPr>
            </w:pPr>
            <w:r>
              <w:rPr>
                <w:rFonts w:cs="Arial"/>
              </w:rPr>
              <w:t xml:space="preserve">  </w:t>
            </w:r>
            <w:r w:rsidRPr="009F3DB0">
              <w:rPr>
                <w:rFonts w:cs="Arial"/>
              </w:rPr>
              <w:t>The</w:t>
            </w:r>
            <w:r>
              <w:rPr>
                <w:rFonts w:cs="Arial"/>
              </w:rPr>
              <w:t xml:space="preserve"> team </w:t>
            </w:r>
            <w:r w:rsidRPr="009F3DB0">
              <w:rPr>
                <w:rFonts w:cs="Arial"/>
              </w:rPr>
              <w:t>delivers the engineering related component of Council’s Capital Works Program including management of design consultants, the tendering and contract process, and the supervision of construction works. Engineering Services also provides professional advice and technical expertise in the areas of traffic investigations and strategic transportation issues, stormwater drainage investigations and flood management strateg</w:t>
            </w:r>
            <w:r>
              <w:rPr>
                <w:rFonts w:cs="Arial"/>
              </w:rPr>
              <w:t xml:space="preserve">ies. The team is responsible for various statutory approval functions in relation to private developments including assessment of </w:t>
            </w:r>
            <w:r w:rsidRPr="009F3DB0">
              <w:rPr>
                <w:rFonts w:cs="Arial"/>
              </w:rPr>
              <w:t>engineering</w:t>
            </w:r>
            <w:r>
              <w:rPr>
                <w:rFonts w:cs="Arial"/>
              </w:rPr>
              <w:t xml:space="preserve"> and construction management</w:t>
            </w:r>
            <w:r w:rsidRPr="009F3DB0">
              <w:rPr>
                <w:rFonts w:cs="Arial"/>
              </w:rPr>
              <w:t xml:space="preserve"> plans</w:t>
            </w:r>
            <w:r>
              <w:rPr>
                <w:rFonts w:cs="Arial"/>
              </w:rPr>
              <w:t>, assessment and approval of report and consents, asset protection and other engineering</w:t>
            </w:r>
            <w:r w:rsidRPr="009F3DB0">
              <w:rPr>
                <w:rFonts w:cs="Arial"/>
              </w:rPr>
              <w:t xml:space="preserve"> </w:t>
            </w:r>
            <w:proofErr w:type="gramStart"/>
            <w:r>
              <w:rPr>
                <w:rFonts w:cs="Arial"/>
              </w:rPr>
              <w:t xml:space="preserve">applications,  </w:t>
            </w:r>
            <w:r w:rsidRPr="009F3DB0">
              <w:rPr>
                <w:rFonts w:cs="Arial"/>
              </w:rPr>
              <w:t>supervision</w:t>
            </w:r>
            <w:proofErr w:type="gramEnd"/>
            <w:r w:rsidRPr="009F3DB0">
              <w:rPr>
                <w:rFonts w:cs="Arial"/>
              </w:rPr>
              <w:t xml:space="preserve"> of</w:t>
            </w:r>
            <w:r>
              <w:rPr>
                <w:rFonts w:cs="Arial"/>
              </w:rPr>
              <w:t xml:space="preserve"> engineering </w:t>
            </w:r>
            <w:r w:rsidRPr="009F3DB0">
              <w:rPr>
                <w:rFonts w:cs="Arial"/>
              </w:rPr>
              <w:t>works relating to  developments</w:t>
            </w:r>
            <w:r>
              <w:rPr>
                <w:rFonts w:cs="Arial"/>
              </w:rPr>
              <w:t xml:space="preserve"> along with construction site and general infrastructure compliance activities.</w:t>
            </w:r>
          </w:p>
        </w:tc>
        <w:tc>
          <w:tcPr>
            <w:tcW w:w="271" w:type="pct"/>
            <w:tcBorders>
              <w:top w:val="nil"/>
              <w:left w:val="nil"/>
              <w:bottom w:val="nil"/>
              <w:right w:val="nil"/>
            </w:tcBorders>
            <w:shd w:val="clear" w:color="000000" w:fill="FFFFFF"/>
            <w:hideMark/>
          </w:tcPr>
          <w:p w:rsidR="00B64059" w:rsidRPr="00AA1BB6" w:rsidRDefault="00B64059" w:rsidP="00B64059">
            <w:pPr>
              <w:rPr>
                <w:rFonts w:eastAsia="Times New Roman" w:cs="Arial"/>
                <w:sz w:val="18"/>
                <w:szCs w:val="18"/>
                <w:lang w:eastAsia="en-AU"/>
              </w:rPr>
            </w:pPr>
            <w:r w:rsidRPr="00AA1BB6">
              <w:rPr>
                <w:rFonts w:eastAsia="Times New Roman" w:cs="Arial"/>
                <w:sz w:val="18"/>
                <w:szCs w:val="18"/>
                <w:lang w:eastAsia="en-AU"/>
              </w:rPr>
              <w:t>Exp</w:t>
            </w:r>
          </w:p>
        </w:tc>
        <w:tc>
          <w:tcPr>
            <w:tcW w:w="476" w:type="pct"/>
            <w:tcBorders>
              <w:top w:val="nil"/>
              <w:left w:val="nil"/>
              <w:bottom w:val="nil"/>
              <w:right w:val="nil"/>
            </w:tcBorders>
            <w:shd w:val="clear" w:color="000000" w:fill="FFFFFF"/>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1,879</w:t>
            </w:r>
          </w:p>
        </w:tc>
        <w:tc>
          <w:tcPr>
            <w:tcW w:w="533" w:type="pct"/>
            <w:tcBorders>
              <w:top w:val="nil"/>
              <w:left w:val="nil"/>
              <w:bottom w:val="nil"/>
              <w:right w:val="nil"/>
            </w:tcBorders>
            <w:shd w:val="clear" w:color="000000" w:fill="FFFFFF"/>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1,969</w:t>
            </w:r>
          </w:p>
        </w:tc>
        <w:tc>
          <w:tcPr>
            <w:tcW w:w="476" w:type="pct"/>
            <w:tcBorders>
              <w:top w:val="single" w:sz="4" w:space="0" w:color="auto"/>
              <w:left w:val="nil"/>
              <w:bottom w:val="nil"/>
              <w:right w:val="nil"/>
            </w:tcBorders>
            <w:shd w:val="clear" w:color="000000" w:fill="BDD7EE"/>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2,004</w:t>
            </w:r>
          </w:p>
        </w:tc>
      </w:tr>
      <w:tr w:rsidR="00B64059" w:rsidRPr="00AA1BB6" w:rsidTr="00824CF2">
        <w:trPr>
          <w:trHeight w:val="300"/>
        </w:trPr>
        <w:tc>
          <w:tcPr>
            <w:tcW w:w="3243" w:type="pct"/>
            <w:vMerge/>
            <w:tcBorders>
              <w:top w:val="nil"/>
              <w:left w:val="nil"/>
              <w:bottom w:val="single" w:sz="4" w:space="0" w:color="000000"/>
              <w:right w:val="nil"/>
            </w:tcBorders>
            <w:vAlign w:val="center"/>
            <w:hideMark/>
          </w:tcPr>
          <w:p w:rsidR="00B64059" w:rsidRPr="00AA1BB6" w:rsidRDefault="00B64059" w:rsidP="00B64059">
            <w:pPr>
              <w:rPr>
                <w:rFonts w:eastAsia="Times New Roman" w:cs="Arial"/>
                <w:color w:val="000000"/>
                <w:lang w:eastAsia="en-AU"/>
              </w:rPr>
            </w:pPr>
          </w:p>
        </w:tc>
        <w:tc>
          <w:tcPr>
            <w:tcW w:w="271" w:type="pct"/>
            <w:tcBorders>
              <w:top w:val="nil"/>
              <w:left w:val="nil"/>
              <w:bottom w:val="single" w:sz="4" w:space="0" w:color="auto"/>
              <w:right w:val="nil"/>
            </w:tcBorders>
            <w:shd w:val="clear" w:color="000000" w:fill="FFFFFF"/>
            <w:hideMark/>
          </w:tcPr>
          <w:p w:rsidR="00B64059" w:rsidRPr="00AA1BB6" w:rsidRDefault="00B64059" w:rsidP="00B64059">
            <w:pPr>
              <w:rPr>
                <w:rFonts w:eastAsia="Times New Roman" w:cs="Arial"/>
                <w:sz w:val="18"/>
                <w:szCs w:val="18"/>
                <w:lang w:eastAsia="en-AU"/>
              </w:rPr>
            </w:pPr>
            <w:r w:rsidRPr="00AA1BB6">
              <w:rPr>
                <w:rFonts w:eastAsia="Times New Roman" w:cs="Arial"/>
                <w:sz w:val="18"/>
                <w:szCs w:val="18"/>
                <w:lang w:eastAsia="en-AU"/>
              </w:rPr>
              <w:t>Rev</w:t>
            </w:r>
          </w:p>
        </w:tc>
        <w:tc>
          <w:tcPr>
            <w:tcW w:w="476" w:type="pct"/>
            <w:tcBorders>
              <w:top w:val="nil"/>
              <w:left w:val="nil"/>
              <w:bottom w:val="single" w:sz="4" w:space="0" w:color="auto"/>
              <w:right w:val="nil"/>
            </w:tcBorders>
            <w:shd w:val="clear" w:color="000000" w:fill="FFFFFF"/>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(836)</w:t>
            </w:r>
          </w:p>
        </w:tc>
        <w:tc>
          <w:tcPr>
            <w:tcW w:w="533" w:type="pct"/>
            <w:tcBorders>
              <w:top w:val="nil"/>
              <w:left w:val="nil"/>
              <w:bottom w:val="single" w:sz="4" w:space="0" w:color="auto"/>
              <w:right w:val="nil"/>
            </w:tcBorders>
            <w:shd w:val="clear" w:color="000000" w:fill="FFFFFF"/>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(729)</w:t>
            </w:r>
          </w:p>
        </w:tc>
        <w:tc>
          <w:tcPr>
            <w:tcW w:w="476" w:type="pct"/>
            <w:tcBorders>
              <w:top w:val="nil"/>
              <w:left w:val="nil"/>
              <w:bottom w:val="single" w:sz="4" w:space="0" w:color="auto"/>
              <w:right w:val="nil"/>
            </w:tcBorders>
            <w:shd w:val="clear" w:color="000000" w:fill="BDD7EE"/>
            <w:hideMark/>
          </w:tcPr>
          <w:p w:rsidR="00B64059" w:rsidRPr="00AA1BB6" w:rsidRDefault="00B64059" w:rsidP="00B64059">
            <w:pPr>
              <w:jc w:val="right"/>
              <w:rPr>
                <w:rFonts w:eastAsia="Times New Roman" w:cs="Arial"/>
                <w:sz w:val="18"/>
                <w:szCs w:val="18"/>
                <w:lang w:eastAsia="en-AU"/>
              </w:rPr>
            </w:pPr>
            <w:r w:rsidRPr="00AA1BB6">
              <w:rPr>
                <w:rFonts w:eastAsia="Times New Roman" w:cs="Arial"/>
                <w:sz w:val="18"/>
                <w:szCs w:val="18"/>
                <w:lang w:eastAsia="en-AU"/>
              </w:rPr>
              <w:t>(633)</w:t>
            </w:r>
          </w:p>
        </w:tc>
      </w:tr>
      <w:tr w:rsidR="00B64059" w:rsidRPr="00AA1BB6" w:rsidTr="00824CF2">
        <w:trPr>
          <w:trHeight w:val="300"/>
        </w:trPr>
        <w:tc>
          <w:tcPr>
            <w:tcW w:w="3243" w:type="pct"/>
            <w:vMerge/>
            <w:tcBorders>
              <w:top w:val="nil"/>
              <w:left w:val="nil"/>
              <w:bottom w:val="single" w:sz="4" w:space="0" w:color="000000"/>
              <w:right w:val="nil"/>
            </w:tcBorders>
            <w:vAlign w:val="center"/>
            <w:hideMark/>
          </w:tcPr>
          <w:p w:rsidR="00B64059" w:rsidRPr="00AA1BB6" w:rsidRDefault="00B64059" w:rsidP="00B64059">
            <w:pPr>
              <w:rPr>
                <w:rFonts w:eastAsia="Times New Roman" w:cs="Arial"/>
                <w:color w:val="000000"/>
                <w:lang w:eastAsia="en-AU"/>
              </w:rPr>
            </w:pPr>
          </w:p>
        </w:tc>
        <w:tc>
          <w:tcPr>
            <w:tcW w:w="271" w:type="pct"/>
            <w:tcBorders>
              <w:top w:val="nil"/>
              <w:left w:val="nil"/>
              <w:bottom w:val="single" w:sz="4" w:space="0" w:color="auto"/>
              <w:right w:val="nil"/>
            </w:tcBorders>
            <w:shd w:val="clear" w:color="000000" w:fill="FFFFFF"/>
            <w:hideMark/>
          </w:tcPr>
          <w:p w:rsidR="00B64059" w:rsidRPr="00AA1BB6" w:rsidRDefault="00B64059" w:rsidP="00B64059">
            <w:pPr>
              <w:rPr>
                <w:rFonts w:eastAsia="Times New Roman" w:cs="Arial"/>
                <w:b/>
                <w:bCs/>
                <w:sz w:val="18"/>
                <w:szCs w:val="18"/>
                <w:lang w:eastAsia="en-AU"/>
              </w:rPr>
            </w:pPr>
            <w:r w:rsidRPr="00AA1BB6">
              <w:rPr>
                <w:rFonts w:eastAsia="Times New Roman" w:cs="Arial"/>
                <w:b/>
                <w:bCs/>
                <w:sz w:val="18"/>
                <w:szCs w:val="18"/>
                <w:lang w:eastAsia="en-AU"/>
              </w:rPr>
              <w:t>NET</w:t>
            </w:r>
          </w:p>
        </w:tc>
        <w:tc>
          <w:tcPr>
            <w:tcW w:w="476" w:type="pct"/>
            <w:tcBorders>
              <w:top w:val="nil"/>
              <w:left w:val="nil"/>
              <w:bottom w:val="single" w:sz="4" w:space="0" w:color="auto"/>
              <w:right w:val="nil"/>
            </w:tcBorders>
            <w:shd w:val="clear" w:color="000000" w:fill="FFFFFF"/>
            <w:hideMark/>
          </w:tcPr>
          <w:p w:rsidR="00B64059" w:rsidRPr="00AA1BB6" w:rsidRDefault="00B64059" w:rsidP="00B64059">
            <w:pPr>
              <w:jc w:val="right"/>
              <w:rPr>
                <w:rFonts w:eastAsia="Times New Roman" w:cs="Arial"/>
                <w:b/>
                <w:bCs/>
                <w:sz w:val="18"/>
                <w:szCs w:val="18"/>
                <w:lang w:eastAsia="en-AU"/>
              </w:rPr>
            </w:pPr>
            <w:r w:rsidRPr="00AA1BB6">
              <w:rPr>
                <w:rFonts w:eastAsia="Times New Roman" w:cs="Arial"/>
                <w:b/>
                <w:bCs/>
                <w:sz w:val="18"/>
                <w:szCs w:val="18"/>
                <w:lang w:eastAsia="en-AU"/>
              </w:rPr>
              <w:t>1,043</w:t>
            </w:r>
          </w:p>
        </w:tc>
        <w:tc>
          <w:tcPr>
            <w:tcW w:w="533" w:type="pct"/>
            <w:tcBorders>
              <w:top w:val="nil"/>
              <w:left w:val="nil"/>
              <w:bottom w:val="single" w:sz="4" w:space="0" w:color="auto"/>
              <w:right w:val="nil"/>
            </w:tcBorders>
            <w:shd w:val="clear" w:color="000000" w:fill="FFFFFF"/>
            <w:hideMark/>
          </w:tcPr>
          <w:p w:rsidR="00B64059" w:rsidRPr="00AA1BB6" w:rsidRDefault="00B64059" w:rsidP="00B64059">
            <w:pPr>
              <w:jc w:val="right"/>
              <w:rPr>
                <w:rFonts w:eastAsia="Times New Roman" w:cs="Arial"/>
                <w:b/>
                <w:bCs/>
                <w:sz w:val="18"/>
                <w:szCs w:val="18"/>
                <w:lang w:eastAsia="en-AU"/>
              </w:rPr>
            </w:pPr>
            <w:r w:rsidRPr="00AA1BB6">
              <w:rPr>
                <w:rFonts w:eastAsia="Times New Roman" w:cs="Arial"/>
                <w:b/>
                <w:bCs/>
                <w:sz w:val="18"/>
                <w:szCs w:val="18"/>
                <w:lang w:eastAsia="en-AU"/>
              </w:rPr>
              <w:t>1,240</w:t>
            </w:r>
          </w:p>
        </w:tc>
        <w:tc>
          <w:tcPr>
            <w:tcW w:w="476" w:type="pct"/>
            <w:tcBorders>
              <w:top w:val="nil"/>
              <w:left w:val="nil"/>
              <w:bottom w:val="single" w:sz="4" w:space="0" w:color="auto"/>
              <w:right w:val="nil"/>
            </w:tcBorders>
            <w:shd w:val="clear" w:color="000000" w:fill="BDD7EE"/>
            <w:hideMark/>
          </w:tcPr>
          <w:p w:rsidR="00B64059" w:rsidRPr="00AA1BB6" w:rsidRDefault="00B64059" w:rsidP="00B64059">
            <w:pPr>
              <w:jc w:val="right"/>
              <w:rPr>
                <w:rFonts w:eastAsia="Times New Roman" w:cs="Arial"/>
                <w:b/>
                <w:bCs/>
                <w:sz w:val="18"/>
                <w:szCs w:val="18"/>
                <w:lang w:eastAsia="en-AU"/>
              </w:rPr>
            </w:pPr>
            <w:r w:rsidRPr="00AA1BB6">
              <w:rPr>
                <w:rFonts w:eastAsia="Times New Roman" w:cs="Arial"/>
                <w:b/>
                <w:bCs/>
                <w:sz w:val="18"/>
                <w:szCs w:val="18"/>
                <w:lang w:eastAsia="en-AU"/>
              </w:rPr>
              <w:t>1,371</w:t>
            </w:r>
          </w:p>
        </w:tc>
      </w:tr>
    </w:tbl>
    <w:p w:rsidR="00AA1BB6" w:rsidRDefault="00AA1BB6" w:rsidP="004B2040">
      <w:pPr>
        <w:jc w:val="both"/>
        <w:rPr>
          <w:rFonts w:cs="Arial"/>
          <w:b/>
          <w:bCs/>
          <w:iCs/>
          <w:lang w:eastAsia="en-AU"/>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6D370B" w:rsidRDefault="004B2040" w:rsidP="004B2040">
      <w:pPr>
        <w:jc w:val="both"/>
        <w:rPr>
          <w:rFonts w:cs="Arial"/>
          <w:b/>
          <w:bCs/>
          <w:iCs/>
          <w:lang w:eastAsia="en-AU"/>
        </w:rPr>
      </w:pPr>
    </w:p>
    <w:p w:rsidR="00F376D7" w:rsidRDefault="00F376D7" w:rsidP="00274DF7">
      <w:pPr>
        <w:pStyle w:val="ListParagraph"/>
        <w:numPr>
          <w:ilvl w:val="0"/>
          <w:numId w:val="9"/>
        </w:numPr>
        <w:ind w:left="426" w:hanging="426"/>
        <w:jc w:val="both"/>
        <w:rPr>
          <w:rFonts w:ascii="Arial" w:hAnsi="Arial" w:cs="Arial"/>
        </w:rPr>
      </w:pPr>
      <w:r w:rsidRPr="004D4476">
        <w:rPr>
          <w:rFonts w:ascii="Arial" w:hAnsi="Arial" w:cs="Arial"/>
        </w:rPr>
        <w:t>Complete the Lincoln Road upgrade, east of Dorset Road, Croydon</w:t>
      </w:r>
    </w:p>
    <w:p w:rsidR="0044645D" w:rsidRPr="004D4476" w:rsidRDefault="0044645D" w:rsidP="00274DF7">
      <w:pPr>
        <w:pStyle w:val="ListParagraph"/>
        <w:numPr>
          <w:ilvl w:val="0"/>
          <w:numId w:val="9"/>
        </w:numPr>
        <w:ind w:left="426" w:hanging="426"/>
        <w:jc w:val="both"/>
        <w:rPr>
          <w:rFonts w:ascii="Arial" w:hAnsi="Arial" w:cs="Arial"/>
        </w:rPr>
      </w:pPr>
      <w:r>
        <w:rPr>
          <w:rFonts w:ascii="Arial" w:hAnsi="Arial" w:cs="Arial"/>
        </w:rPr>
        <w:t>Undertake the renewal of New Street</w:t>
      </w:r>
      <w:r w:rsidR="000C7E46">
        <w:rPr>
          <w:rFonts w:ascii="Arial" w:hAnsi="Arial" w:cs="Arial"/>
        </w:rPr>
        <w:t xml:space="preserve"> in Ringwood, including flood mitigation works, between Maroondah Highway and Sylvia Grove</w:t>
      </w:r>
    </w:p>
    <w:p w:rsidR="00F376D7" w:rsidRPr="004D4476" w:rsidRDefault="00F376D7" w:rsidP="00274DF7">
      <w:pPr>
        <w:pStyle w:val="ListParagraph"/>
        <w:numPr>
          <w:ilvl w:val="0"/>
          <w:numId w:val="9"/>
        </w:numPr>
        <w:ind w:left="426" w:hanging="426"/>
        <w:jc w:val="both"/>
        <w:rPr>
          <w:rFonts w:ascii="Arial" w:hAnsi="Arial" w:cs="Arial"/>
        </w:rPr>
      </w:pPr>
      <w:r w:rsidRPr="004D4476">
        <w:rPr>
          <w:rFonts w:ascii="Arial" w:hAnsi="Arial" w:cs="Arial"/>
        </w:rPr>
        <w:t>Advocate for public transport improvements in the Bayswater Business Precinct</w:t>
      </w:r>
    </w:p>
    <w:p w:rsidR="00AE04B2" w:rsidRPr="004D4476" w:rsidRDefault="00F376D7" w:rsidP="00274DF7">
      <w:pPr>
        <w:pStyle w:val="ListParagraph"/>
        <w:numPr>
          <w:ilvl w:val="0"/>
          <w:numId w:val="9"/>
        </w:numPr>
        <w:ind w:left="426" w:hanging="426"/>
        <w:jc w:val="both"/>
        <w:rPr>
          <w:rFonts w:ascii="Arial" w:hAnsi="Arial" w:cs="Arial"/>
        </w:rPr>
      </w:pPr>
      <w:r w:rsidRPr="004D4476">
        <w:rPr>
          <w:rFonts w:ascii="Arial" w:hAnsi="Arial" w:cs="Arial"/>
        </w:rPr>
        <w:t>Design and construct multi-level carparks in Croydon; Ringwood; Heathmont; and Heatherdale station</w:t>
      </w:r>
    </w:p>
    <w:p w:rsidR="009167F9" w:rsidRPr="004D4476" w:rsidRDefault="00AE04B2" w:rsidP="00274DF7">
      <w:pPr>
        <w:pStyle w:val="ListParagraph"/>
        <w:numPr>
          <w:ilvl w:val="0"/>
          <w:numId w:val="9"/>
        </w:numPr>
        <w:ind w:left="426" w:hanging="426"/>
        <w:jc w:val="both"/>
        <w:rPr>
          <w:rFonts w:ascii="Arial" w:hAnsi="Arial" w:cs="Arial"/>
        </w:rPr>
      </w:pPr>
      <w:r w:rsidRPr="004D4476">
        <w:rPr>
          <w:rFonts w:ascii="Arial" w:hAnsi="Arial" w:cs="Arial"/>
        </w:rPr>
        <w:t>U</w:t>
      </w:r>
      <w:r w:rsidR="007F38DF" w:rsidRPr="004D4476">
        <w:rPr>
          <w:rFonts w:ascii="Arial" w:hAnsi="Arial" w:cs="Arial"/>
        </w:rPr>
        <w:t xml:space="preserve">ndertake improvement works of the carpark at </w:t>
      </w:r>
      <w:proofErr w:type="spellStart"/>
      <w:r w:rsidR="007F38DF" w:rsidRPr="004D4476">
        <w:rPr>
          <w:rFonts w:ascii="Arial" w:hAnsi="Arial" w:cs="Arial"/>
        </w:rPr>
        <w:t>McAlpin</w:t>
      </w:r>
      <w:proofErr w:type="spellEnd"/>
      <w:r w:rsidR="007F38DF" w:rsidRPr="004D4476">
        <w:rPr>
          <w:rFonts w:ascii="Arial" w:hAnsi="Arial" w:cs="Arial"/>
        </w:rPr>
        <w:t xml:space="preserve"> Reserve Ringwood North</w:t>
      </w:r>
      <w:r w:rsidR="009545C2" w:rsidRPr="004D4476">
        <w:rPr>
          <w:rFonts w:ascii="Arial" w:hAnsi="Arial" w:cs="Arial"/>
        </w:rPr>
        <w:t xml:space="preserve"> </w:t>
      </w:r>
    </w:p>
    <w:p w:rsidR="004B2040" w:rsidRPr="004D4476" w:rsidRDefault="004B2040" w:rsidP="004B2040">
      <w:pPr>
        <w:jc w:val="both"/>
        <w:rPr>
          <w:rFonts w:cs="Arial"/>
          <w:b/>
          <w:bCs/>
          <w:iCs/>
          <w:lang w:eastAsia="en-AU"/>
        </w:rPr>
      </w:pPr>
      <w:r w:rsidRPr="004D4476">
        <w:rPr>
          <w:rFonts w:cs="Arial"/>
          <w:b/>
          <w:bCs/>
          <w:iCs/>
          <w:lang w:eastAsia="en-AU"/>
        </w:rPr>
        <w:t xml:space="preserve">Initiatives </w:t>
      </w:r>
    </w:p>
    <w:p w:rsidR="004B2040" w:rsidRPr="004D4476" w:rsidRDefault="004B2040" w:rsidP="004B2040">
      <w:pPr>
        <w:jc w:val="both"/>
        <w:rPr>
          <w:rFonts w:cs="Arial"/>
        </w:rPr>
      </w:pP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 xml:space="preserve">Undertake carpark improvement works at Hughes Park </w:t>
      </w:r>
      <w:r w:rsidR="001C500B" w:rsidRPr="004D4476">
        <w:rPr>
          <w:rFonts w:ascii="Arial" w:hAnsi="Arial" w:cs="Arial"/>
        </w:rPr>
        <w:t xml:space="preserve">in </w:t>
      </w:r>
      <w:r w:rsidRPr="004D4476">
        <w:rPr>
          <w:rFonts w:ascii="Arial" w:hAnsi="Arial" w:cs="Arial"/>
        </w:rPr>
        <w:t xml:space="preserve">Croydon North; </w:t>
      </w:r>
      <w:proofErr w:type="spellStart"/>
      <w:r w:rsidRPr="004D4476">
        <w:rPr>
          <w:rFonts w:ascii="Arial" w:hAnsi="Arial" w:cs="Arial"/>
        </w:rPr>
        <w:t>Merrindale</w:t>
      </w:r>
      <w:proofErr w:type="spellEnd"/>
      <w:r w:rsidRPr="004D4476">
        <w:rPr>
          <w:rFonts w:ascii="Arial" w:hAnsi="Arial" w:cs="Arial"/>
        </w:rPr>
        <w:t xml:space="preserve"> Shopping Centre</w:t>
      </w:r>
      <w:r w:rsidR="001C500B" w:rsidRPr="004D4476">
        <w:rPr>
          <w:rFonts w:ascii="Arial" w:hAnsi="Arial" w:cs="Arial"/>
        </w:rPr>
        <w:t xml:space="preserve"> in </w:t>
      </w:r>
      <w:r w:rsidRPr="004D4476">
        <w:rPr>
          <w:rFonts w:ascii="Arial" w:hAnsi="Arial" w:cs="Arial"/>
        </w:rPr>
        <w:t xml:space="preserve">Croydon South; and Ainslie Park </w:t>
      </w:r>
      <w:r w:rsidR="009A4124" w:rsidRPr="004D4476">
        <w:rPr>
          <w:rFonts w:ascii="Arial" w:hAnsi="Arial" w:cs="Arial"/>
        </w:rPr>
        <w:t xml:space="preserve">in </w:t>
      </w:r>
      <w:r w:rsidRPr="004D4476">
        <w:rPr>
          <w:rFonts w:ascii="Arial" w:hAnsi="Arial" w:cs="Arial"/>
        </w:rPr>
        <w:t>Croydon</w:t>
      </w: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 xml:space="preserve">Advocate to the </w:t>
      </w:r>
      <w:r w:rsidR="00760CA2" w:rsidRPr="004D4476">
        <w:rPr>
          <w:rFonts w:ascii="Arial" w:hAnsi="Arial" w:cs="Arial"/>
        </w:rPr>
        <w:t>Australian</w:t>
      </w:r>
      <w:r w:rsidRPr="004D4476">
        <w:rPr>
          <w:rFonts w:ascii="Arial" w:hAnsi="Arial" w:cs="Arial"/>
        </w:rPr>
        <w:t xml:space="preserve"> and Victorian Government for provision of new and upgraded major transportation infrastructure in Maroondah; including freeway connections, upgrade to arterial roads and intersections and major public transport enhancements</w:t>
      </w: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Deliver an expanded footpath construction program</w:t>
      </w: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Implement the Maroondah Carparking Framework action plan</w:t>
      </w: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 xml:space="preserve">Undertake road renewal works for Emerald Street </w:t>
      </w:r>
      <w:r w:rsidR="00C27082" w:rsidRPr="004D4476">
        <w:rPr>
          <w:rFonts w:ascii="Arial" w:hAnsi="Arial" w:cs="Arial"/>
        </w:rPr>
        <w:t xml:space="preserve">in </w:t>
      </w:r>
      <w:r w:rsidRPr="004D4476">
        <w:rPr>
          <w:rFonts w:ascii="Arial" w:hAnsi="Arial" w:cs="Arial"/>
        </w:rPr>
        <w:t>Ringwood; and Norton Road</w:t>
      </w:r>
      <w:r w:rsidR="00C27082" w:rsidRPr="004D4476">
        <w:rPr>
          <w:rFonts w:ascii="Arial" w:hAnsi="Arial" w:cs="Arial"/>
        </w:rPr>
        <w:t xml:space="preserve"> in</w:t>
      </w:r>
      <w:r w:rsidRPr="004D4476">
        <w:rPr>
          <w:rFonts w:ascii="Arial" w:hAnsi="Arial" w:cs="Arial"/>
        </w:rPr>
        <w:t xml:space="preserve"> Croydon</w:t>
      </w:r>
    </w:p>
    <w:p w:rsidR="00B9671A" w:rsidRPr="004D4476" w:rsidRDefault="00B9671A" w:rsidP="00274DF7">
      <w:pPr>
        <w:pStyle w:val="ListParagraph"/>
        <w:numPr>
          <w:ilvl w:val="0"/>
          <w:numId w:val="9"/>
        </w:numPr>
        <w:ind w:left="426" w:hanging="426"/>
        <w:jc w:val="both"/>
        <w:rPr>
          <w:rFonts w:ascii="Arial" w:hAnsi="Arial" w:cs="Arial"/>
        </w:rPr>
      </w:pPr>
      <w:r w:rsidRPr="004D4476">
        <w:rPr>
          <w:rFonts w:ascii="Arial" w:hAnsi="Arial" w:cs="Arial"/>
        </w:rPr>
        <w:t xml:space="preserve">Work in partnership to implement intersection improvement works at the corner of Reilly Street and Wantirna Road </w:t>
      </w:r>
      <w:r w:rsidR="00A26D5E" w:rsidRPr="004D4476">
        <w:rPr>
          <w:rFonts w:ascii="Arial" w:hAnsi="Arial" w:cs="Arial"/>
        </w:rPr>
        <w:t xml:space="preserve">in </w:t>
      </w:r>
      <w:r w:rsidRPr="004D4476">
        <w:rPr>
          <w:rFonts w:ascii="Arial" w:hAnsi="Arial" w:cs="Arial"/>
        </w:rPr>
        <w:t xml:space="preserve">Ringwood; and Plymouth Road and </w:t>
      </w:r>
      <w:proofErr w:type="spellStart"/>
      <w:r w:rsidRPr="004D4476">
        <w:rPr>
          <w:rFonts w:ascii="Arial" w:hAnsi="Arial" w:cs="Arial"/>
        </w:rPr>
        <w:t>Kirtain</w:t>
      </w:r>
      <w:proofErr w:type="spellEnd"/>
      <w:r w:rsidRPr="004D4476">
        <w:rPr>
          <w:rFonts w:ascii="Arial" w:hAnsi="Arial" w:cs="Arial"/>
        </w:rPr>
        <w:t xml:space="preserve"> Drive </w:t>
      </w:r>
      <w:r w:rsidR="00A26D5E" w:rsidRPr="004D4476">
        <w:rPr>
          <w:rFonts w:ascii="Arial" w:hAnsi="Arial" w:cs="Arial"/>
        </w:rPr>
        <w:t xml:space="preserve">in </w:t>
      </w:r>
      <w:r w:rsidRPr="004D4476">
        <w:rPr>
          <w:rFonts w:ascii="Arial" w:hAnsi="Arial" w:cs="Arial"/>
        </w:rPr>
        <w:t>Croydon</w:t>
      </w:r>
    </w:p>
    <w:p w:rsidR="004B2040" w:rsidRDefault="004B2040" w:rsidP="0065738F">
      <w:pPr>
        <w:pStyle w:val="Heading3"/>
        <w:rPr>
          <w:lang w:eastAsia="en-AU"/>
        </w:rPr>
      </w:pPr>
      <w:r w:rsidRPr="00B96C50">
        <w:rPr>
          <w:color w:val="FF0000"/>
        </w:rPr>
        <w:br w:type="page"/>
      </w:r>
      <w:bookmarkStart w:id="111" w:name="_Toc481072880"/>
      <w:bookmarkStart w:id="112" w:name="_Toc481077418"/>
      <w:bookmarkStart w:id="113" w:name="_Toc481483653"/>
      <w:bookmarkStart w:id="114" w:name="_Toc508984192"/>
      <w:bookmarkStart w:id="115" w:name="_Toc4056372"/>
      <w:r w:rsidRPr="00193764">
        <w:lastRenderedPageBreak/>
        <w:t xml:space="preserve">2.6 Outcome Area (Strategic Objective) 6: </w:t>
      </w:r>
      <w:r w:rsidRPr="00193764">
        <w:rPr>
          <w:lang w:eastAsia="en-AU"/>
        </w:rPr>
        <w:t xml:space="preserve">An attractive, thriving and </w:t>
      </w:r>
      <w:proofErr w:type="spellStart"/>
      <w:proofErr w:type="gramStart"/>
      <w:r w:rsidRPr="00193764">
        <w:rPr>
          <w:lang w:eastAsia="en-AU"/>
        </w:rPr>
        <w:t>well built</w:t>
      </w:r>
      <w:proofErr w:type="spellEnd"/>
      <w:proofErr w:type="gramEnd"/>
      <w:r w:rsidRPr="00193764">
        <w:rPr>
          <w:lang w:eastAsia="en-AU"/>
        </w:rPr>
        <w:t xml:space="preserve"> community</w:t>
      </w:r>
      <w:bookmarkEnd w:id="111"/>
      <w:bookmarkEnd w:id="112"/>
      <w:bookmarkEnd w:id="113"/>
      <w:bookmarkEnd w:id="114"/>
      <w:bookmarkEnd w:id="115"/>
    </w:p>
    <w:p w:rsidR="004B2040" w:rsidRPr="00193764" w:rsidRDefault="004B2040" w:rsidP="004B2040">
      <w:pPr>
        <w:jc w:val="both"/>
        <w:rPr>
          <w:rFonts w:cs="Arial"/>
          <w:b/>
          <w:color w:val="C00000"/>
        </w:rPr>
      </w:pPr>
    </w:p>
    <w:tbl>
      <w:tblPr>
        <w:tblW w:w="5000" w:type="pct"/>
        <w:tblLook w:val="04A0" w:firstRow="1" w:lastRow="0" w:firstColumn="1" w:lastColumn="0" w:noHBand="0" w:noVBand="1"/>
      </w:tblPr>
      <w:tblGrid>
        <w:gridCol w:w="6732"/>
        <w:gridCol w:w="576"/>
        <w:gridCol w:w="1012"/>
        <w:gridCol w:w="1134"/>
        <w:gridCol w:w="1012"/>
      </w:tblGrid>
      <w:tr w:rsidR="00F07554" w:rsidRPr="00F07554" w:rsidTr="00F07554">
        <w:trPr>
          <w:trHeight w:val="300"/>
        </w:trPr>
        <w:tc>
          <w:tcPr>
            <w:tcW w:w="3216" w:type="pct"/>
            <w:vMerge w:val="restart"/>
            <w:tcBorders>
              <w:top w:val="nil"/>
              <w:left w:val="nil"/>
              <w:bottom w:val="nil"/>
              <w:right w:val="nil"/>
            </w:tcBorders>
            <w:shd w:val="clear" w:color="000000" w:fill="5B9BD5"/>
            <w:vAlign w:val="center"/>
            <w:hideMark/>
          </w:tcPr>
          <w:p w:rsidR="00F07554" w:rsidRPr="00F07554" w:rsidRDefault="00F07554" w:rsidP="00F07554">
            <w:pPr>
              <w:rPr>
                <w:rFonts w:eastAsia="Times New Roman" w:cs="Arial"/>
                <w:b/>
                <w:bCs/>
                <w:color w:val="FFFFFF"/>
                <w:lang w:eastAsia="en-AU"/>
              </w:rPr>
            </w:pPr>
            <w:r w:rsidRPr="00F07554">
              <w:rPr>
                <w:rFonts w:eastAsia="Times New Roman" w:cs="Arial"/>
                <w:b/>
                <w:bCs/>
                <w:color w:val="FFFFFF"/>
                <w:lang w:eastAsia="en-AU"/>
              </w:rPr>
              <w:t>Service and Description</w:t>
            </w: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2020/21</w:t>
            </w:r>
          </w:p>
        </w:tc>
      </w:tr>
      <w:tr w:rsidR="00F07554" w:rsidRPr="00F07554" w:rsidTr="00F07554">
        <w:trPr>
          <w:trHeight w:val="600"/>
        </w:trPr>
        <w:tc>
          <w:tcPr>
            <w:tcW w:w="3216" w:type="pct"/>
            <w:vMerge/>
            <w:tcBorders>
              <w:top w:val="nil"/>
              <w:left w:val="nil"/>
              <w:bottom w:val="nil"/>
              <w:right w:val="nil"/>
            </w:tcBorders>
            <w:vAlign w:val="center"/>
            <w:hideMark/>
          </w:tcPr>
          <w:p w:rsidR="00F07554" w:rsidRPr="00F07554" w:rsidRDefault="00F07554" w:rsidP="00F07554">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Budget</w:t>
            </w:r>
          </w:p>
        </w:tc>
      </w:tr>
      <w:tr w:rsidR="00F07554" w:rsidRPr="00F07554" w:rsidTr="00F07554">
        <w:trPr>
          <w:trHeight w:val="300"/>
        </w:trPr>
        <w:tc>
          <w:tcPr>
            <w:tcW w:w="3216" w:type="pct"/>
            <w:vMerge/>
            <w:tcBorders>
              <w:top w:val="nil"/>
              <w:left w:val="nil"/>
              <w:bottom w:val="nil"/>
              <w:right w:val="nil"/>
            </w:tcBorders>
            <w:vAlign w:val="center"/>
            <w:hideMark/>
          </w:tcPr>
          <w:p w:rsidR="00F07554" w:rsidRPr="00F07554" w:rsidRDefault="00F07554" w:rsidP="00F07554">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r>
      <w:tr w:rsidR="00F07554" w:rsidRPr="00F07554" w:rsidTr="00F07554">
        <w:trPr>
          <w:trHeight w:val="525"/>
        </w:trPr>
        <w:tc>
          <w:tcPr>
            <w:tcW w:w="3216" w:type="pct"/>
            <w:tcBorders>
              <w:top w:val="nil"/>
              <w:left w:val="nil"/>
              <w:bottom w:val="single" w:sz="4" w:space="0" w:color="auto"/>
              <w:right w:val="nil"/>
            </w:tcBorders>
            <w:shd w:val="clear" w:color="auto" w:fill="auto"/>
            <w:noWrap/>
            <w:vAlign w:val="center"/>
            <w:hideMark/>
          </w:tcPr>
          <w:p w:rsidR="00F07554" w:rsidRPr="00F07554" w:rsidRDefault="00F07554" w:rsidP="00F07554">
            <w:pPr>
              <w:rPr>
                <w:rFonts w:eastAsia="Times New Roman" w:cs="Arial"/>
                <w:b/>
                <w:bCs/>
                <w:color w:val="5B9BD5"/>
                <w:lang w:eastAsia="en-AU"/>
              </w:rPr>
            </w:pPr>
            <w:r w:rsidRPr="00F07554">
              <w:rPr>
                <w:rFonts w:eastAsia="Times New Roman" w:cs="Arial"/>
                <w:b/>
                <w:bCs/>
                <w:color w:val="5B9BD5"/>
                <w:lang w:eastAsia="en-AU"/>
              </w:rPr>
              <w:t>Building Services</w:t>
            </w:r>
          </w:p>
        </w:tc>
        <w:tc>
          <w:tcPr>
            <w:tcW w:w="275"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p>
        </w:tc>
      </w:tr>
      <w:tr w:rsidR="00F07554" w:rsidRPr="00F07554" w:rsidTr="00F07554">
        <w:trPr>
          <w:trHeight w:val="360"/>
        </w:trPr>
        <w:tc>
          <w:tcPr>
            <w:tcW w:w="3216" w:type="pct"/>
            <w:vMerge w:val="restart"/>
            <w:tcBorders>
              <w:top w:val="nil"/>
              <w:left w:val="nil"/>
              <w:bottom w:val="single" w:sz="4" w:space="0" w:color="000000"/>
              <w:right w:val="nil"/>
            </w:tcBorders>
            <w:shd w:val="clear" w:color="auto" w:fill="auto"/>
            <w:hideMark/>
          </w:tcPr>
          <w:p w:rsidR="00F07554" w:rsidRPr="00ED779B" w:rsidRDefault="00F07554" w:rsidP="00F07554">
            <w:pPr>
              <w:pStyle w:val="NoSpacing"/>
              <w:jc w:val="both"/>
              <w:rPr>
                <w:rFonts w:cs="Arial"/>
              </w:rPr>
            </w:pPr>
            <w:r w:rsidRPr="00F07554">
              <w:rPr>
                <w:rFonts w:eastAsia="Times New Roman" w:cs="Arial"/>
                <w:color w:val="000000"/>
                <w:lang w:eastAsia="en-AU"/>
              </w:rPr>
              <w:t> </w:t>
            </w:r>
            <w:r w:rsidRPr="00ED779B">
              <w:rPr>
                <w:rFonts w:cs="Arial"/>
              </w:rPr>
              <w:t xml:space="preserve">The Building Services team ensures the compliance of existing and proposed buildings in Maroondah with the Building Act and </w:t>
            </w:r>
            <w:proofErr w:type="gramStart"/>
            <w:r w:rsidRPr="00ED779B">
              <w:rPr>
                <w:rFonts w:cs="Arial"/>
              </w:rPr>
              <w:t>Regulations, and</w:t>
            </w:r>
            <w:proofErr w:type="gramEnd"/>
            <w:r w:rsidRPr="00ED779B">
              <w:rPr>
                <w:rFonts w:cs="Arial"/>
              </w:rPr>
              <w:t xml:space="preserve"> provides advice on variations to Building Regulations and swimming pool/spa safety barriers, building permits and inspections.</w:t>
            </w:r>
          </w:p>
          <w:p w:rsidR="00F07554" w:rsidRPr="00ED779B" w:rsidRDefault="00F07554" w:rsidP="00F07554">
            <w:pPr>
              <w:pStyle w:val="NoSpacing"/>
              <w:jc w:val="both"/>
              <w:rPr>
                <w:rFonts w:cs="Arial"/>
              </w:rPr>
            </w:pPr>
            <w:r w:rsidRPr="00ED779B">
              <w:rPr>
                <w:rFonts w:cs="Arial"/>
              </w:rPr>
              <w:t>The Building Services team also issue building permits for building works and conduct the inspections related to the permits issued.</w:t>
            </w:r>
          </w:p>
          <w:p w:rsidR="00F07554" w:rsidRPr="00F07554" w:rsidRDefault="00F07554" w:rsidP="00F07554">
            <w:pPr>
              <w:jc w:val="both"/>
              <w:rPr>
                <w:rFonts w:eastAsia="Times New Roman" w:cs="Arial"/>
                <w:color w:val="000000"/>
                <w:lang w:eastAsia="en-AU"/>
              </w:rPr>
            </w:pPr>
            <w:r w:rsidRPr="00ED779B">
              <w:rPr>
                <w:rFonts w:cs="Arial"/>
              </w:rPr>
              <w:t>The team also perform a statutory function relating to report and consent (dispensation) applications and Hoarding Permits under the Building Regulations, co-ordinate Section 29A reports for demolition and provide property and building permit information on application</w:t>
            </w:r>
          </w:p>
        </w:tc>
        <w:tc>
          <w:tcPr>
            <w:tcW w:w="275" w:type="pct"/>
            <w:tcBorders>
              <w:top w:val="nil"/>
              <w:left w:val="nil"/>
              <w:bottom w:val="nil"/>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1,154</w:t>
            </w:r>
          </w:p>
        </w:tc>
        <w:tc>
          <w:tcPr>
            <w:tcW w:w="542"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1,150</w:t>
            </w:r>
          </w:p>
        </w:tc>
        <w:tc>
          <w:tcPr>
            <w:tcW w:w="483" w:type="pct"/>
            <w:tcBorders>
              <w:top w:val="single" w:sz="4" w:space="0" w:color="auto"/>
              <w:left w:val="nil"/>
              <w:bottom w:val="nil"/>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1,352</w:t>
            </w:r>
          </w:p>
        </w:tc>
      </w:tr>
      <w:tr w:rsidR="00F07554" w:rsidRPr="00F07554" w:rsidTr="00F07554">
        <w:trPr>
          <w:trHeight w:val="36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(470)</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(355)</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(700)</w:t>
            </w:r>
          </w:p>
        </w:tc>
      </w:tr>
      <w:tr w:rsidR="00F07554" w:rsidRPr="00F07554" w:rsidTr="00F07554">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b/>
                <w:bCs/>
                <w:sz w:val="18"/>
                <w:szCs w:val="18"/>
                <w:lang w:eastAsia="en-AU"/>
              </w:rPr>
            </w:pPr>
            <w:r w:rsidRPr="00F07554">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684</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795</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652</w:t>
            </w:r>
          </w:p>
        </w:tc>
      </w:tr>
      <w:tr w:rsidR="00F07554" w:rsidRPr="00F07554" w:rsidTr="00F07554">
        <w:trPr>
          <w:trHeight w:val="525"/>
        </w:trPr>
        <w:tc>
          <w:tcPr>
            <w:tcW w:w="3216" w:type="pct"/>
            <w:tcBorders>
              <w:top w:val="nil"/>
              <w:left w:val="nil"/>
              <w:bottom w:val="single" w:sz="4" w:space="0" w:color="auto"/>
              <w:right w:val="nil"/>
            </w:tcBorders>
            <w:shd w:val="clear" w:color="auto" w:fill="auto"/>
            <w:noWrap/>
            <w:vAlign w:val="center"/>
            <w:hideMark/>
          </w:tcPr>
          <w:p w:rsidR="00F07554" w:rsidRPr="00F07554" w:rsidRDefault="00F07554" w:rsidP="00F07554">
            <w:pPr>
              <w:rPr>
                <w:rFonts w:eastAsia="Times New Roman" w:cs="Arial"/>
                <w:b/>
                <w:bCs/>
                <w:color w:val="5B9BD5"/>
                <w:lang w:eastAsia="en-AU"/>
              </w:rPr>
            </w:pPr>
            <w:r w:rsidRPr="00F07554">
              <w:rPr>
                <w:rFonts w:eastAsia="Times New Roman" w:cs="Arial"/>
                <w:b/>
                <w:bCs/>
                <w:color w:val="5B9BD5"/>
                <w:lang w:eastAsia="en-AU"/>
              </w:rPr>
              <w:t>Built Environment</w:t>
            </w:r>
          </w:p>
        </w:tc>
        <w:tc>
          <w:tcPr>
            <w:tcW w:w="275"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p>
        </w:tc>
      </w:tr>
      <w:tr w:rsidR="00F07554" w:rsidRPr="00F07554" w:rsidTr="00F07554">
        <w:trPr>
          <w:trHeight w:val="300"/>
        </w:trPr>
        <w:tc>
          <w:tcPr>
            <w:tcW w:w="3216" w:type="pct"/>
            <w:vMerge w:val="restart"/>
            <w:tcBorders>
              <w:top w:val="nil"/>
              <w:left w:val="nil"/>
              <w:bottom w:val="single" w:sz="4" w:space="0" w:color="000000"/>
              <w:right w:val="nil"/>
            </w:tcBorders>
            <w:shd w:val="clear" w:color="auto" w:fill="auto"/>
            <w:hideMark/>
          </w:tcPr>
          <w:p w:rsidR="00F07554" w:rsidRPr="00F07554" w:rsidRDefault="00F07554" w:rsidP="00F07554">
            <w:pPr>
              <w:jc w:val="both"/>
              <w:rPr>
                <w:rFonts w:eastAsia="Times New Roman" w:cs="Arial"/>
                <w:color w:val="000000"/>
                <w:lang w:eastAsia="en-AU"/>
              </w:rPr>
            </w:pPr>
            <w:r w:rsidRPr="00AE65FD">
              <w:rPr>
                <w:rFonts w:eastAsia="Times New Roman" w:cs="Arial"/>
                <w:color w:val="000000"/>
                <w:lang w:eastAsia="en-AU"/>
              </w:rPr>
              <w:t> </w:t>
            </w:r>
            <w:r w:rsidRPr="007B5B6A">
              <w:rPr>
                <w:rFonts w:cs="Arial"/>
              </w:rPr>
              <w:t>This team provides pro-active and reactive maintenance of Council’s infrastructure assets including roads, footpaths and drains. The team also provides pro-active cleaning of all drainage pits within road reserves, programmed street sweeping, public toilet &amp; BBQ cleaning and graffiti removal.</w:t>
            </w:r>
          </w:p>
        </w:tc>
        <w:tc>
          <w:tcPr>
            <w:tcW w:w="275" w:type="pct"/>
            <w:tcBorders>
              <w:top w:val="nil"/>
              <w:left w:val="nil"/>
              <w:bottom w:val="nil"/>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7,444</w:t>
            </w:r>
          </w:p>
        </w:tc>
        <w:tc>
          <w:tcPr>
            <w:tcW w:w="542"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7,639</w:t>
            </w:r>
          </w:p>
        </w:tc>
        <w:tc>
          <w:tcPr>
            <w:tcW w:w="483" w:type="pct"/>
            <w:tcBorders>
              <w:top w:val="single" w:sz="4" w:space="0" w:color="auto"/>
              <w:left w:val="nil"/>
              <w:bottom w:val="nil"/>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7,590</w:t>
            </w:r>
          </w:p>
        </w:tc>
      </w:tr>
      <w:tr w:rsidR="00F07554" w:rsidRPr="00F07554" w:rsidTr="00F07554">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(49)</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(51)</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(50)</w:t>
            </w:r>
          </w:p>
        </w:tc>
      </w:tr>
      <w:tr w:rsidR="00F07554" w:rsidRPr="00F07554" w:rsidTr="00F07554">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b/>
                <w:bCs/>
                <w:sz w:val="18"/>
                <w:szCs w:val="18"/>
                <w:lang w:eastAsia="en-AU"/>
              </w:rPr>
            </w:pPr>
            <w:r w:rsidRPr="00F07554">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7,395</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7,589</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7,540</w:t>
            </w:r>
          </w:p>
        </w:tc>
      </w:tr>
      <w:tr w:rsidR="00F07554" w:rsidRPr="00F07554" w:rsidTr="00F07554">
        <w:trPr>
          <w:trHeight w:val="525"/>
        </w:trPr>
        <w:tc>
          <w:tcPr>
            <w:tcW w:w="3216" w:type="pct"/>
            <w:tcBorders>
              <w:top w:val="nil"/>
              <w:left w:val="nil"/>
              <w:bottom w:val="single" w:sz="4" w:space="0" w:color="auto"/>
              <w:right w:val="nil"/>
            </w:tcBorders>
            <w:shd w:val="clear" w:color="auto" w:fill="auto"/>
            <w:noWrap/>
            <w:vAlign w:val="center"/>
            <w:hideMark/>
          </w:tcPr>
          <w:p w:rsidR="00F07554" w:rsidRPr="00F07554" w:rsidRDefault="00F07554" w:rsidP="00F07554">
            <w:pPr>
              <w:rPr>
                <w:rFonts w:eastAsia="Times New Roman" w:cs="Arial"/>
                <w:b/>
                <w:bCs/>
                <w:color w:val="5B9BD5"/>
                <w:lang w:eastAsia="en-AU"/>
              </w:rPr>
            </w:pPr>
            <w:r w:rsidRPr="00F07554">
              <w:rPr>
                <w:rFonts w:eastAsia="Times New Roman" w:cs="Arial"/>
                <w:b/>
                <w:bCs/>
                <w:color w:val="5B9BD5"/>
                <w:lang w:eastAsia="en-AU"/>
              </w:rPr>
              <w:t>Statutory Planning</w:t>
            </w:r>
          </w:p>
        </w:tc>
        <w:tc>
          <w:tcPr>
            <w:tcW w:w="275"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p>
        </w:tc>
      </w:tr>
      <w:tr w:rsidR="00F07554" w:rsidRPr="00F07554" w:rsidTr="00F07554">
        <w:trPr>
          <w:trHeight w:val="360"/>
        </w:trPr>
        <w:tc>
          <w:tcPr>
            <w:tcW w:w="3216" w:type="pct"/>
            <w:vMerge w:val="restart"/>
            <w:tcBorders>
              <w:top w:val="nil"/>
              <w:left w:val="nil"/>
              <w:bottom w:val="single" w:sz="4" w:space="0" w:color="000000"/>
              <w:right w:val="nil"/>
            </w:tcBorders>
            <w:shd w:val="clear" w:color="auto" w:fill="auto"/>
            <w:hideMark/>
          </w:tcPr>
          <w:p w:rsidR="00F07554" w:rsidRPr="00ED779B" w:rsidRDefault="00F07554" w:rsidP="00F07554">
            <w:pPr>
              <w:pStyle w:val="NoSpacing"/>
              <w:jc w:val="both"/>
              <w:rPr>
                <w:rFonts w:cs="Arial"/>
                <w:lang w:eastAsia="en-AU"/>
              </w:rPr>
            </w:pPr>
            <w:r w:rsidRPr="00F07554">
              <w:rPr>
                <w:rFonts w:eastAsia="Times New Roman" w:cs="Arial"/>
                <w:color w:val="000000"/>
                <w:lang w:eastAsia="en-AU"/>
              </w:rPr>
              <w:t> </w:t>
            </w:r>
            <w:r w:rsidRPr="00ED779B">
              <w:rPr>
                <w:rFonts w:cs="Arial"/>
                <w:lang w:eastAsia="en-AU"/>
              </w:rPr>
              <w:t xml:space="preserve">Council has the responsibility for delivering town planning land use and development advice and assessments to diverse residential and commercial communities. These residential and commercial land uses are set in a unique urban environment with high levels of amenity protected by various landscape and environmental controls as set out in the Maroondah Planning Scheme. </w:t>
            </w:r>
          </w:p>
          <w:p w:rsidR="00F07554" w:rsidRPr="00ED779B" w:rsidRDefault="00F07554" w:rsidP="00F07554">
            <w:pPr>
              <w:spacing w:before="20"/>
              <w:jc w:val="both"/>
              <w:rPr>
                <w:rFonts w:cs="Arial"/>
                <w:lang w:eastAsia="en-AU"/>
              </w:rPr>
            </w:pPr>
            <w:r w:rsidRPr="00ED779B">
              <w:rPr>
                <w:rFonts w:cs="Arial"/>
                <w:lang w:eastAsia="en-AU"/>
              </w:rPr>
              <w:t xml:space="preserve">The role of statutory planning is to manage and consult with the community on changes and ensure that such changes are to the social, environmental and economic betterment of the City. </w:t>
            </w:r>
          </w:p>
          <w:p w:rsidR="00F07554" w:rsidRPr="00F07554" w:rsidRDefault="00F07554" w:rsidP="00F07554">
            <w:pPr>
              <w:jc w:val="both"/>
              <w:rPr>
                <w:rFonts w:eastAsia="Times New Roman" w:cs="Arial"/>
                <w:color w:val="000000"/>
                <w:lang w:eastAsia="en-AU"/>
              </w:rPr>
            </w:pPr>
            <w:r w:rsidRPr="00ED779B">
              <w:rPr>
                <w:rFonts w:cs="Arial"/>
                <w:lang w:eastAsia="en-AU"/>
              </w:rPr>
              <w:t>$2.8m income is restricted for Public Open Space.</w:t>
            </w:r>
          </w:p>
        </w:tc>
        <w:tc>
          <w:tcPr>
            <w:tcW w:w="275" w:type="pct"/>
            <w:tcBorders>
              <w:top w:val="nil"/>
              <w:left w:val="nil"/>
              <w:bottom w:val="nil"/>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2,797</w:t>
            </w:r>
          </w:p>
        </w:tc>
        <w:tc>
          <w:tcPr>
            <w:tcW w:w="542"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2,718</w:t>
            </w:r>
          </w:p>
        </w:tc>
        <w:tc>
          <w:tcPr>
            <w:tcW w:w="483" w:type="pct"/>
            <w:tcBorders>
              <w:top w:val="single" w:sz="4" w:space="0" w:color="auto"/>
              <w:left w:val="nil"/>
              <w:bottom w:val="nil"/>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2,880</w:t>
            </w:r>
          </w:p>
        </w:tc>
      </w:tr>
      <w:tr w:rsidR="00F07554" w:rsidRPr="00F07554" w:rsidTr="00F07554">
        <w:trPr>
          <w:trHeight w:val="36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(6,506)</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(4,835)</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(4,816)</w:t>
            </w:r>
          </w:p>
        </w:tc>
      </w:tr>
      <w:tr w:rsidR="00F07554" w:rsidRPr="00F07554" w:rsidTr="00F07554">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b/>
                <w:bCs/>
                <w:sz w:val="18"/>
                <w:szCs w:val="18"/>
                <w:lang w:eastAsia="en-AU"/>
              </w:rPr>
            </w:pPr>
            <w:r w:rsidRPr="00F07554">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(3,708)</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(2,117)</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(1,936)</w:t>
            </w:r>
          </w:p>
        </w:tc>
      </w:tr>
    </w:tbl>
    <w:p w:rsidR="00CA5B7F" w:rsidRDefault="00CA5B7F" w:rsidP="004B2040">
      <w:pPr>
        <w:jc w:val="both"/>
        <w:rPr>
          <w:rFonts w:cs="Arial"/>
          <w:b/>
          <w:bCs/>
          <w:iCs/>
          <w:lang w:eastAsia="en-AU"/>
        </w:rPr>
      </w:pPr>
    </w:p>
    <w:p w:rsidR="00CA5B7F" w:rsidRDefault="00CA5B7F">
      <w:pPr>
        <w:rPr>
          <w:rFonts w:cs="Arial"/>
          <w:b/>
          <w:bCs/>
          <w:iCs/>
          <w:lang w:eastAsia="en-AU"/>
        </w:rPr>
      </w:pPr>
      <w:r>
        <w:rPr>
          <w:rFonts w:cs="Arial"/>
          <w:b/>
          <w:bCs/>
          <w:iCs/>
          <w:lang w:eastAsia="en-AU"/>
        </w:rPr>
        <w:br w:type="page"/>
      </w:r>
    </w:p>
    <w:tbl>
      <w:tblPr>
        <w:tblW w:w="5000" w:type="pct"/>
        <w:tblLook w:val="04A0" w:firstRow="1" w:lastRow="0" w:firstColumn="1" w:lastColumn="0" w:noHBand="0" w:noVBand="1"/>
      </w:tblPr>
      <w:tblGrid>
        <w:gridCol w:w="6732"/>
        <w:gridCol w:w="576"/>
        <w:gridCol w:w="1012"/>
        <w:gridCol w:w="1134"/>
        <w:gridCol w:w="1012"/>
      </w:tblGrid>
      <w:tr w:rsidR="00F07554" w:rsidRPr="00F07554" w:rsidTr="00CA5B7F">
        <w:trPr>
          <w:trHeight w:val="300"/>
        </w:trPr>
        <w:tc>
          <w:tcPr>
            <w:tcW w:w="3216" w:type="pct"/>
            <w:vMerge w:val="restart"/>
            <w:tcBorders>
              <w:top w:val="nil"/>
              <w:left w:val="nil"/>
              <w:bottom w:val="nil"/>
              <w:right w:val="nil"/>
            </w:tcBorders>
            <w:shd w:val="clear" w:color="000000" w:fill="5B9BD5"/>
            <w:vAlign w:val="center"/>
            <w:hideMark/>
          </w:tcPr>
          <w:p w:rsidR="00F07554" w:rsidRPr="00F07554" w:rsidRDefault="00F07554" w:rsidP="00F07554">
            <w:pPr>
              <w:rPr>
                <w:rFonts w:eastAsia="Times New Roman" w:cs="Arial"/>
                <w:b/>
                <w:bCs/>
                <w:color w:val="FFFFFF"/>
                <w:lang w:eastAsia="en-AU"/>
              </w:rPr>
            </w:pPr>
            <w:r w:rsidRPr="00F07554">
              <w:rPr>
                <w:rFonts w:eastAsia="Times New Roman" w:cs="Arial"/>
                <w:b/>
                <w:bCs/>
                <w:color w:val="FFFFFF"/>
                <w:lang w:eastAsia="en-AU"/>
              </w:rPr>
              <w:lastRenderedPageBreak/>
              <w:t>Service and Description</w:t>
            </w: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2020/21</w:t>
            </w:r>
          </w:p>
        </w:tc>
      </w:tr>
      <w:tr w:rsidR="00F07554" w:rsidRPr="00F07554" w:rsidTr="00CA5B7F">
        <w:trPr>
          <w:trHeight w:val="600"/>
        </w:trPr>
        <w:tc>
          <w:tcPr>
            <w:tcW w:w="3216" w:type="pct"/>
            <w:vMerge/>
            <w:tcBorders>
              <w:top w:val="nil"/>
              <w:left w:val="nil"/>
              <w:bottom w:val="nil"/>
              <w:right w:val="nil"/>
            </w:tcBorders>
            <w:vAlign w:val="center"/>
            <w:hideMark/>
          </w:tcPr>
          <w:p w:rsidR="00F07554" w:rsidRPr="00F07554" w:rsidRDefault="00F07554" w:rsidP="00F07554">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Budget</w:t>
            </w:r>
          </w:p>
        </w:tc>
      </w:tr>
      <w:tr w:rsidR="00F07554" w:rsidRPr="00F07554" w:rsidTr="00CA5B7F">
        <w:trPr>
          <w:trHeight w:val="300"/>
        </w:trPr>
        <w:tc>
          <w:tcPr>
            <w:tcW w:w="3216" w:type="pct"/>
            <w:vMerge/>
            <w:tcBorders>
              <w:top w:val="nil"/>
              <w:left w:val="nil"/>
              <w:bottom w:val="nil"/>
              <w:right w:val="nil"/>
            </w:tcBorders>
            <w:vAlign w:val="center"/>
            <w:hideMark/>
          </w:tcPr>
          <w:p w:rsidR="00F07554" w:rsidRPr="00F07554" w:rsidRDefault="00F07554" w:rsidP="00F07554">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F07554" w:rsidRPr="00F07554" w:rsidRDefault="00F07554" w:rsidP="00F07554">
            <w:pPr>
              <w:jc w:val="center"/>
              <w:rPr>
                <w:rFonts w:eastAsia="Times New Roman" w:cs="Arial"/>
                <w:b/>
                <w:bCs/>
                <w:color w:val="FFFFFF"/>
                <w:lang w:eastAsia="en-AU"/>
              </w:rPr>
            </w:pPr>
            <w:r w:rsidRPr="00F07554">
              <w:rPr>
                <w:rFonts w:eastAsia="Times New Roman" w:cs="Arial"/>
                <w:b/>
                <w:bCs/>
                <w:color w:val="FFFFFF"/>
                <w:lang w:eastAsia="en-AU"/>
              </w:rPr>
              <w:t>$'000</w:t>
            </w:r>
          </w:p>
        </w:tc>
      </w:tr>
      <w:tr w:rsidR="00F07554" w:rsidRPr="00F07554" w:rsidTr="00CA5B7F">
        <w:trPr>
          <w:trHeight w:val="525"/>
        </w:trPr>
        <w:tc>
          <w:tcPr>
            <w:tcW w:w="3216" w:type="pct"/>
            <w:tcBorders>
              <w:top w:val="nil"/>
              <w:left w:val="nil"/>
              <w:bottom w:val="single" w:sz="4" w:space="0" w:color="auto"/>
              <w:right w:val="nil"/>
            </w:tcBorders>
            <w:shd w:val="clear" w:color="auto" w:fill="auto"/>
            <w:noWrap/>
            <w:vAlign w:val="center"/>
            <w:hideMark/>
          </w:tcPr>
          <w:p w:rsidR="00F07554" w:rsidRPr="00F07554" w:rsidRDefault="00F07554" w:rsidP="00F07554">
            <w:pPr>
              <w:rPr>
                <w:rFonts w:eastAsia="Times New Roman" w:cs="Arial"/>
                <w:b/>
                <w:bCs/>
                <w:color w:val="5B9BD5"/>
                <w:lang w:eastAsia="en-AU"/>
              </w:rPr>
            </w:pPr>
            <w:r w:rsidRPr="00F07554">
              <w:rPr>
                <w:rFonts w:eastAsia="Times New Roman" w:cs="Arial"/>
                <w:b/>
                <w:bCs/>
                <w:color w:val="5B9BD5"/>
                <w:lang w:eastAsia="en-AU"/>
              </w:rPr>
              <w:t>Strategic Planning and Sustainability</w:t>
            </w:r>
          </w:p>
        </w:tc>
        <w:tc>
          <w:tcPr>
            <w:tcW w:w="275"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r w:rsidRPr="00F07554">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F07554" w:rsidRPr="00F07554" w:rsidRDefault="00F07554" w:rsidP="00F07554">
            <w:pPr>
              <w:jc w:val="center"/>
              <w:rPr>
                <w:rFonts w:eastAsia="Times New Roman" w:cs="Arial"/>
                <w:b/>
                <w:bCs/>
                <w:color w:val="FFFFFF"/>
                <w:sz w:val="18"/>
                <w:szCs w:val="18"/>
                <w:lang w:eastAsia="en-AU"/>
              </w:rPr>
            </w:pPr>
          </w:p>
        </w:tc>
      </w:tr>
      <w:tr w:rsidR="00F07554" w:rsidRPr="00F07554" w:rsidTr="00CA5B7F">
        <w:trPr>
          <w:trHeight w:val="300"/>
        </w:trPr>
        <w:tc>
          <w:tcPr>
            <w:tcW w:w="3216" w:type="pct"/>
            <w:vMerge w:val="restart"/>
            <w:tcBorders>
              <w:top w:val="nil"/>
              <w:left w:val="nil"/>
              <w:bottom w:val="single" w:sz="4" w:space="0" w:color="000000"/>
              <w:right w:val="nil"/>
            </w:tcBorders>
            <w:shd w:val="clear" w:color="auto" w:fill="auto"/>
            <w:hideMark/>
          </w:tcPr>
          <w:p w:rsidR="00F07554" w:rsidRPr="00F07554" w:rsidRDefault="00F07554" w:rsidP="00F07554">
            <w:pPr>
              <w:jc w:val="both"/>
              <w:rPr>
                <w:rFonts w:ascii="Calibri" w:hAnsi="Calibri"/>
              </w:rPr>
            </w:pPr>
            <w:r w:rsidRPr="00F07554">
              <w:rPr>
                <w:rFonts w:eastAsia="Times New Roman" w:cs="Arial"/>
                <w:color w:val="000000"/>
                <w:lang w:eastAsia="en-AU"/>
              </w:rPr>
              <w:t> </w:t>
            </w:r>
            <w:r w:rsidRPr="00321FB9">
              <w:t xml:space="preserve">This function carries oversight of the Maroondah Planning Scheme and associated land use controls.  This includes reviewing the Maroondah Planning Scheme, undertaking supporting strategic studies such as neighbourhood character, preparing housing strategies and structure plans for activity centres, identifying and recommending places of heritage significance, preparing and considering planning scheme amendments and working in partnership with a wide range of stakeholders to deliver projects such as Greening the Greyfields and </w:t>
            </w:r>
            <w:proofErr w:type="gramStart"/>
            <w:r w:rsidRPr="00321FB9">
              <w:t>20 minute</w:t>
            </w:r>
            <w:proofErr w:type="gramEnd"/>
            <w:r w:rsidRPr="00321FB9">
              <w:t xml:space="preserve"> neighbourhoods.  The team influences the physical development of Maroondah to secure the most efficient and effective use of land in the public interest and to ensure facilities such as roads, schools and libraries are built where they are needed. This function also assists with the development and implementation of strategic transport policies and strategy with a focus on sustainable transport services and the travel needs of the community. A range of environmental sustainability initiatives are also pursued. This includes support for the Eastern Alliance for Greenhouse Action (EAGA), a formal collaboration of eight Councils in Melbourne’s east, working together on regional programs that reduce greenhouse gas emissions and facilitate regional adaptation.</w:t>
            </w:r>
          </w:p>
        </w:tc>
        <w:tc>
          <w:tcPr>
            <w:tcW w:w="275" w:type="pct"/>
            <w:tcBorders>
              <w:top w:val="nil"/>
              <w:left w:val="nil"/>
              <w:bottom w:val="nil"/>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2,185</w:t>
            </w:r>
          </w:p>
        </w:tc>
        <w:tc>
          <w:tcPr>
            <w:tcW w:w="542" w:type="pct"/>
            <w:tcBorders>
              <w:top w:val="nil"/>
              <w:left w:val="nil"/>
              <w:bottom w:val="nil"/>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2,354</w:t>
            </w:r>
          </w:p>
        </w:tc>
        <w:tc>
          <w:tcPr>
            <w:tcW w:w="483" w:type="pct"/>
            <w:tcBorders>
              <w:top w:val="single" w:sz="4" w:space="0" w:color="auto"/>
              <w:left w:val="nil"/>
              <w:bottom w:val="nil"/>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2,405</w:t>
            </w:r>
          </w:p>
        </w:tc>
      </w:tr>
      <w:tr w:rsidR="00F07554" w:rsidRPr="00F07554" w:rsidTr="00CA5B7F">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sz w:val="18"/>
                <w:szCs w:val="18"/>
                <w:lang w:eastAsia="en-AU"/>
              </w:rPr>
            </w:pPr>
            <w:r w:rsidRPr="00F07554">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(666)</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(446)</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sz w:val="18"/>
                <w:szCs w:val="18"/>
                <w:lang w:eastAsia="en-AU"/>
              </w:rPr>
            </w:pPr>
            <w:r w:rsidRPr="00F07554">
              <w:rPr>
                <w:rFonts w:eastAsia="Times New Roman" w:cs="Arial"/>
                <w:sz w:val="18"/>
                <w:szCs w:val="18"/>
                <w:lang w:eastAsia="en-AU"/>
              </w:rPr>
              <w:t>(347)</w:t>
            </w:r>
          </w:p>
        </w:tc>
      </w:tr>
      <w:tr w:rsidR="00F07554" w:rsidRPr="00F07554" w:rsidTr="00CA5B7F">
        <w:trPr>
          <w:trHeight w:val="300"/>
        </w:trPr>
        <w:tc>
          <w:tcPr>
            <w:tcW w:w="3216" w:type="pct"/>
            <w:vMerge/>
            <w:tcBorders>
              <w:top w:val="nil"/>
              <w:left w:val="nil"/>
              <w:bottom w:val="single" w:sz="4" w:space="0" w:color="000000"/>
              <w:right w:val="nil"/>
            </w:tcBorders>
            <w:vAlign w:val="center"/>
            <w:hideMark/>
          </w:tcPr>
          <w:p w:rsidR="00F07554" w:rsidRPr="00F07554" w:rsidRDefault="00F07554" w:rsidP="00F07554">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F07554" w:rsidRPr="00F07554" w:rsidRDefault="00F07554" w:rsidP="00F07554">
            <w:pPr>
              <w:rPr>
                <w:rFonts w:eastAsia="Times New Roman" w:cs="Arial"/>
                <w:b/>
                <w:bCs/>
                <w:sz w:val="18"/>
                <w:szCs w:val="18"/>
                <w:lang w:eastAsia="en-AU"/>
              </w:rPr>
            </w:pPr>
            <w:r w:rsidRPr="00F07554">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1,519</w:t>
            </w:r>
          </w:p>
        </w:tc>
        <w:tc>
          <w:tcPr>
            <w:tcW w:w="542" w:type="pct"/>
            <w:tcBorders>
              <w:top w:val="nil"/>
              <w:left w:val="nil"/>
              <w:bottom w:val="single" w:sz="4" w:space="0" w:color="auto"/>
              <w:right w:val="nil"/>
            </w:tcBorders>
            <w:shd w:val="clear" w:color="000000" w:fill="FFFFFF"/>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1,908</w:t>
            </w:r>
          </w:p>
        </w:tc>
        <w:tc>
          <w:tcPr>
            <w:tcW w:w="483" w:type="pct"/>
            <w:tcBorders>
              <w:top w:val="nil"/>
              <w:left w:val="nil"/>
              <w:bottom w:val="single" w:sz="4" w:space="0" w:color="auto"/>
              <w:right w:val="nil"/>
            </w:tcBorders>
            <w:shd w:val="clear" w:color="000000" w:fill="BDD7EE"/>
            <w:hideMark/>
          </w:tcPr>
          <w:p w:rsidR="00F07554" w:rsidRPr="00F07554" w:rsidRDefault="00F07554" w:rsidP="00F07554">
            <w:pPr>
              <w:jc w:val="right"/>
              <w:rPr>
                <w:rFonts w:eastAsia="Times New Roman" w:cs="Arial"/>
                <w:b/>
                <w:bCs/>
                <w:sz w:val="18"/>
                <w:szCs w:val="18"/>
                <w:lang w:eastAsia="en-AU"/>
              </w:rPr>
            </w:pPr>
            <w:r w:rsidRPr="00F07554">
              <w:rPr>
                <w:rFonts w:eastAsia="Times New Roman" w:cs="Arial"/>
                <w:b/>
                <w:bCs/>
                <w:sz w:val="18"/>
                <w:szCs w:val="18"/>
                <w:lang w:eastAsia="en-AU"/>
              </w:rPr>
              <w:t>2,058</w:t>
            </w:r>
          </w:p>
        </w:tc>
      </w:tr>
    </w:tbl>
    <w:p w:rsidR="004B2040" w:rsidRDefault="004B2040" w:rsidP="004B2040">
      <w:pPr>
        <w:rPr>
          <w:rFonts w:cs="Arial"/>
          <w:b/>
        </w:rPr>
      </w:pPr>
    </w:p>
    <w:p w:rsidR="004B2040" w:rsidRDefault="004B2040" w:rsidP="004B2040">
      <w:pPr>
        <w:rPr>
          <w:rFonts w:cs="Arial"/>
          <w:b/>
        </w:rPr>
      </w:pPr>
      <w:r>
        <w:rPr>
          <w:rFonts w:cs="Arial"/>
          <w:b/>
        </w:rPr>
        <w:t xml:space="preserve">Major </w:t>
      </w:r>
      <w:r w:rsidRPr="00AC153F">
        <w:rPr>
          <w:rFonts w:cs="Arial"/>
          <w:b/>
        </w:rPr>
        <w:t>Initiatives</w:t>
      </w:r>
      <w:r>
        <w:rPr>
          <w:rFonts w:cs="Arial"/>
          <w:b/>
        </w:rPr>
        <w:t xml:space="preserve"> (Priority Actions)</w:t>
      </w:r>
    </w:p>
    <w:p w:rsidR="004B2040" w:rsidRPr="00AC153F" w:rsidRDefault="004B2040" w:rsidP="004B2040">
      <w:pPr>
        <w:rPr>
          <w:rFonts w:cs="Arial"/>
          <w:b/>
        </w:rPr>
      </w:pPr>
    </w:p>
    <w:p w:rsidR="005366A3" w:rsidRPr="001D5B3D" w:rsidRDefault="00977445" w:rsidP="00AD14CF">
      <w:pPr>
        <w:pStyle w:val="ListParagraph"/>
        <w:numPr>
          <w:ilvl w:val="0"/>
          <w:numId w:val="9"/>
        </w:numPr>
        <w:jc w:val="both"/>
        <w:rPr>
          <w:rFonts w:ascii="Arial" w:hAnsi="Arial" w:cs="Arial"/>
        </w:rPr>
      </w:pPr>
      <w:r w:rsidRPr="00CE642D">
        <w:rPr>
          <w:rFonts w:ascii="Arial" w:hAnsi="Arial" w:cs="Arial"/>
        </w:rPr>
        <w:t xml:space="preserve"> </w:t>
      </w:r>
      <w:r w:rsidR="005366A3" w:rsidRPr="001D5B3D">
        <w:rPr>
          <w:rFonts w:ascii="Arial" w:hAnsi="Arial" w:cs="Arial"/>
        </w:rPr>
        <w:t>Continue the upgrade of drainage, including flood mitigation works in the Acacia Court catchment in Ringwood; Power Street catchment in Croydon North; and Scenic Avenue catchment in Ringwood East</w:t>
      </w:r>
    </w:p>
    <w:p w:rsidR="00CE642D" w:rsidRPr="001D5B3D" w:rsidRDefault="00CE642D" w:rsidP="00AD14CF">
      <w:pPr>
        <w:pStyle w:val="ListParagraph"/>
        <w:numPr>
          <w:ilvl w:val="0"/>
          <w:numId w:val="9"/>
        </w:numPr>
        <w:jc w:val="both"/>
        <w:rPr>
          <w:rFonts w:ascii="Arial" w:hAnsi="Arial" w:cs="Arial"/>
        </w:rPr>
      </w:pPr>
      <w:r w:rsidRPr="001D5B3D">
        <w:rPr>
          <w:rFonts w:ascii="Arial" w:hAnsi="Arial" w:cs="Arial"/>
        </w:rPr>
        <w:t>Implement the Greening the Greyfields project in partnership with stakeholders to facilitate a sustainable    approach to urban redevelopment in identified residential precincts</w:t>
      </w:r>
    </w:p>
    <w:p w:rsidR="00CE642D" w:rsidRPr="001D5B3D" w:rsidRDefault="00CE642D" w:rsidP="00AD14CF">
      <w:pPr>
        <w:pStyle w:val="ListParagraph"/>
        <w:numPr>
          <w:ilvl w:val="0"/>
          <w:numId w:val="9"/>
        </w:numPr>
        <w:jc w:val="both"/>
        <w:rPr>
          <w:rFonts w:ascii="Arial" w:hAnsi="Arial" w:cs="Arial"/>
        </w:rPr>
      </w:pPr>
      <w:r w:rsidRPr="001D5B3D">
        <w:rPr>
          <w:rFonts w:ascii="Arial" w:hAnsi="Arial" w:cs="Arial"/>
        </w:rPr>
        <w:t xml:space="preserve"> Develop a new Croydon Structure Plan (including urban design guidelines) and commence preparation of a planning scheme amendment to incorporate the policy into the Maroondah Planning Scheme</w:t>
      </w:r>
    </w:p>
    <w:p w:rsidR="00CE642D" w:rsidRPr="001D5B3D" w:rsidRDefault="00CE642D" w:rsidP="00AD14CF">
      <w:pPr>
        <w:pStyle w:val="ListParagraph"/>
        <w:numPr>
          <w:ilvl w:val="0"/>
          <w:numId w:val="9"/>
        </w:numPr>
        <w:jc w:val="both"/>
        <w:rPr>
          <w:rFonts w:ascii="Arial" w:hAnsi="Arial" w:cs="Arial"/>
        </w:rPr>
      </w:pPr>
      <w:r w:rsidRPr="001D5B3D">
        <w:rPr>
          <w:rFonts w:ascii="Arial" w:hAnsi="Arial" w:cs="Arial"/>
        </w:rPr>
        <w:t xml:space="preserve"> Undertake the staged redevelopment of the Croydon Community</w:t>
      </w:r>
      <w:r w:rsidR="005366A3" w:rsidRPr="001D5B3D">
        <w:rPr>
          <w:rFonts w:ascii="Arial" w:hAnsi="Arial" w:cs="Arial"/>
        </w:rPr>
        <w:t xml:space="preserve"> Wellbeing</w:t>
      </w:r>
      <w:r w:rsidRPr="001D5B3D">
        <w:rPr>
          <w:rFonts w:ascii="Arial" w:hAnsi="Arial" w:cs="Arial"/>
        </w:rPr>
        <w:t xml:space="preserve"> Precinct</w:t>
      </w:r>
    </w:p>
    <w:p w:rsidR="00B820C7" w:rsidRPr="001D5B3D" w:rsidRDefault="00B820C7" w:rsidP="00B820C7">
      <w:pPr>
        <w:jc w:val="both"/>
        <w:rPr>
          <w:rFonts w:cs="Arial"/>
          <w:b/>
          <w:bCs/>
          <w:iCs/>
          <w:lang w:eastAsia="en-AU"/>
        </w:rPr>
      </w:pPr>
      <w:r w:rsidRPr="001D5B3D">
        <w:rPr>
          <w:rFonts w:cs="Arial"/>
          <w:b/>
          <w:bCs/>
          <w:iCs/>
          <w:lang w:eastAsia="en-AU"/>
        </w:rPr>
        <w:t>Initiatives</w:t>
      </w:r>
    </w:p>
    <w:p w:rsidR="00B820C7" w:rsidRPr="001D5B3D" w:rsidRDefault="00B820C7" w:rsidP="00B820C7">
      <w:pPr>
        <w:jc w:val="both"/>
        <w:rPr>
          <w:rFonts w:cs="Arial"/>
          <w:b/>
          <w:bCs/>
          <w:iCs/>
          <w:lang w:eastAsia="en-AU"/>
        </w:rPr>
      </w:pPr>
      <w:r w:rsidRPr="001D5B3D">
        <w:rPr>
          <w:rFonts w:cs="Arial"/>
          <w:b/>
          <w:bCs/>
          <w:iCs/>
          <w:lang w:eastAsia="en-AU"/>
        </w:rPr>
        <w:t xml:space="preserve"> </w:t>
      </w:r>
    </w:p>
    <w:p w:rsidR="002E1DFE" w:rsidRPr="001D5B3D" w:rsidRDefault="002E1DFE" w:rsidP="00274DF7">
      <w:pPr>
        <w:pStyle w:val="ListParagraph"/>
        <w:numPr>
          <w:ilvl w:val="0"/>
          <w:numId w:val="9"/>
        </w:numPr>
        <w:ind w:left="426" w:hanging="426"/>
        <w:jc w:val="both"/>
        <w:rPr>
          <w:rFonts w:ascii="Arial" w:hAnsi="Arial" w:cs="Arial"/>
        </w:rPr>
      </w:pPr>
      <w:r w:rsidRPr="001D5B3D">
        <w:rPr>
          <w:rFonts w:ascii="Arial" w:hAnsi="Arial" w:cs="Arial"/>
        </w:rPr>
        <w:t>Develop and implement the Flood Mapping Communications Plan</w:t>
      </w:r>
    </w:p>
    <w:p w:rsidR="00724A2C" w:rsidRPr="001D5B3D" w:rsidRDefault="00724A2C" w:rsidP="00274DF7">
      <w:pPr>
        <w:pStyle w:val="ListParagraph"/>
        <w:numPr>
          <w:ilvl w:val="0"/>
          <w:numId w:val="9"/>
        </w:numPr>
        <w:ind w:left="426" w:hanging="426"/>
        <w:jc w:val="both"/>
        <w:rPr>
          <w:rFonts w:ascii="Arial" w:hAnsi="Arial" w:cs="Arial"/>
        </w:rPr>
      </w:pPr>
      <w:r w:rsidRPr="001D5B3D">
        <w:rPr>
          <w:rFonts w:ascii="Arial" w:hAnsi="Arial" w:cs="Arial"/>
        </w:rPr>
        <w:t>Develop and commence implementation of priority open space and public realm enhancement plans</w:t>
      </w:r>
    </w:p>
    <w:p w:rsidR="00247D60" w:rsidRPr="001D5B3D" w:rsidRDefault="00247D60" w:rsidP="00274DF7">
      <w:pPr>
        <w:pStyle w:val="ListParagraph"/>
        <w:numPr>
          <w:ilvl w:val="0"/>
          <w:numId w:val="9"/>
        </w:numPr>
        <w:ind w:left="426" w:hanging="426"/>
        <w:jc w:val="both"/>
        <w:rPr>
          <w:rFonts w:ascii="Arial" w:hAnsi="Arial" w:cs="Arial"/>
        </w:rPr>
      </w:pPr>
      <w:r w:rsidRPr="001D5B3D">
        <w:rPr>
          <w:rFonts w:ascii="Arial" w:hAnsi="Arial" w:cs="Arial"/>
        </w:rPr>
        <w:t xml:space="preserve">Implement the new Ringwood Metropolitan Activity Centre Masterplan into </w:t>
      </w:r>
      <w:r w:rsidR="0040481F" w:rsidRPr="001D5B3D">
        <w:rPr>
          <w:rFonts w:ascii="Arial" w:hAnsi="Arial" w:cs="Arial"/>
        </w:rPr>
        <w:t>the Maroondah Planning Scheme</w:t>
      </w:r>
    </w:p>
    <w:p w:rsidR="0037509A" w:rsidRPr="001D5B3D" w:rsidRDefault="0037509A" w:rsidP="00274DF7">
      <w:pPr>
        <w:pStyle w:val="ListParagraph"/>
        <w:numPr>
          <w:ilvl w:val="0"/>
          <w:numId w:val="9"/>
        </w:numPr>
        <w:ind w:left="426" w:hanging="426"/>
        <w:jc w:val="both"/>
        <w:rPr>
          <w:rFonts w:ascii="Arial" w:hAnsi="Arial" w:cs="Arial"/>
        </w:rPr>
      </w:pPr>
      <w:r w:rsidRPr="001D5B3D">
        <w:rPr>
          <w:rFonts w:ascii="Arial" w:hAnsi="Arial" w:cs="Arial"/>
        </w:rPr>
        <w:t>Work in partnership to develop flood mitigation solutions for the central Croydon area</w:t>
      </w:r>
    </w:p>
    <w:p w:rsidR="00574039" w:rsidRPr="001D5B3D" w:rsidRDefault="00574039" w:rsidP="00274DF7">
      <w:pPr>
        <w:pStyle w:val="ListParagraph"/>
        <w:numPr>
          <w:ilvl w:val="0"/>
          <w:numId w:val="9"/>
        </w:numPr>
        <w:ind w:left="426" w:hanging="426"/>
        <w:jc w:val="both"/>
        <w:rPr>
          <w:rFonts w:ascii="Arial" w:hAnsi="Arial" w:cs="Arial"/>
        </w:rPr>
      </w:pPr>
      <w:r w:rsidRPr="001D5B3D">
        <w:rPr>
          <w:rFonts w:ascii="Arial" w:hAnsi="Arial" w:cs="Arial"/>
        </w:rPr>
        <w:t>Deliver Council's drainage improvement program and drainage flood mitigation program</w:t>
      </w:r>
    </w:p>
    <w:p w:rsidR="0037509A" w:rsidRPr="001D5B3D" w:rsidRDefault="0037509A" w:rsidP="00274DF7">
      <w:pPr>
        <w:pStyle w:val="ListParagraph"/>
        <w:numPr>
          <w:ilvl w:val="0"/>
          <w:numId w:val="9"/>
        </w:numPr>
        <w:ind w:left="426" w:hanging="426"/>
        <w:jc w:val="both"/>
        <w:rPr>
          <w:rFonts w:ascii="Arial" w:hAnsi="Arial" w:cs="Arial"/>
        </w:rPr>
      </w:pPr>
      <w:r w:rsidRPr="001D5B3D">
        <w:rPr>
          <w:rFonts w:ascii="Arial" w:hAnsi="Arial" w:cs="Arial"/>
        </w:rPr>
        <w:t>Implement the results of the Neighbourhood Character and Vegetation Reviews</w:t>
      </w:r>
    </w:p>
    <w:p w:rsidR="00CA5B7F" w:rsidRDefault="00CA5B7F">
      <w:pPr>
        <w:rPr>
          <w:rFonts w:cs="Arial"/>
          <w:b/>
          <w:bCs/>
          <w:iCs/>
          <w:lang w:eastAsia="en-AU"/>
        </w:rPr>
      </w:pPr>
      <w:r>
        <w:rPr>
          <w:rFonts w:cs="Arial"/>
          <w:b/>
          <w:bCs/>
          <w:iCs/>
          <w:lang w:eastAsia="en-AU"/>
        </w:rPr>
        <w:br w:type="page"/>
      </w:r>
    </w:p>
    <w:p w:rsidR="004B2040" w:rsidRDefault="004B2040" w:rsidP="004B2040">
      <w:pPr>
        <w:jc w:val="both"/>
        <w:rPr>
          <w:rFonts w:cs="Arial"/>
          <w:b/>
          <w:bCs/>
          <w:iCs/>
          <w:lang w:eastAsia="en-AU"/>
        </w:rPr>
      </w:pPr>
      <w:r w:rsidRPr="005E0E40">
        <w:rPr>
          <w:rFonts w:cs="Arial"/>
          <w:b/>
          <w:bCs/>
          <w:iCs/>
          <w:lang w:eastAsia="en-AU"/>
        </w:rPr>
        <w:lastRenderedPageBreak/>
        <w:t>Service Performance Indicators</w:t>
      </w:r>
    </w:p>
    <w:p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285"/>
        <w:gridCol w:w="1587"/>
        <w:gridCol w:w="3833"/>
        <w:gridCol w:w="3761"/>
      </w:tblGrid>
      <w:tr w:rsidR="004B2040" w:rsidRPr="005E0E40" w:rsidTr="00252484">
        <w:trPr>
          <w:trHeight w:val="510"/>
        </w:trPr>
        <w:tc>
          <w:tcPr>
            <w:tcW w:w="614"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31"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97"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rsidTr="00252484">
        <w:trPr>
          <w:trHeight w:val="742"/>
        </w:trPr>
        <w:tc>
          <w:tcPr>
            <w:tcW w:w="614"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Statutory Planning</w:t>
            </w:r>
          </w:p>
        </w:tc>
        <w:tc>
          <w:tcPr>
            <w:tcW w:w="758"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Decision making</w:t>
            </w:r>
          </w:p>
        </w:tc>
        <w:tc>
          <w:tcPr>
            <w:tcW w:w="1831"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Council planning decisions upheld at VCAT (percentage of planning application decisions subject to review by VCAT and that were upheld in favour of Council)</w:t>
            </w:r>
          </w:p>
        </w:tc>
        <w:tc>
          <w:tcPr>
            <w:tcW w:w="1797" w:type="pct"/>
            <w:tcBorders>
              <w:top w:val="single" w:sz="4" w:space="0" w:color="auto"/>
              <w:left w:val="nil"/>
              <w:bottom w:val="single" w:sz="4" w:space="0" w:color="auto"/>
              <w:right w:val="nil"/>
            </w:tcBorders>
          </w:tcPr>
          <w:p w:rsidR="004B2040" w:rsidRPr="005E0E40" w:rsidRDefault="004B2040" w:rsidP="004B2040">
            <w:pPr>
              <w:autoSpaceDE w:val="0"/>
              <w:autoSpaceDN w:val="0"/>
              <w:adjustRightInd w:val="0"/>
              <w:jc w:val="both"/>
              <w:rPr>
                <w:rFonts w:cs="Arial"/>
                <w:lang w:eastAsia="en-AU"/>
              </w:rPr>
            </w:pPr>
            <w:r w:rsidRPr="00774804">
              <w:rPr>
                <w:rFonts w:cs="Arial"/>
                <w:color w:val="000000"/>
                <w:lang w:eastAsia="en-AU"/>
              </w:rPr>
              <w:t>Number of VCAT decisions that did not set aside council's decision in relation to a planning application / Number of VCAT decisions in relation to planning applications</w:t>
            </w:r>
          </w:p>
        </w:tc>
      </w:tr>
      <w:tr w:rsidR="004B2040" w:rsidRPr="005E0E40" w:rsidTr="00252484">
        <w:trPr>
          <w:trHeight w:val="742"/>
        </w:trPr>
        <w:tc>
          <w:tcPr>
            <w:tcW w:w="614"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Roads</w:t>
            </w:r>
          </w:p>
        </w:tc>
        <w:tc>
          <w:tcPr>
            <w:tcW w:w="758"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Satisfaction</w:t>
            </w:r>
          </w:p>
        </w:tc>
        <w:tc>
          <w:tcPr>
            <w:tcW w:w="1831"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 xml:space="preserve">Satisfaction with sealed local roads </w:t>
            </w:r>
            <w:r w:rsidR="00DF3302" w:rsidRPr="005E0E40">
              <w:rPr>
                <w:rFonts w:cs="Arial"/>
                <w:lang w:eastAsia="en-AU"/>
              </w:rPr>
              <w:t>(community</w:t>
            </w:r>
            <w:r w:rsidRPr="005E0E40">
              <w:rPr>
                <w:rFonts w:cs="Arial"/>
                <w:lang w:eastAsia="en-AU"/>
              </w:rPr>
              <w:t xml:space="preserve"> satisfaction rating out of 100 with how Council has performed on the condition of sealed local roads)</w:t>
            </w:r>
          </w:p>
        </w:tc>
        <w:tc>
          <w:tcPr>
            <w:tcW w:w="1797"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Community satisfaction rating out of 100 with how Council has performed on the condition of sealed local roads</w:t>
            </w:r>
          </w:p>
        </w:tc>
      </w:tr>
    </w:tbl>
    <w:p w:rsidR="004B2040" w:rsidRDefault="004B2040" w:rsidP="004B2040"/>
    <w:p w:rsidR="004B2040" w:rsidRPr="009B6FB7" w:rsidRDefault="004B2040" w:rsidP="0065738F">
      <w:pPr>
        <w:pStyle w:val="Heading3"/>
        <w:rPr>
          <w:lang w:eastAsia="en-AU"/>
        </w:rPr>
      </w:pPr>
      <w:r>
        <w:br w:type="page"/>
      </w:r>
      <w:bookmarkStart w:id="116" w:name="_Toc481072881"/>
      <w:bookmarkStart w:id="117" w:name="_Toc481077419"/>
      <w:bookmarkStart w:id="118" w:name="_Toc481483654"/>
      <w:bookmarkStart w:id="119" w:name="_Toc508984193"/>
      <w:bookmarkStart w:id="120" w:name="_Toc4056373"/>
      <w:r w:rsidRPr="009B6FB7">
        <w:lastRenderedPageBreak/>
        <w:t xml:space="preserve">2.7 Outcome Area (Strategic Objective) 7: </w:t>
      </w:r>
      <w:r w:rsidRPr="009B6FB7">
        <w:rPr>
          <w:lang w:eastAsia="en-AU"/>
        </w:rPr>
        <w:t>An inclusive and diverse community</w:t>
      </w:r>
      <w:bookmarkEnd w:id="116"/>
      <w:bookmarkEnd w:id="117"/>
      <w:bookmarkEnd w:id="118"/>
      <w:bookmarkEnd w:id="119"/>
      <w:bookmarkEnd w:id="120"/>
    </w:p>
    <w:p w:rsidR="004B2040" w:rsidRPr="00242D2A" w:rsidRDefault="004B2040" w:rsidP="004B2040">
      <w:pPr>
        <w:jc w:val="both"/>
        <w:rPr>
          <w:rFonts w:cs="Arial"/>
          <w:b/>
        </w:rPr>
      </w:pPr>
    </w:p>
    <w:tbl>
      <w:tblPr>
        <w:tblW w:w="10834" w:type="dxa"/>
        <w:tblLook w:val="04A0" w:firstRow="1" w:lastRow="0" w:firstColumn="1" w:lastColumn="0" w:noHBand="0" w:noVBand="1"/>
      </w:tblPr>
      <w:tblGrid>
        <w:gridCol w:w="7100"/>
        <w:gridCol w:w="576"/>
        <w:gridCol w:w="1012"/>
        <w:gridCol w:w="1134"/>
        <w:gridCol w:w="1012"/>
      </w:tblGrid>
      <w:tr w:rsidR="00A368AB" w:rsidRPr="00A368AB" w:rsidTr="00CA5B7F">
        <w:trPr>
          <w:trHeight w:val="300"/>
        </w:trPr>
        <w:tc>
          <w:tcPr>
            <w:tcW w:w="7100" w:type="dxa"/>
            <w:vMerge w:val="restart"/>
            <w:tcBorders>
              <w:top w:val="nil"/>
              <w:left w:val="nil"/>
              <w:bottom w:val="nil"/>
              <w:right w:val="nil"/>
            </w:tcBorders>
            <w:shd w:val="clear" w:color="000000" w:fill="5B9BD5"/>
            <w:vAlign w:val="center"/>
            <w:hideMark/>
          </w:tcPr>
          <w:p w:rsidR="00A368AB" w:rsidRPr="00A368AB" w:rsidRDefault="00A368AB" w:rsidP="00A368AB">
            <w:pPr>
              <w:rPr>
                <w:rFonts w:eastAsia="Times New Roman" w:cs="Arial"/>
                <w:b/>
                <w:bCs/>
                <w:color w:val="FFFFFF"/>
                <w:lang w:eastAsia="en-AU"/>
              </w:rPr>
            </w:pPr>
            <w:r w:rsidRPr="00A368AB">
              <w:rPr>
                <w:rFonts w:eastAsia="Times New Roman" w:cs="Arial"/>
                <w:b/>
                <w:bCs/>
                <w:color w:val="FFFFFF"/>
                <w:lang w:eastAsia="en-AU"/>
              </w:rPr>
              <w:t>Service and Description</w:t>
            </w:r>
          </w:p>
        </w:tc>
        <w:tc>
          <w:tcPr>
            <w:tcW w:w="576"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2018/19</w:t>
            </w:r>
          </w:p>
        </w:tc>
        <w:tc>
          <w:tcPr>
            <w:tcW w:w="1134"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2019/20</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2020/21</w:t>
            </w:r>
          </w:p>
        </w:tc>
      </w:tr>
      <w:tr w:rsidR="00A368AB" w:rsidRPr="00A368AB" w:rsidTr="00CA5B7F">
        <w:trPr>
          <w:trHeight w:val="600"/>
        </w:trPr>
        <w:tc>
          <w:tcPr>
            <w:tcW w:w="7100" w:type="dxa"/>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576"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Actual</w:t>
            </w:r>
          </w:p>
        </w:tc>
        <w:tc>
          <w:tcPr>
            <w:tcW w:w="1134"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Forecast</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Budget</w:t>
            </w:r>
          </w:p>
        </w:tc>
      </w:tr>
      <w:tr w:rsidR="00A368AB" w:rsidRPr="00A368AB" w:rsidTr="00CA5B7F">
        <w:trPr>
          <w:trHeight w:val="300"/>
        </w:trPr>
        <w:tc>
          <w:tcPr>
            <w:tcW w:w="7100" w:type="dxa"/>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576"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1134"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1012" w:type="dxa"/>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r>
      <w:tr w:rsidR="00A368AB" w:rsidRPr="00A368AB" w:rsidTr="00CA5B7F">
        <w:trPr>
          <w:trHeight w:val="525"/>
        </w:trPr>
        <w:tc>
          <w:tcPr>
            <w:tcW w:w="7100" w:type="dxa"/>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Aged and Disability Services</w:t>
            </w:r>
          </w:p>
        </w:tc>
        <w:tc>
          <w:tcPr>
            <w:tcW w:w="576" w:type="dxa"/>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1012" w:type="dxa"/>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1134" w:type="dxa"/>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1012" w:type="dxa"/>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00"/>
        </w:trPr>
        <w:tc>
          <w:tcPr>
            <w:tcW w:w="7100" w:type="dxa"/>
            <w:vMerge w:val="restart"/>
            <w:tcBorders>
              <w:top w:val="nil"/>
              <w:left w:val="nil"/>
              <w:bottom w:val="single" w:sz="4" w:space="0" w:color="000000"/>
              <w:right w:val="nil"/>
            </w:tcBorders>
            <w:shd w:val="clear" w:color="auto" w:fill="auto"/>
            <w:hideMark/>
          </w:tcPr>
          <w:p w:rsidR="00A368AB" w:rsidRDefault="00A368AB" w:rsidP="00A368AB">
            <w:pPr>
              <w:pStyle w:val="NoSpacing"/>
              <w:jc w:val="both"/>
            </w:pPr>
            <w:r>
              <w:t xml:space="preserve">  Council provides the Commonwealth Home Support Program (CHSP) which includes: Delivered Meals and other food services; Social Support Groups; and Occupational Therapy services to eligible residents who are 65 years of age or more (50+ years for people of Aboriginal and/or Torres Strait Islander identity). CHSP is for people who require support to remain independent and safe in their home, maximise their wellbeing and connected to their community.  The Aged and Disability Services team also provides support for residents under the age of 65 years who need assistance to navigate and/or advocate for access and supports through National Disability Insurance Scheme (NDIS).  The team also provide community outings and events for seniors (such as library, shopping &amp; outings), Carer support groups, </w:t>
            </w:r>
            <w:r w:rsidR="005F002C">
              <w:t>Buried in Treasures (</w:t>
            </w:r>
            <w:r>
              <w:t>BITS</w:t>
            </w:r>
            <w:r w:rsidR="005F002C">
              <w:t>)</w:t>
            </w:r>
            <w:r>
              <w:t xml:space="preserve"> peer support (for people affected by hoarding), facilitates social and leisure activities for residents of Supported Residential Services, as well as support to Senior Citizens Clubs and other older persons groups.  The Active and Health Ageing Initiative engages community partners to establish sustainable wellbeing-related activities for older residents.  Short courses, seminars and forums are run to enhance people’s capacity to make positive changes to their living situations, independence and wellbeing (for example: Buried in Treasures for people affected by hoarding; Good Food for Me to improve nutrition and independence in meal preparation).</w:t>
            </w:r>
          </w:p>
          <w:p w:rsidR="00A368AB" w:rsidRPr="00A368AB" w:rsidRDefault="00A368AB" w:rsidP="00A368AB">
            <w:pPr>
              <w:jc w:val="both"/>
              <w:rPr>
                <w:rFonts w:eastAsia="Times New Roman" w:cs="Arial"/>
                <w:color w:val="000000"/>
                <w:lang w:eastAsia="en-AU"/>
              </w:rPr>
            </w:pPr>
            <w:r>
              <w:rPr>
                <w:rFonts w:cs="Arial"/>
              </w:rPr>
              <w:t>From 1 July 2020, a new service provides a local point of contact for Maroondah residents who have difficulty navigating and accessing the new service systems and local services and need person-centred, local solutions to respond to the various needs due to vulnerability or risk of adverse outcomes.</w:t>
            </w:r>
            <w:r w:rsidRPr="001E2FB1">
              <w:rPr>
                <w:rFonts w:eastAsia="Times New Roman" w:cs="Arial"/>
                <w:color w:val="000000"/>
                <w:lang w:eastAsia="en-AU"/>
              </w:rPr>
              <w:t> </w:t>
            </w:r>
            <w:r w:rsidRPr="00A368AB">
              <w:rPr>
                <w:rFonts w:eastAsia="Times New Roman" w:cs="Arial"/>
                <w:color w:val="000000"/>
                <w:lang w:eastAsia="en-AU"/>
              </w:rPr>
              <w:t> </w:t>
            </w:r>
          </w:p>
        </w:tc>
        <w:tc>
          <w:tcPr>
            <w:tcW w:w="576" w:type="dxa"/>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1012" w:type="dxa"/>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6,886</w:t>
            </w:r>
          </w:p>
        </w:tc>
        <w:tc>
          <w:tcPr>
            <w:tcW w:w="1134" w:type="dxa"/>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3,466</w:t>
            </w:r>
          </w:p>
        </w:tc>
        <w:tc>
          <w:tcPr>
            <w:tcW w:w="1012" w:type="dxa"/>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3,291</w:t>
            </w:r>
          </w:p>
        </w:tc>
      </w:tr>
      <w:tr w:rsidR="00A368AB" w:rsidRPr="00A368AB" w:rsidTr="00CA5B7F">
        <w:trPr>
          <w:trHeight w:val="300"/>
        </w:trPr>
        <w:tc>
          <w:tcPr>
            <w:tcW w:w="7100" w:type="dxa"/>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576" w:type="dxa"/>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1012" w:type="dxa"/>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(5,490)</w:t>
            </w:r>
          </w:p>
        </w:tc>
        <w:tc>
          <w:tcPr>
            <w:tcW w:w="1134" w:type="dxa"/>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(1,823)</w:t>
            </w:r>
          </w:p>
        </w:tc>
        <w:tc>
          <w:tcPr>
            <w:tcW w:w="1012" w:type="dxa"/>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(1,849)</w:t>
            </w:r>
          </w:p>
        </w:tc>
      </w:tr>
      <w:tr w:rsidR="00A368AB" w:rsidRPr="00A368AB" w:rsidTr="00CA5B7F">
        <w:trPr>
          <w:trHeight w:val="300"/>
        </w:trPr>
        <w:tc>
          <w:tcPr>
            <w:tcW w:w="7100" w:type="dxa"/>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576" w:type="dxa"/>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1012" w:type="dxa"/>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1,397</w:t>
            </w:r>
          </w:p>
        </w:tc>
        <w:tc>
          <w:tcPr>
            <w:tcW w:w="1134" w:type="dxa"/>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1,644</w:t>
            </w:r>
          </w:p>
        </w:tc>
        <w:tc>
          <w:tcPr>
            <w:tcW w:w="1012" w:type="dxa"/>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1,442</w:t>
            </w:r>
          </w:p>
        </w:tc>
      </w:tr>
    </w:tbl>
    <w:p w:rsidR="00A368AB" w:rsidRDefault="00A368AB" w:rsidP="004B2040">
      <w:pPr>
        <w:jc w:val="both"/>
        <w:rPr>
          <w:rFonts w:cs="Arial"/>
          <w:b/>
          <w:bCs/>
          <w:iCs/>
          <w:lang w:eastAsia="en-AU"/>
        </w:rPr>
      </w:pPr>
    </w:p>
    <w:p w:rsidR="00A368AB" w:rsidRDefault="00A368AB" w:rsidP="004B2040">
      <w:pPr>
        <w:jc w:val="both"/>
        <w:rPr>
          <w:rFonts w:cs="Arial"/>
          <w:b/>
          <w:bCs/>
          <w:iCs/>
          <w:lang w:eastAsia="en-AU"/>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6D370B" w:rsidRDefault="004B2040" w:rsidP="004B2040">
      <w:pPr>
        <w:jc w:val="both"/>
        <w:rPr>
          <w:rFonts w:cs="Arial"/>
          <w:b/>
          <w:bCs/>
          <w:iCs/>
          <w:lang w:eastAsia="en-AU"/>
        </w:rPr>
      </w:pPr>
    </w:p>
    <w:p w:rsidR="00567904" w:rsidRPr="001F6FBB" w:rsidRDefault="00C37F65" w:rsidP="00AD14CF">
      <w:pPr>
        <w:pStyle w:val="ListParagraph"/>
        <w:numPr>
          <w:ilvl w:val="0"/>
          <w:numId w:val="9"/>
        </w:numPr>
        <w:jc w:val="both"/>
        <w:rPr>
          <w:rFonts w:ascii="Arial" w:hAnsi="Arial" w:cs="Arial"/>
          <w:color w:val="FF0000"/>
        </w:rPr>
      </w:pPr>
      <w:r w:rsidRPr="00567904">
        <w:rPr>
          <w:rFonts w:ascii="Arial" w:hAnsi="Arial" w:cs="Arial"/>
        </w:rPr>
        <w:t xml:space="preserve"> </w:t>
      </w:r>
      <w:r w:rsidR="00567904" w:rsidRPr="001F6FBB">
        <w:rPr>
          <w:rFonts w:ascii="Arial" w:hAnsi="Arial" w:cs="Arial"/>
        </w:rPr>
        <w:t>Monitor the National Disability Insurance Scheme and My Aged Care reform agenda and implement transitional arrangements for relevant areas of Council service delivery</w:t>
      </w:r>
    </w:p>
    <w:p w:rsidR="004B2040" w:rsidRPr="001F6FBB" w:rsidRDefault="004B2040" w:rsidP="004B2040">
      <w:pPr>
        <w:jc w:val="both"/>
        <w:rPr>
          <w:rFonts w:cs="Arial"/>
          <w:b/>
          <w:bCs/>
          <w:iCs/>
          <w:lang w:eastAsia="en-AU"/>
        </w:rPr>
      </w:pPr>
      <w:r w:rsidRPr="001F6FBB">
        <w:rPr>
          <w:rFonts w:cs="Arial"/>
          <w:b/>
          <w:bCs/>
          <w:iCs/>
          <w:lang w:eastAsia="en-AU"/>
        </w:rPr>
        <w:t xml:space="preserve">Initiatives </w:t>
      </w:r>
    </w:p>
    <w:p w:rsidR="004B2040" w:rsidRPr="001F6FBB" w:rsidRDefault="004B2040" w:rsidP="004B2040">
      <w:pPr>
        <w:jc w:val="both"/>
        <w:rPr>
          <w:rFonts w:cs="Arial"/>
        </w:rPr>
      </w:pPr>
    </w:p>
    <w:p w:rsidR="00533FB8" w:rsidRPr="001F6FBB" w:rsidRDefault="008847EF" w:rsidP="00274DF7">
      <w:pPr>
        <w:pStyle w:val="ListParagraph"/>
        <w:numPr>
          <w:ilvl w:val="0"/>
          <w:numId w:val="9"/>
        </w:numPr>
        <w:jc w:val="both"/>
        <w:rPr>
          <w:rFonts w:ascii="Arial" w:hAnsi="Arial" w:cs="Arial"/>
        </w:rPr>
      </w:pPr>
      <w:r w:rsidRPr="001F6FBB">
        <w:rPr>
          <w:rFonts w:ascii="Arial" w:hAnsi="Arial" w:cs="Arial"/>
        </w:rPr>
        <w:t xml:space="preserve"> </w:t>
      </w:r>
      <w:r w:rsidR="00567904" w:rsidRPr="001F6FBB">
        <w:rPr>
          <w:rFonts w:ascii="Arial" w:hAnsi="Arial" w:cs="Arial"/>
        </w:rPr>
        <w:t>Continue implementation of the Corporate Volunteering Program that recruits, promotes and manage</w:t>
      </w:r>
      <w:r w:rsidR="002622B1" w:rsidRPr="001F6FBB">
        <w:rPr>
          <w:rFonts w:ascii="Arial" w:hAnsi="Arial" w:cs="Arial"/>
        </w:rPr>
        <w:t>s</w:t>
      </w:r>
      <w:r w:rsidR="00567904" w:rsidRPr="001F6FBB">
        <w:rPr>
          <w:rFonts w:ascii="Arial" w:hAnsi="Arial" w:cs="Arial"/>
        </w:rPr>
        <w:t xml:space="preserve"> volunteers who support the provision of services and community activities</w:t>
      </w:r>
    </w:p>
    <w:p w:rsidR="00567904" w:rsidRPr="001F6FBB" w:rsidRDefault="00567904" w:rsidP="00274DF7">
      <w:pPr>
        <w:pStyle w:val="ListParagraph"/>
        <w:numPr>
          <w:ilvl w:val="0"/>
          <w:numId w:val="9"/>
        </w:numPr>
        <w:jc w:val="both"/>
        <w:rPr>
          <w:rFonts w:ascii="Arial" w:hAnsi="Arial" w:cs="Arial"/>
        </w:rPr>
      </w:pPr>
      <w:r w:rsidRPr="001F6FBB">
        <w:rPr>
          <w:rFonts w:ascii="Arial" w:hAnsi="Arial" w:cs="Arial"/>
        </w:rPr>
        <w:t xml:space="preserve"> Develop and commence implementation of a new Disability Policy and Action Plan</w:t>
      </w:r>
      <w:r w:rsidR="00DB383F" w:rsidRPr="001F6FBB">
        <w:rPr>
          <w:rFonts w:ascii="Arial" w:hAnsi="Arial" w:cs="Arial"/>
        </w:rPr>
        <w:t xml:space="preserve"> 2019 - 2021</w:t>
      </w:r>
    </w:p>
    <w:p w:rsidR="00567904" w:rsidRPr="001F6FBB" w:rsidRDefault="00567904" w:rsidP="00274DF7">
      <w:pPr>
        <w:pStyle w:val="ListParagraph"/>
        <w:numPr>
          <w:ilvl w:val="0"/>
          <w:numId w:val="9"/>
        </w:numPr>
        <w:jc w:val="both"/>
        <w:rPr>
          <w:rFonts w:ascii="Arial" w:hAnsi="Arial" w:cs="Arial"/>
        </w:rPr>
      </w:pPr>
      <w:r w:rsidRPr="001F6FBB">
        <w:rPr>
          <w:rFonts w:ascii="Arial" w:hAnsi="Arial" w:cs="Arial"/>
        </w:rPr>
        <w:t xml:space="preserve"> Commence development of a Children and Families Strategy</w:t>
      </w:r>
    </w:p>
    <w:p w:rsidR="0065738F" w:rsidRDefault="0065738F">
      <w:r>
        <w:br w:type="page"/>
      </w:r>
    </w:p>
    <w:p w:rsidR="004B2040" w:rsidRDefault="004B2040" w:rsidP="004B2040"/>
    <w:p w:rsidR="004B2040" w:rsidRPr="009B6FB7" w:rsidRDefault="004B2040" w:rsidP="0065738F">
      <w:pPr>
        <w:pStyle w:val="Heading3"/>
        <w:rPr>
          <w:lang w:eastAsia="en-AU"/>
        </w:rPr>
      </w:pPr>
      <w:bookmarkStart w:id="121" w:name="_Toc481072882"/>
      <w:bookmarkStart w:id="122" w:name="_Toc481077420"/>
      <w:bookmarkStart w:id="123" w:name="_Toc481483655"/>
      <w:bookmarkStart w:id="124" w:name="_Toc508984194"/>
      <w:bookmarkStart w:id="125" w:name="_Toc4056374"/>
      <w:r w:rsidRPr="009B6FB7">
        <w:t xml:space="preserve">2.8 Outcome Area (Strategic Objective) 8: </w:t>
      </w:r>
      <w:r w:rsidRPr="009B6FB7">
        <w:rPr>
          <w:lang w:eastAsia="en-AU"/>
        </w:rPr>
        <w:t>A well governed and empowered community</w:t>
      </w:r>
      <w:bookmarkEnd w:id="121"/>
      <w:bookmarkEnd w:id="122"/>
      <w:bookmarkEnd w:id="123"/>
      <w:bookmarkEnd w:id="124"/>
      <w:bookmarkEnd w:id="125"/>
    </w:p>
    <w:p w:rsidR="004B2040" w:rsidRPr="00242D2A" w:rsidRDefault="004B2040" w:rsidP="004B2040">
      <w:pPr>
        <w:jc w:val="both"/>
        <w:rPr>
          <w:rFonts w:cs="Arial"/>
          <w:sz w:val="20"/>
        </w:rPr>
      </w:pPr>
    </w:p>
    <w:tbl>
      <w:tblPr>
        <w:tblW w:w="5000" w:type="pct"/>
        <w:tblLook w:val="04A0" w:firstRow="1" w:lastRow="0" w:firstColumn="1" w:lastColumn="0" w:noHBand="0" w:noVBand="1"/>
      </w:tblPr>
      <w:tblGrid>
        <w:gridCol w:w="6732"/>
        <w:gridCol w:w="576"/>
        <w:gridCol w:w="1012"/>
        <w:gridCol w:w="1134"/>
        <w:gridCol w:w="1012"/>
      </w:tblGrid>
      <w:tr w:rsidR="00A368AB" w:rsidRPr="00A368AB" w:rsidTr="00CA5B7F">
        <w:trPr>
          <w:trHeight w:val="300"/>
        </w:trPr>
        <w:tc>
          <w:tcPr>
            <w:tcW w:w="3216" w:type="pct"/>
            <w:vMerge w:val="restart"/>
            <w:tcBorders>
              <w:top w:val="nil"/>
              <w:left w:val="nil"/>
              <w:bottom w:val="nil"/>
              <w:right w:val="nil"/>
            </w:tcBorders>
            <w:shd w:val="clear" w:color="000000" w:fill="5B9BD5"/>
            <w:vAlign w:val="center"/>
            <w:hideMark/>
          </w:tcPr>
          <w:p w:rsidR="00A368AB" w:rsidRPr="00A368AB" w:rsidRDefault="00A368AB" w:rsidP="00A368AB">
            <w:pPr>
              <w:rPr>
                <w:rFonts w:eastAsia="Times New Roman" w:cs="Arial"/>
                <w:b/>
                <w:bCs/>
                <w:color w:val="FFFFFF"/>
                <w:lang w:eastAsia="en-AU"/>
              </w:rPr>
            </w:pPr>
            <w:r w:rsidRPr="00A368AB">
              <w:rPr>
                <w:rFonts w:eastAsia="Times New Roman" w:cs="Arial"/>
                <w:b/>
                <w:bCs/>
                <w:color w:val="FFFFFF"/>
                <w:lang w:eastAsia="en-AU"/>
              </w:rPr>
              <w:t>Service and Description</w:t>
            </w: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2020/21</w:t>
            </w:r>
          </w:p>
        </w:tc>
      </w:tr>
      <w:tr w:rsidR="00A368AB" w:rsidRPr="00A368AB" w:rsidTr="00CA5B7F">
        <w:trPr>
          <w:trHeight w:val="600"/>
        </w:trPr>
        <w:tc>
          <w:tcPr>
            <w:tcW w:w="3216"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Budget</w:t>
            </w:r>
          </w:p>
        </w:tc>
      </w:tr>
      <w:tr w:rsidR="00A368AB" w:rsidRPr="00A368AB" w:rsidTr="00CA5B7F">
        <w:trPr>
          <w:trHeight w:val="300"/>
        </w:trPr>
        <w:tc>
          <w:tcPr>
            <w:tcW w:w="3216"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Communications and Engagement</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C63B63">
              <w:rPr>
                <w:rFonts w:eastAsia="Times New Roman" w:cs="Arial"/>
                <w:color w:val="000000"/>
                <w:lang w:eastAsia="en-AU"/>
              </w:rPr>
              <w:t> </w:t>
            </w:r>
            <w:r>
              <w:t>This team has both a corporate and an operational responsibility for the management of communications</w:t>
            </w:r>
            <w:r>
              <w:rPr>
                <w:color w:val="000000"/>
              </w:rPr>
              <w:t xml:space="preserve">, public relations, media and engagement </w:t>
            </w:r>
            <w:r>
              <w:t>for Maroondah City Council to promote the work and achievements of Council and keep the community informed and engaged. It provides a range of services including publications, advertising and newsletters; communication and advocacy campaigns; management of Council’s e-Communications, including website</w:t>
            </w:r>
            <w:r>
              <w:rPr>
                <w:color w:val="000000"/>
              </w:rPr>
              <w:t>s</w:t>
            </w:r>
            <w:r>
              <w:t>, intranet</w:t>
            </w:r>
            <w:r>
              <w:rPr>
                <w:color w:val="000000"/>
              </w:rPr>
              <w:t xml:space="preserve">, </w:t>
            </w:r>
            <w:proofErr w:type="spellStart"/>
            <w:r>
              <w:rPr>
                <w:color w:val="000000"/>
              </w:rPr>
              <w:t>eNewsletters</w:t>
            </w:r>
            <w:proofErr w:type="spellEnd"/>
            <w:r>
              <w:rPr>
                <w:color w:val="000000"/>
              </w:rPr>
              <w:t xml:space="preserve"> </w:t>
            </w:r>
            <w:r>
              <w:t xml:space="preserve">and social media; Council branding, corporate identity and marketing; internal communications; and development of style guides and related policies. This area also </w:t>
            </w:r>
            <w:r>
              <w:rPr>
                <w:color w:val="000000"/>
              </w:rPr>
              <w:t>manages corporate and civic events and provides support for</w:t>
            </w:r>
            <w:r>
              <w:t xml:space="preserve"> the Mayor and Councillors.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1,706</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1,850</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2,071</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(33)</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(6)</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(4)</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1,673</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1,844</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2,066</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Procurement</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0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C63B63">
              <w:rPr>
                <w:rFonts w:eastAsia="Times New Roman" w:cs="Arial"/>
                <w:color w:val="000000"/>
                <w:lang w:eastAsia="en-AU"/>
              </w:rPr>
              <w:t> </w:t>
            </w:r>
            <w:r w:rsidRPr="00A50DAA">
              <w:rPr>
                <w:rFonts w:cs="Arial"/>
              </w:rPr>
              <w:t xml:space="preserve">This function assists Council’s Service Areas in the </w:t>
            </w:r>
            <w:r>
              <w:rPr>
                <w:rFonts w:cs="Arial"/>
              </w:rPr>
              <w:t xml:space="preserve">best value </w:t>
            </w:r>
            <w:r w:rsidRPr="00A50DAA">
              <w:rPr>
                <w:rFonts w:cs="Arial"/>
              </w:rPr>
              <w:t>purchasing of goods and services through the strategic development and co-ordination of the purchasing, tendering and contract management processes.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343</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353</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369</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343</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353</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369</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Customer Service</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C63B63">
              <w:rPr>
                <w:rFonts w:eastAsia="Times New Roman" w:cs="Arial"/>
                <w:color w:val="000000"/>
                <w:lang w:eastAsia="en-AU"/>
              </w:rPr>
              <w:t> </w:t>
            </w:r>
            <w:r w:rsidRPr="006979A9">
              <w:rPr>
                <w:rFonts w:cs="Arial"/>
                <w:lang w:eastAsia="en-AU"/>
              </w:rPr>
              <w:t>The customer service team manages and operates Council’s 1300 Call Centre and three service centres: in Braeside Avenue Ringwood, Croydon</w:t>
            </w:r>
            <w:r>
              <w:rPr>
                <w:rFonts w:cs="Arial"/>
                <w:lang w:eastAsia="en-AU"/>
              </w:rPr>
              <w:t xml:space="preserve"> Library</w:t>
            </w:r>
            <w:r w:rsidRPr="006979A9">
              <w:rPr>
                <w:rFonts w:cs="Arial"/>
                <w:lang w:eastAsia="en-AU"/>
              </w:rPr>
              <w:t xml:space="preserve"> Civic Square, and REALM adjacent to the </w:t>
            </w:r>
            <w:r>
              <w:rPr>
                <w:rFonts w:cs="Arial"/>
                <w:lang w:eastAsia="en-AU"/>
              </w:rPr>
              <w:t xml:space="preserve">Ringwood </w:t>
            </w:r>
            <w:r w:rsidRPr="006979A9">
              <w:rPr>
                <w:rFonts w:cs="Arial"/>
                <w:lang w:eastAsia="en-AU"/>
              </w:rPr>
              <w:t xml:space="preserve">Town Square Eastland. The team provides information and referral on Council services, booking services for </w:t>
            </w:r>
            <w:proofErr w:type="gramStart"/>
            <w:r w:rsidRPr="006979A9">
              <w:rPr>
                <w:rFonts w:cs="Arial"/>
                <w:lang w:eastAsia="en-AU"/>
              </w:rPr>
              <w:t>a number of</w:t>
            </w:r>
            <w:proofErr w:type="gramEnd"/>
            <w:r w:rsidRPr="006979A9">
              <w:rPr>
                <w:rFonts w:cs="Arial"/>
                <w:lang w:eastAsia="en-AU"/>
              </w:rPr>
              <w:t xml:space="preserve"> local facilities and Council services, referral of customer requests, and cash receipting for payment of accounts and fees. </w:t>
            </w:r>
            <w:r w:rsidRPr="00A50DAA">
              <w:rPr>
                <w:rFonts w:cs="Arial"/>
              </w:rPr>
              <w:t>The team also manages hall-keeping, meeting rooms and catering at the Council offices.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1,312</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1,270</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1,094</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1,312</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1,270</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1,094</w:t>
            </w:r>
          </w:p>
        </w:tc>
      </w:tr>
    </w:tbl>
    <w:p w:rsidR="00CA5B7F" w:rsidRDefault="00CA5B7F" w:rsidP="00C63B63"/>
    <w:p w:rsidR="00CA5B7F" w:rsidRDefault="00CA5B7F">
      <w:r>
        <w:br w:type="page"/>
      </w:r>
    </w:p>
    <w:tbl>
      <w:tblPr>
        <w:tblW w:w="5000" w:type="pct"/>
        <w:tblLook w:val="04A0" w:firstRow="1" w:lastRow="0" w:firstColumn="1" w:lastColumn="0" w:noHBand="0" w:noVBand="1"/>
      </w:tblPr>
      <w:tblGrid>
        <w:gridCol w:w="6732"/>
        <w:gridCol w:w="576"/>
        <w:gridCol w:w="1012"/>
        <w:gridCol w:w="1134"/>
        <w:gridCol w:w="1012"/>
      </w:tblGrid>
      <w:tr w:rsidR="00A368AB" w:rsidRPr="00A368AB" w:rsidTr="00CA5B7F">
        <w:trPr>
          <w:trHeight w:val="300"/>
        </w:trPr>
        <w:tc>
          <w:tcPr>
            <w:tcW w:w="3216" w:type="pct"/>
            <w:vMerge w:val="restart"/>
            <w:tcBorders>
              <w:top w:val="nil"/>
              <w:left w:val="nil"/>
              <w:bottom w:val="nil"/>
              <w:right w:val="nil"/>
            </w:tcBorders>
            <w:shd w:val="clear" w:color="000000" w:fill="5B9BD5"/>
            <w:vAlign w:val="center"/>
            <w:hideMark/>
          </w:tcPr>
          <w:p w:rsidR="00A368AB" w:rsidRPr="00A368AB" w:rsidRDefault="00A368AB" w:rsidP="00A368AB">
            <w:pPr>
              <w:rPr>
                <w:rFonts w:eastAsia="Times New Roman" w:cs="Arial"/>
                <w:b/>
                <w:bCs/>
                <w:color w:val="FFFFFF"/>
                <w:lang w:eastAsia="en-AU"/>
              </w:rPr>
            </w:pPr>
            <w:r w:rsidRPr="00A368AB">
              <w:rPr>
                <w:rFonts w:eastAsia="Times New Roman" w:cs="Arial"/>
                <w:b/>
                <w:bCs/>
                <w:color w:val="FFFFFF"/>
                <w:lang w:eastAsia="en-AU"/>
              </w:rPr>
              <w:lastRenderedPageBreak/>
              <w:t>Service and Description</w:t>
            </w: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2018/19</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2019/20</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2020/21</w:t>
            </w:r>
          </w:p>
        </w:tc>
      </w:tr>
      <w:tr w:rsidR="00A368AB" w:rsidRPr="00A368AB" w:rsidTr="00CA5B7F">
        <w:trPr>
          <w:trHeight w:val="600"/>
        </w:trPr>
        <w:tc>
          <w:tcPr>
            <w:tcW w:w="3216"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Forecast</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Budget</w:t>
            </w:r>
          </w:p>
        </w:tc>
      </w:tr>
      <w:tr w:rsidR="00A368AB" w:rsidRPr="00A368AB" w:rsidTr="00CA5B7F">
        <w:trPr>
          <w:trHeight w:val="300"/>
        </w:trPr>
        <w:tc>
          <w:tcPr>
            <w:tcW w:w="3216"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75"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483"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Executive Office</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C63B63">
              <w:rPr>
                <w:rFonts w:eastAsia="Times New Roman" w:cs="Arial"/>
                <w:color w:val="000000"/>
                <w:lang w:eastAsia="en-AU"/>
              </w:rPr>
              <w:t> </w:t>
            </w:r>
            <w:r w:rsidRPr="006979A9">
              <w:rPr>
                <w:rFonts w:cs="Arial"/>
                <w:lang w:eastAsia="en-AU"/>
              </w:rPr>
              <w:t xml:space="preserve">The Chief Executive Officer </w:t>
            </w:r>
            <w:proofErr w:type="gramStart"/>
            <w:r w:rsidRPr="006979A9">
              <w:rPr>
                <w:rFonts w:cs="Arial"/>
                <w:lang w:eastAsia="en-AU"/>
              </w:rPr>
              <w:t>is in charge of</w:t>
            </w:r>
            <w:proofErr w:type="gramEnd"/>
            <w:r w:rsidRPr="006979A9">
              <w:rPr>
                <w:rFonts w:cs="Arial"/>
                <w:lang w:eastAsia="en-AU"/>
              </w:rPr>
              <w:t xml:space="preserve"> total management of the Council and responsible for high level decisions regarding policy and strategy and is the main point of communication between Council and corporate operations. This area also provides support for the Eastern Regional Group of Councils.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701</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712</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743</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(177)</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(210)</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(210)</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525</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502</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533</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Asset Projects and Facilities</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0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C63B63">
              <w:rPr>
                <w:rFonts w:eastAsia="Times New Roman" w:cs="Arial"/>
                <w:color w:val="000000"/>
                <w:lang w:eastAsia="en-AU"/>
              </w:rPr>
              <w:t> </w:t>
            </w:r>
            <w:r w:rsidRPr="007B5B6A">
              <w:rPr>
                <w:rFonts w:cs="Arial"/>
              </w:rPr>
              <w:t>This function provides Council with a centralised approach to all issues relating to Council’s community facilities, including programmed maintenance and capital works. In addition, the team works closely with the users and managers of Council facilities on all aspects of buildings, including risk management. The team also provides expertise to facilitate the management of open space related capital works projects.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2,609</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2,293</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2,103</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(0)</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2,608</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2,292</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2,103</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Financial Services</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A50DAA">
              <w:rPr>
                <w:rFonts w:cs="Arial"/>
              </w:rPr>
              <w:t xml:space="preserve">This team provides sound financial management that complies with legislative requirements, and also ensures that planning and budgeting activities meet Maroondah’s vision and the </w:t>
            </w:r>
            <w:proofErr w:type="gramStart"/>
            <w:r w:rsidRPr="00A50DAA">
              <w:rPr>
                <w:rFonts w:cs="Arial"/>
              </w:rPr>
              <w:t>long term</w:t>
            </w:r>
            <w:proofErr w:type="gramEnd"/>
            <w:r w:rsidRPr="00A50DAA">
              <w:rPr>
                <w:rFonts w:cs="Arial"/>
              </w:rPr>
              <w:t xml:space="preserve"> financial sustainability of Council. The core services include: accounts payable, financial accounting (including reconciliations, financial accounts and statutory returns), management accounting (including annual budget, monitoring and reporting) and strategic project analysis.</w:t>
            </w:r>
            <w:r>
              <w:rPr>
                <w:rFonts w:cs="Arial"/>
              </w:rPr>
              <w:t xml:space="preserve">  </w:t>
            </w:r>
            <w:r w:rsidRPr="000939D5">
              <w:rPr>
                <w:rFonts w:cs="Arial"/>
              </w:rPr>
              <w:t>The Payroll team manages payroll systems and processes, remuneration services, reporting and policy development and review.</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2,033</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4,236</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2,314</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(139)</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(136)</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(120)</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1,894</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4,100</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2,194</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Governance</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rPr>
                <w:rFonts w:eastAsia="Times New Roman" w:cs="Arial"/>
                <w:color w:val="000000"/>
                <w:lang w:eastAsia="en-AU"/>
              </w:rPr>
            </w:pPr>
            <w:r w:rsidRPr="00C63B63">
              <w:rPr>
                <w:rFonts w:eastAsia="Times New Roman" w:cs="Arial"/>
                <w:color w:val="000000"/>
                <w:lang w:eastAsia="en-AU"/>
              </w:rPr>
              <w:t> </w:t>
            </w:r>
            <w:r w:rsidRPr="00A50DAA">
              <w:rPr>
                <w:rFonts w:cs="Arial"/>
              </w:rPr>
              <w:t>This team provides administration and civic support to Councillors, develops Council agendas and minutes, organises citizenship ceremonies, ensures Council-wide statutory compliance and provides governance advice to Council. The team also manages hall-keeping, meeting rooms and catering at the Council offices.</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768</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827</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1,284</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(14)</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(13)</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(166)</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754</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815</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1,118</w:t>
            </w:r>
          </w:p>
        </w:tc>
      </w:tr>
      <w:tr w:rsidR="00A368AB" w:rsidRPr="00A368AB" w:rsidTr="00CA5B7F">
        <w:trPr>
          <w:trHeight w:val="525"/>
        </w:trPr>
        <w:tc>
          <w:tcPr>
            <w:tcW w:w="3216"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9B5872">
              <w:rPr>
                <w:rFonts w:eastAsia="Times New Roman" w:cs="Arial"/>
                <w:b/>
                <w:bCs/>
                <w:color w:val="5B9BD5"/>
                <w:lang w:eastAsia="en-AU"/>
              </w:rPr>
              <w:t>COVID-19 Pandemic</w:t>
            </w:r>
          </w:p>
        </w:tc>
        <w:tc>
          <w:tcPr>
            <w:tcW w:w="275"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83"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CA5B7F">
        <w:trPr>
          <w:trHeight w:val="360"/>
        </w:trPr>
        <w:tc>
          <w:tcPr>
            <w:tcW w:w="3216" w:type="pct"/>
            <w:vMerge w:val="restart"/>
            <w:tcBorders>
              <w:top w:val="nil"/>
              <w:left w:val="nil"/>
              <w:bottom w:val="single" w:sz="4" w:space="0" w:color="000000"/>
              <w:right w:val="nil"/>
            </w:tcBorders>
            <w:shd w:val="clear" w:color="auto" w:fill="auto"/>
            <w:hideMark/>
          </w:tcPr>
          <w:p w:rsidR="00A368AB" w:rsidRPr="00A368AB" w:rsidRDefault="00A368AB" w:rsidP="00A368AB">
            <w:pPr>
              <w:rPr>
                <w:rFonts w:eastAsia="Times New Roman" w:cs="Arial"/>
                <w:color w:val="000000"/>
                <w:lang w:eastAsia="en-AU"/>
              </w:rPr>
            </w:pPr>
            <w:r w:rsidRPr="00A368AB">
              <w:rPr>
                <w:rFonts w:eastAsia="Times New Roman" w:cs="Arial"/>
                <w:color w:val="000000"/>
                <w:lang w:eastAsia="en-AU"/>
              </w:rPr>
              <w:t> </w:t>
            </w:r>
            <w:r w:rsidR="009B5872">
              <w:rPr>
                <w:rFonts w:eastAsia="Times New Roman" w:cs="Arial"/>
                <w:color w:val="000000"/>
                <w:lang w:eastAsia="en-AU"/>
              </w:rPr>
              <w:t xml:space="preserve">Specific funding made available for Council to assist towards community recovery and relief </w:t>
            </w:r>
            <w:proofErr w:type="gramStart"/>
            <w:r w:rsidR="009B5872">
              <w:rPr>
                <w:rFonts w:eastAsia="Times New Roman" w:cs="Arial"/>
                <w:color w:val="000000"/>
                <w:lang w:eastAsia="en-AU"/>
              </w:rPr>
              <w:t>as a result of</w:t>
            </w:r>
            <w:proofErr w:type="gramEnd"/>
            <w:r w:rsidR="009B5872">
              <w:rPr>
                <w:rFonts w:eastAsia="Times New Roman" w:cs="Arial"/>
                <w:color w:val="000000"/>
                <w:lang w:eastAsia="en-AU"/>
              </w:rPr>
              <w:t xml:space="preserve"> the impacts of the COVID-19 pandemic.</w:t>
            </w:r>
          </w:p>
        </w:tc>
        <w:tc>
          <w:tcPr>
            <w:tcW w:w="275"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42"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83"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500</w:t>
            </w:r>
          </w:p>
        </w:tc>
      </w:tr>
      <w:tr w:rsidR="00A368AB" w:rsidRPr="00A368AB" w:rsidTr="00CA5B7F">
        <w:trPr>
          <w:trHeight w:val="36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83"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CA5B7F">
        <w:trPr>
          <w:trHeight w:val="300"/>
        </w:trPr>
        <w:tc>
          <w:tcPr>
            <w:tcW w:w="3216"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75"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83" w:type="pct"/>
            <w:tcBorders>
              <w:top w:val="single" w:sz="4" w:space="0" w:color="auto"/>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w:t>
            </w:r>
          </w:p>
        </w:tc>
        <w:tc>
          <w:tcPr>
            <w:tcW w:w="542"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w:t>
            </w:r>
          </w:p>
        </w:tc>
        <w:tc>
          <w:tcPr>
            <w:tcW w:w="483"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500</w:t>
            </w:r>
          </w:p>
        </w:tc>
      </w:tr>
    </w:tbl>
    <w:p w:rsidR="00A368AB" w:rsidRDefault="00A368AB" w:rsidP="00C63B63"/>
    <w:p w:rsidR="00C63B63" w:rsidRDefault="00C63B63" w:rsidP="00C63B63">
      <w:pPr>
        <w:jc w:val="both"/>
        <w:rPr>
          <w:rFonts w:cs="Arial"/>
          <w:b/>
          <w:bCs/>
          <w:iCs/>
          <w:lang w:eastAsia="en-AU"/>
        </w:rPr>
      </w:pPr>
      <w:r>
        <w:br w:type="page"/>
      </w:r>
    </w:p>
    <w:tbl>
      <w:tblPr>
        <w:tblW w:w="5000" w:type="pct"/>
        <w:tblLook w:val="04A0" w:firstRow="1" w:lastRow="0" w:firstColumn="1" w:lastColumn="0" w:noHBand="0" w:noVBand="1"/>
      </w:tblPr>
      <w:tblGrid>
        <w:gridCol w:w="6732"/>
        <w:gridCol w:w="576"/>
        <w:gridCol w:w="1012"/>
        <w:gridCol w:w="1134"/>
        <w:gridCol w:w="1012"/>
      </w:tblGrid>
      <w:tr w:rsidR="00A368AB" w:rsidRPr="00A368AB" w:rsidTr="00A368AB">
        <w:trPr>
          <w:trHeight w:val="300"/>
        </w:trPr>
        <w:tc>
          <w:tcPr>
            <w:tcW w:w="3308" w:type="pct"/>
            <w:vMerge w:val="restart"/>
            <w:tcBorders>
              <w:top w:val="nil"/>
              <w:left w:val="nil"/>
              <w:bottom w:val="nil"/>
              <w:right w:val="nil"/>
            </w:tcBorders>
            <w:shd w:val="clear" w:color="000000" w:fill="5B9BD5"/>
            <w:vAlign w:val="center"/>
            <w:hideMark/>
          </w:tcPr>
          <w:p w:rsidR="00A368AB" w:rsidRPr="00A368AB" w:rsidRDefault="00A368AB" w:rsidP="00A368AB">
            <w:pPr>
              <w:rPr>
                <w:rFonts w:eastAsia="Times New Roman" w:cs="Arial"/>
                <w:b/>
                <w:bCs/>
                <w:color w:val="FFFFFF"/>
                <w:lang w:eastAsia="en-AU"/>
              </w:rPr>
            </w:pPr>
            <w:r w:rsidRPr="00A368AB">
              <w:rPr>
                <w:rFonts w:eastAsia="Times New Roman" w:cs="Arial"/>
                <w:b/>
                <w:bCs/>
                <w:color w:val="FFFFFF"/>
                <w:lang w:eastAsia="en-AU"/>
              </w:rPr>
              <w:lastRenderedPageBreak/>
              <w:t>Service and Description</w:t>
            </w:r>
          </w:p>
        </w:tc>
        <w:tc>
          <w:tcPr>
            <w:tcW w:w="261"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2018/19</w:t>
            </w:r>
          </w:p>
        </w:tc>
        <w:tc>
          <w:tcPr>
            <w:tcW w:w="514"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2019/20</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2020/21</w:t>
            </w:r>
          </w:p>
        </w:tc>
      </w:tr>
      <w:tr w:rsidR="00A368AB" w:rsidRPr="00A368AB" w:rsidTr="00A368AB">
        <w:trPr>
          <w:trHeight w:val="600"/>
        </w:trPr>
        <w:tc>
          <w:tcPr>
            <w:tcW w:w="3308"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61"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Actual</w:t>
            </w:r>
          </w:p>
        </w:tc>
        <w:tc>
          <w:tcPr>
            <w:tcW w:w="514"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Forecast</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Budget</w:t>
            </w:r>
          </w:p>
        </w:tc>
      </w:tr>
      <w:tr w:rsidR="00A368AB" w:rsidRPr="00A368AB" w:rsidTr="00A368AB">
        <w:trPr>
          <w:trHeight w:val="300"/>
        </w:trPr>
        <w:tc>
          <w:tcPr>
            <w:tcW w:w="3308" w:type="pct"/>
            <w:vMerge/>
            <w:tcBorders>
              <w:top w:val="nil"/>
              <w:left w:val="nil"/>
              <w:bottom w:val="nil"/>
              <w:right w:val="nil"/>
            </w:tcBorders>
            <w:vAlign w:val="center"/>
            <w:hideMark/>
          </w:tcPr>
          <w:p w:rsidR="00A368AB" w:rsidRPr="00A368AB" w:rsidRDefault="00A368AB" w:rsidP="00A368AB">
            <w:pPr>
              <w:rPr>
                <w:rFonts w:eastAsia="Times New Roman" w:cs="Arial"/>
                <w:b/>
                <w:bCs/>
                <w:color w:val="FFFFFF"/>
                <w:lang w:eastAsia="en-AU"/>
              </w:rPr>
            </w:pPr>
          </w:p>
        </w:tc>
        <w:tc>
          <w:tcPr>
            <w:tcW w:w="261"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514"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c>
          <w:tcPr>
            <w:tcW w:w="459" w:type="pct"/>
            <w:tcBorders>
              <w:top w:val="nil"/>
              <w:left w:val="nil"/>
              <w:bottom w:val="nil"/>
              <w:right w:val="nil"/>
            </w:tcBorders>
            <w:shd w:val="clear" w:color="000000" w:fill="5B9BD5"/>
            <w:vAlign w:val="center"/>
            <w:hideMark/>
          </w:tcPr>
          <w:p w:rsidR="00A368AB" w:rsidRPr="00A368AB" w:rsidRDefault="00A368AB" w:rsidP="00A368AB">
            <w:pPr>
              <w:jc w:val="center"/>
              <w:rPr>
                <w:rFonts w:eastAsia="Times New Roman" w:cs="Arial"/>
                <w:b/>
                <w:bCs/>
                <w:color w:val="FFFFFF"/>
                <w:lang w:eastAsia="en-AU"/>
              </w:rPr>
            </w:pPr>
            <w:r w:rsidRPr="00A368AB">
              <w:rPr>
                <w:rFonts w:eastAsia="Times New Roman" w:cs="Arial"/>
                <w:b/>
                <w:bCs/>
                <w:color w:val="FFFFFF"/>
                <w:lang w:eastAsia="en-AU"/>
              </w:rPr>
              <w:t>$'000</w:t>
            </w:r>
          </w:p>
        </w:tc>
      </w:tr>
      <w:tr w:rsidR="00A368AB" w:rsidRPr="00A368AB" w:rsidTr="00A368AB">
        <w:trPr>
          <w:trHeight w:val="525"/>
        </w:trPr>
        <w:tc>
          <w:tcPr>
            <w:tcW w:w="3308"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Workplace People &amp; Culture</w:t>
            </w:r>
          </w:p>
        </w:tc>
        <w:tc>
          <w:tcPr>
            <w:tcW w:w="261"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14"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A368AB">
        <w:trPr>
          <w:trHeight w:val="360"/>
        </w:trPr>
        <w:tc>
          <w:tcPr>
            <w:tcW w:w="3308"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131232">
              <w:rPr>
                <w:rFonts w:eastAsia="Times New Roman" w:cs="Arial"/>
                <w:color w:val="000000"/>
                <w:lang w:eastAsia="en-AU"/>
              </w:rPr>
              <w:t> </w:t>
            </w:r>
            <w:r w:rsidRPr="00B91002">
              <w:rPr>
                <w:rFonts w:cs="Arial"/>
              </w:rPr>
              <w:t>The service provides organisational</w:t>
            </w:r>
            <w:r>
              <w:rPr>
                <w:rFonts w:cs="Arial"/>
              </w:rPr>
              <w:t xml:space="preserve"> management and</w:t>
            </w:r>
            <w:r w:rsidRPr="00B91002">
              <w:rPr>
                <w:rFonts w:cs="Arial"/>
              </w:rPr>
              <w:t xml:space="preserve"> employee support including employee selection and recruitment; induction; job design and analysis; remuneration and benchmarking; employment contracts management; and advisory services for both internal and external candidates seeking employment opportunities within Council</w:t>
            </w:r>
            <w:r>
              <w:rPr>
                <w:rFonts w:cs="Arial"/>
              </w:rPr>
              <w:t>;</w:t>
            </w:r>
            <w:r w:rsidRPr="00B91002">
              <w:rPr>
                <w:rFonts w:cs="Arial"/>
              </w:rPr>
              <w:t xml:space="preserve"> </w:t>
            </w:r>
            <w:r>
              <w:rPr>
                <w:rFonts w:cs="Arial"/>
              </w:rPr>
              <w:t>m</w:t>
            </w:r>
            <w:r w:rsidRPr="00B91002">
              <w:rPr>
                <w:rFonts w:cs="Arial"/>
              </w:rPr>
              <w:t xml:space="preserve">anagement of Council’s </w:t>
            </w:r>
            <w:r>
              <w:rPr>
                <w:rFonts w:cs="Arial"/>
              </w:rPr>
              <w:t xml:space="preserve">OH&amp;S </w:t>
            </w:r>
            <w:r w:rsidRPr="00B91002">
              <w:rPr>
                <w:rFonts w:cs="Arial"/>
              </w:rPr>
              <w:t>safety management system</w:t>
            </w:r>
            <w:r>
              <w:rPr>
                <w:rFonts w:cs="Arial"/>
              </w:rPr>
              <w:t>s;</w:t>
            </w:r>
            <w:r w:rsidRPr="00B91002">
              <w:rPr>
                <w:rFonts w:cs="Arial"/>
              </w:rPr>
              <w:t xml:space="preserve"> </w:t>
            </w:r>
            <w:r>
              <w:rPr>
                <w:rFonts w:cs="Arial"/>
              </w:rPr>
              <w:t>e</w:t>
            </w:r>
            <w:r w:rsidRPr="00B91002">
              <w:rPr>
                <w:rFonts w:cs="Arial"/>
              </w:rPr>
              <w:t>mployee engagement</w:t>
            </w:r>
            <w:r>
              <w:rPr>
                <w:rFonts w:cs="Arial"/>
              </w:rPr>
              <w:t>;</w:t>
            </w:r>
            <w:r w:rsidRPr="00B91002">
              <w:rPr>
                <w:rFonts w:cs="Arial"/>
              </w:rPr>
              <w:t xml:space="preserve"> workforce planning, corporate change management and process improvement activities</w:t>
            </w:r>
            <w:r>
              <w:rPr>
                <w:rFonts w:cs="Arial"/>
              </w:rPr>
              <w:t>;</w:t>
            </w:r>
            <w:r w:rsidRPr="00B91002">
              <w:rPr>
                <w:rFonts w:cs="Arial"/>
              </w:rPr>
              <w:t xml:space="preserve"> </w:t>
            </w:r>
            <w:proofErr w:type="spellStart"/>
            <w:r>
              <w:rPr>
                <w:rFonts w:cs="Arial"/>
              </w:rPr>
              <w:t>w</w:t>
            </w:r>
            <w:r w:rsidRPr="00B91002">
              <w:rPr>
                <w:rFonts w:cs="Arial"/>
              </w:rPr>
              <w:t>ork</w:t>
            </w:r>
            <w:r>
              <w:rPr>
                <w:rFonts w:cs="Arial"/>
              </w:rPr>
              <w:t>c</w:t>
            </w:r>
            <w:r w:rsidRPr="00B91002">
              <w:rPr>
                <w:rFonts w:cs="Arial"/>
              </w:rPr>
              <w:t>over</w:t>
            </w:r>
            <w:proofErr w:type="spellEnd"/>
            <w:r w:rsidRPr="00B91002">
              <w:rPr>
                <w:rFonts w:cs="Arial"/>
              </w:rPr>
              <w:t xml:space="preserve"> and </w:t>
            </w:r>
            <w:r>
              <w:rPr>
                <w:rFonts w:cs="Arial"/>
              </w:rPr>
              <w:t>i</w:t>
            </w:r>
            <w:r w:rsidRPr="00B91002">
              <w:rPr>
                <w:rFonts w:cs="Arial"/>
              </w:rPr>
              <w:t>njury management</w:t>
            </w:r>
            <w:r>
              <w:rPr>
                <w:rFonts w:cs="Arial"/>
              </w:rPr>
              <w:t>;</w:t>
            </w:r>
            <w:r w:rsidRPr="00B91002">
              <w:rPr>
                <w:rFonts w:cs="Arial"/>
              </w:rPr>
              <w:t xml:space="preserve"> management of the employee assistance program</w:t>
            </w:r>
            <w:r>
              <w:rPr>
                <w:rFonts w:cs="Arial"/>
              </w:rPr>
              <w:t>;</w:t>
            </w:r>
            <w:r w:rsidRPr="00B91002">
              <w:rPr>
                <w:rFonts w:cs="Arial"/>
              </w:rPr>
              <w:t xml:space="preserve"> management of employees’ health and wellbeing initiatives</w:t>
            </w:r>
            <w:r>
              <w:rPr>
                <w:rFonts w:cs="Arial"/>
              </w:rPr>
              <w:t>;</w:t>
            </w:r>
            <w:r w:rsidRPr="00B91002">
              <w:rPr>
                <w:rFonts w:cs="Arial"/>
              </w:rPr>
              <w:t xml:space="preserve"> and </w:t>
            </w:r>
            <w:r>
              <w:rPr>
                <w:rFonts w:cs="Arial"/>
              </w:rPr>
              <w:t>w</w:t>
            </w:r>
            <w:r w:rsidRPr="00B91002">
              <w:rPr>
                <w:rFonts w:cs="Arial"/>
              </w:rPr>
              <w:t>orkplace relations</w:t>
            </w:r>
          </w:p>
        </w:tc>
        <w:tc>
          <w:tcPr>
            <w:tcW w:w="261"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59"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2,290</w:t>
            </w:r>
          </w:p>
        </w:tc>
        <w:tc>
          <w:tcPr>
            <w:tcW w:w="514"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2,029</w:t>
            </w:r>
          </w:p>
        </w:tc>
        <w:tc>
          <w:tcPr>
            <w:tcW w:w="459"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2,474</w:t>
            </w:r>
          </w:p>
        </w:tc>
      </w:tr>
      <w:tr w:rsidR="00A368AB" w:rsidRPr="00A368AB" w:rsidTr="00A368AB">
        <w:trPr>
          <w:trHeight w:val="36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A368AB">
        <w:trPr>
          <w:trHeight w:val="30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2,290</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2,029</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2,474</w:t>
            </w:r>
          </w:p>
        </w:tc>
      </w:tr>
      <w:tr w:rsidR="00A368AB" w:rsidRPr="00A368AB" w:rsidTr="00A368AB">
        <w:trPr>
          <w:trHeight w:val="525"/>
        </w:trPr>
        <w:tc>
          <w:tcPr>
            <w:tcW w:w="3308"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Information Technology</w:t>
            </w:r>
          </w:p>
        </w:tc>
        <w:tc>
          <w:tcPr>
            <w:tcW w:w="261"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14"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A368AB">
        <w:trPr>
          <w:trHeight w:val="300"/>
        </w:trPr>
        <w:tc>
          <w:tcPr>
            <w:tcW w:w="3308"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6979A9">
              <w:rPr>
                <w:rFonts w:cs="Arial"/>
              </w:rPr>
              <w:t>This team provides most of its support and services to internal Council employees</w:t>
            </w:r>
            <w:r>
              <w:rPr>
                <w:rFonts w:cs="Arial"/>
              </w:rPr>
              <w:t xml:space="preserve"> with </w:t>
            </w:r>
            <w:r w:rsidRPr="006979A9">
              <w:rPr>
                <w:rFonts w:cs="Arial"/>
              </w:rPr>
              <w:t>indirect benefits to the community by providing information technology infrastructure and systems to all Council teams to enable efficient and effective service delivery</w:t>
            </w:r>
            <w:r>
              <w:rPr>
                <w:rFonts w:cs="Arial"/>
              </w:rPr>
              <w:t xml:space="preserve"> to the community.</w:t>
            </w:r>
            <w:r w:rsidRPr="006979A9">
              <w:rPr>
                <w:rFonts w:cs="Arial"/>
              </w:rPr>
              <w:t xml:space="preserve"> Also provided is the back-end technical support for Council’s websites; the ability for electronic transactions to take place through Council’s </w:t>
            </w:r>
            <w:proofErr w:type="spellStart"/>
            <w:r w:rsidRPr="006979A9">
              <w:rPr>
                <w:rFonts w:cs="Arial"/>
              </w:rPr>
              <w:t>eServices</w:t>
            </w:r>
            <w:proofErr w:type="spellEnd"/>
            <w:r w:rsidRPr="006979A9">
              <w:rPr>
                <w:rFonts w:cs="Arial"/>
              </w:rPr>
              <w:t>; and a public online mapping system for the community to access via Council’s website.</w:t>
            </w:r>
          </w:p>
        </w:tc>
        <w:tc>
          <w:tcPr>
            <w:tcW w:w="261"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59"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3,513</w:t>
            </w:r>
          </w:p>
        </w:tc>
        <w:tc>
          <w:tcPr>
            <w:tcW w:w="514"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3,965</w:t>
            </w:r>
          </w:p>
        </w:tc>
        <w:tc>
          <w:tcPr>
            <w:tcW w:w="459"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3,927</w:t>
            </w:r>
          </w:p>
        </w:tc>
      </w:tr>
      <w:tr w:rsidR="00A368AB" w:rsidRPr="00A368AB" w:rsidTr="00A368AB">
        <w:trPr>
          <w:trHeight w:val="30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w:t>
            </w:r>
          </w:p>
        </w:tc>
      </w:tr>
      <w:tr w:rsidR="00A368AB" w:rsidRPr="00A368AB" w:rsidTr="00A368AB">
        <w:trPr>
          <w:trHeight w:val="30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3,513</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3,965</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3,927</w:t>
            </w:r>
          </w:p>
        </w:tc>
      </w:tr>
      <w:tr w:rsidR="00A368AB" w:rsidRPr="00A368AB" w:rsidTr="00A368AB">
        <w:trPr>
          <w:trHeight w:val="525"/>
        </w:trPr>
        <w:tc>
          <w:tcPr>
            <w:tcW w:w="3308" w:type="pct"/>
            <w:tcBorders>
              <w:top w:val="nil"/>
              <w:left w:val="nil"/>
              <w:bottom w:val="single" w:sz="4" w:space="0" w:color="auto"/>
              <w:right w:val="nil"/>
            </w:tcBorders>
            <w:shd w:val="clear" w:color="auto" w:fill="auto"/>
            <w:noWrap/>
            <w:vAlign w:val="center"/>
            <w:hideMark/>
          </w:tcPr>
          <w:p w:rsidR="00A368AB" w:rsidRPr="00A368AB" w:rsidRDefault="00A368AB" w:rsidP="00A368AB">
            <w:pPr>
              <w:rPr>
                <w:rFonts w:eastAsia="Times New Roman" w:cs="Arial"/>
                <w:b/>
                <w:bCs/>
                <w:color w:val="5B9BD5"/>
                <w:lang w:eastAsia="en-AU"/>
              </w:rPr>
            </w:pPr>
            <w:r w:rsidRPr="00A368AB">
              <w:rPr>
                <w:rFonts w:eastAsia="Times New Roman" w:cs="Arial"/>
                <w:b/>
                <w:bCs/>
                <w:color w:val="5B9BD5"/>
                <w:lang w:eastAsia="en-AU"/>
              </w:rPr>
              <w:t>Local Laws</w:t>
            </w:r>
          </w:p>
        </w:tc>
        <w:tc>
          <w:tcPr>
            <w:tcW w:w="261"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514" w:type="pct"/>
            <w:tcBorders>
              <w:top w:val="nil"/>
              <w:left w:val="nil"/>
              <w:bottom w:val="single" w:sz="4" w:space="0" w:color="auto"/>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r w:rsidRPr="00A368AB">
              <w:rPr>
                <w:rFonts w:eastAsia="Times New Roman" w:cs="Arial"/>
                <w:b/>
                <w:bCs/>
                <w:color w:val="FFFFFF"/>
                <w:sz w:val="18"/>
                <w:szCs w:val="18"/>
                <w:lang w:eastAsia="en-AU"/>
              </w:rPr>
              <w:t> </w:t>
            </w:r>
          </w:p>
        </w:tc>
        <w:tc>
          <w:tcPr>
            <w:tcW w:w="459" w:type="pct"/>
            <w:tcBorders>
              <w:top w:val="nil"/>
              <w:left w:val="nil"/>
              <w:bottom w:val="nil"/>
              <w:right w:val="nil"/>
            </w:tcBorders>
            <w:shd w:val="clear" w:color="auto" w:fill="auto"/>
            <w:vAlign w:val="center"/>
            <w:hideMark/>
          </w:tcPr>
          <w:p w:rsidR="00A368AB" w:rsidRPr="00A368AB" w:rsidRDefault="00A368AB" w:rsidP="00A368AB">
            <w:pPr>
              <w:jc w:val="center"/>
              <w:rPr>
                <w:rFonts w:eastAsia="Times New Roman" w:cs="Arial"/>
                <w:b/>
                <w:bCs/>
                <w:color w:val="FFFFFF"/>
                <w:sz w:val="18"/>
                <w:szCs w:val="18"/>
                <w:lang w:eastAsia="en-AU"/>
              </w:rPr>
            </w:pPr>
          </w:p>
        </w:tc>
      </w:tr>
      <w:tr w:rsidR="00A368AB" w:rsidRPr="00A368AB" w:rsidTr="00A368AB">
        <w:trPr>
          <w:trHeight w:val="360"/>
        </w:trPr>
        <w:tc>
          <w:tcPr>
            <w:tcW w:w="3308" w:type="pct"/>
            <w:vMerge w:val="restart"/>
            <w:tcBorders>
              <w:top w:val="nil"/>
              <w:left w:val="nil"/>
              <w:bottom w:val="single" w:sz="4" w:space="0" w:color="000000"/>
              <w:right w:val="nil"/>
            </w:tcBorders>
            <w:shd w:val="clear" w:color="auto" w:fill="auto"/>
            <w:hideMark/>
          </w:tcPr>
          <w:p w:rsidR="00A368AB" w:rsidRPr="00A368AB" w:rsidRDefault="00A368AB" w:rsidP="00A368AB">
            <w:pPr>
              <w:jc w:val="both"/>
              <w:rPr>
                <w:rFonts w:eastAsia="Times New Roman" w:cs="Arial"/>
                <w:color w:val="000000"/>
                <w:lang w:eastAsia="en-AU"/>
              </w:rPr>
            </w:pPr>
            <w:r w:rsidRPr="00A368AB">
              <w:rPr>
                <w:rFonts w:eastAsia="Times New Roman" w:cs="Arial"/>
                <w:color w:val="000000"/>
                <w:lang w:eastAsia="en-AU"/>
              </w:rPr>
              <w:t> </w:t>
            </w:r>
            <w:r w:rsidRPr="00131232">
              <w:rPr>
                <w:rFonts w:eastAsia="Times New Roman" w:cs="Arial"/>
                <w:color w:val="000000"/>
                <w:lang w:eastAsia="en-AU"/>
              </w:rPr>
              <w:t> </w:t>
            </w:r>
            <w:r w:rsidRPr="00ED779B">
              <w:rPr>
                <w:rFonts w:cs="Arial"/>
                <w:lang w:eastAsia="en-AU"/>
              </w:rPr>
              <w:t>The Local Laws team provides a broad range services to ensure the amenity, function and safety of the City is maintained to a high standard. The activities include the registration and management of domestic animals; ensuring the management of safe and accessible car parking; protection of resident and business amenity and safety; ensuring fire preparedness and prevention; and managing the City’s school crossings.</w:t>
            </w:r>
          </w:p>
        </w:tc>
        <w:tc>
          <w:tcPr>
            <w:tcW w:w="261" w:type="pct"/>
            <w:tcBorders>
              <w:top w:val="nil"/>
              <w:left w:val="nil"/>
              <w:bottom w:val="nil"/>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Exp</w:t>
            </w:r>
          </w:p>
        </w:tc>
        <w:tc>
          <w:tcPr>
            <w:tcW w:w="459"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3,581</w:t>
            </w:r>
          </w:p>
        </w:tc>
        <w:tc>
          <w:tcPr>
            <w:tcW w:w="514" w:type="pct"/>
            <w:tcBorders>
              <w:top w:val="nil"/>
              <w:left w:val="nil"/>
              <w:bottom w:val="nil"/>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3,632</w:t>
            </w:r>
          </w:p>
        </w:tc>
        <w:tc>
          <w:tcPr>
            <w:tcW w:w="459" w:type="pct"/>
            <w:tcBorders>
              <w:top w:val="single" w:sz="4" w:space="0" w:color="auto"/>
              <w:left w:val="nil"/>
              <w:bottom w:val="nil"/>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4,063</w:t>
            </w:r>
          </w:p>
        </w:tc>
      </w:tr>
      <w:tr w:rsidR="00A368AB" w:rsidRPr="00A368AB" w:rsidTr="00A368AB">
        <w:trPr>
          <w:trHeight w:val="36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sz w:val="18"/>
                <w:szCs w:val="18"/>
                <w:lang w:eastAsia="en-AU"/>
              </w:rPr>
            </w:pPr>
            <w:r w:rsidRPr="00A368AB">
              <w:rPr>
                <w:rFonts w:eastAsia="Times New Roman" w:cs="Arial"/>
                <w:sz w:val="18"/>
                <w:szCs w:val="18"/>
                <w:lang w:eastAsia="en-AU"/>
              </w:rPr>
              <w:t>Rev</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(2,801)</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(2,635)</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sz w:val="18"/>
                <w:szCs w:val="18"/>
                <w:lang w:eastAsia="en-AU"/>
              </w:rPr>
            </w:pPr>
            <w:r w:rsidRPr="00A368AB">
              <w:rPr>
                <w:rFonts w:eastAsia="Times New Roman" w:cs="Arial"/>
                <w:sz w:val="18"/>
                <w:szCs w:val="18"/>
                <w:lang w:eastAsia="en-AU"/>
              </w:rPr>
              <w:t>(2,835)</w:t>
            </w:r>
          </w:p>
        </w:tc>
      </w:tr>
      <w:tr w:rsidR="00A368AB" w:rsidRPr="00A368AB" w:rsidTr="00A368AB">
        <w:trPr>
          <w:trHeight w:val="300"/>
        </w:trPr>
        <w:tc>
          <w:tcPr>
            <w:tcW w:w="3308" w:type="pct"/>
            <w:vMerge/>
            <w:tcBorders>
              <w:top w:val="nil"/>
              <w:left w:val="nil"/>
              <w:bottom w:val="single" w:sz="4" w:space="0" w:color="000000"/>
              <w:right w:val="nil"/>
            </w:tcBorders>
            <w:vAlign w:val="center"/>
            <w:hideMark/>
          </w:tcPr>
          <w:p w:rsidR="00A368AB" w:rsidRPr="00A368AB" w:rsidRDefault="00A368AB" w:rsidP="00A368AB">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A368AB" w:rsidRPr="00A368AB" w:rsidRDefault="00A368AB" w:rsidP="00A368AB">
            <w:pPr>
              <w:rPr>
                <w:rFonts w:eastAsia="Times New Roman" w:cs="Arial"/>
                <w:b/>
                <w:bCs/>
                <w:sz w:val="18"/>
                <w:szCs w:val="18"/>
                <w:lang w:eastAsia="en-AU"/>
              </w:rPr>
            </w:pPr>
            <w:r w:rsidRPr="00A368AB">
              <w:rPr>
                <w:rFonts w:eastAsia="Times New Roman" w:cs="Arial"/>
                <w:b/>
                <w:bCs/>
                <w:sz w:val="18"/>
                <w:szCs w:val="18"/>
                <w:lang w:eastAsia="en-AU"/>
              </w:rPr>
              <w:t>NET</w:t>
            </w:r>
          </w:p>
        </w:tc>
        <w:tc>
          <w:tcPr>
            <w:tcW w:w="459"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780</w:t>
            </w:r>
          </w:p>
        </w:tc>
        <w:tc>
          <w:tcPr>
            <w:tcW w:w="514" w:type="pct"/>
            <w:tcBorders>
              <w:top w:val="nil"/>
              <w:left w:val="nil"/>
              <w:bottom w:val="single" w:sz="4" w:space="0" w:color="auto"/>
              <w:right w:val="nil"/>
            </w:tcBorders>
            <w:shd w:val="clear" w:color="000000" w:fill="FFFFFF"/>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997</w:t>
            </w:r>
          </w:p>
        </w:tc>
        <w:tc>
          <w:tcPr>
            <w:tcW w:w="459" w:type="pct"/>
            <w:tcBorders>
              <w:top w:val="nil"/>
              <w:left w:val="nil"/>
              <w:bottom w:val="single" w:sz="4" w:space="0" w:color="auto"/>
              <w:right w:val="nil"/>
            </w:tcBorders>
            <w:shd w:val="clear" w:color="000000" w:fill="BDD7EE"/>
            <w:hideMark/>
          </w:tcPr>
          <w:p w:rsidR="00A368AB" w:rsidRPr="00A368AB" w:rsidRDefault="00A368AB" w:rsidP="00A368AB">
            <w:pPr>
              <w:jc w:val="right"/>
              <w:rPr>
                <w:rFonts w:eastAsia="Times New Roman" w:cs="Arial"/>
                <w:b/>
                <w:bCs/>
                <w:sz w:val="18"/>
                <w:szCs w:val="18"/>
                <w:lang w:eastAsia="en-AU"/>
              </w:rPr>
            </w:pPr>
            <w:r w:rsidRPr="00A368AB">
              <w:rPr>
                <w:rFonts w:eastAsia="Times New Roman" w:cs="Arial"/>
                <w:b/>
                <w:bCs/>
                <w:sz w:val="18"/>
                <w:szCs w:val="18"/>
                <w:lang w:eastAsia="en-AU"/>
              </w:rPr>
              <w:t>1,228</w:t>
            </w:r>
          </w:p>
        </w:tc>
      </w:tr>
    </w:tbl>
    <w:p w:rsidR="00C63B63" w:rsidRPr="002C3422" w:rsidRDefault="00C63B63" w:rsidP="004B2040">
      <w:pPr>
        <w:jc w:val="both"/>
        <w:rPr>
          <w:rFonts w:cs="Arial"/>
          <w:b/>
          <w:bCs/>
          <w:iCs/>
          <w:lang w:eastAsia="en-AU"/>
        </w:rPr>
      </w:pPr>
    </w:p>
    <w:p w:rsidR="00C63B63" w:rsidRDefault="00C63B63" w:rsidP="004B2040"/>
    <w:p w:rsidR="004B2040" w:rsidRDefault="004B2040" w:rsidP="004B2040">
      <w:r>
        <w:br w:type="page"/>
      </w:r>
    </w:p>
    <w:tbl>
      <w:tblPr>
        <w:tblW w:w="5000" w:type="pct"/>
        <w:tblLook w:val="04A0" w:firstRow="1" w:lastRow="0" w:firstColumn="1" w:lastColumn="0" w:noHBand="0" w:noVBand="1"/>
      </w:tblPr>
      <w:tblGrid>
        <w:gridCol w:w="6732"/>
        <w:gridCol w:w="576"/>
        <w:gridCol w:w="1012"/>
        <w:gridCol w:w="1134"/>
        <w:gridCol w:w="1012"/>
      </w:tblGrid>
      <w:tr w:rsidR="003233F0" w:rsidRPr="003233F0" w:rsidTr="003233F0">
        <w:trPr>
          <w:trHeight w:val="300"/>
        </w:trPr>
        <w:tc>
          <w:tcPr>
            <w:tcW w:w="3308" w:type="pct"/>
            <w:vMerge w:val="restart"/>
            <w:tcBorders>
              <w:top w:val="nil"/>
              <w:left w:val="nil"/>
              <w:bottom w:val="nil"/>
              <w:right w:val="nil"/>
            </w:tcBorders>
            <w:shd w:val="clear" w:color="000000" w:fill="5B9BD5"/>
            <w:vAlign w:val="center"/>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lastRenderedPageBreak/>
              <w:t>Service and Description</w:t>
            </w:r>
          </w:p>
        </w:tc>
        <w:tc>
          <w:tcPr>
            <w:tcW w:w="261"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2018/19</w:t>
            </w:r>
          </w:p>
        </w:tc>
        <w:tc>
          <w:tcPr>
            <w:tcW w:w="514"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2019/20</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2020/21</w:t>
            </w:r>
          </w:p>
        </w:tc>
      </w:tr>
      <w:tr w:rsidR="003233F0" w:rsidRPr="003233F0" w:rsidTr="003233F0">
        <w:trPr>
          <w:trHeight w:val="600"/>
        </w:trPr>
        <w:tc>
          <w:tcPr>
            <w:tcW w:w="3308" w:type="pct"/>
            <w:vMerge/>
            <w:tcBorders>
              <w:top w:val="nil"/>
              <w:left w:val="nil"/>
              <w:bottom w:val="nil"/>
              <w:right w:val="nil"/>
            </w:tcBorders>
            <w:vAlign w:val="center"/>
            <w:hideMark/>
          </w:tcPr>
          <w:p w:rsidR="003233F0" w:rsidRPr="003233F0" w:rsidRDefault="003233F0" w:rsidP="003233F0">
            <w:pPr>
              <w:rPr>
                <w:rFonts w:eastAsia="Times New Roman" w:cs="Arial"/>
                <w:b/>
                <w:bCs/>
                <w:color w:val="FFFFFF"/>
                <w:lang w:eastAsia="en-AU"/>
              </w:rPr>
            </w:pPr>
          </w:p>
        </w:tc>
        <w:tc>
          <w:tcPr>
            <w:tcW w:w="261"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Actual</w:t>
            </w:r>
          </w:p>
        </w:tc>
        <w:tc>
          <w:tcPr>
            <w:tcW w:w="514"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Forecast</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Budget</w:t>
            </w:r>
          </w:p>
        </w:tc>
      </w:tr>
      <w:tr w:rsidR="003233F0" w:rsidRPr="003233F0" w:rsidTr="003233F0">
        <w:trPr>
          <w:trHeight w:val="300"/>
        </w:trPr>
        <w:tc>
          <w:tcPr>
            <w:tcW w:w="3308" w:type="pct"/>
            <w:vMerge/>
            <w:tcBorders>
              <w:top w:val="nil"/>
              <w:left w:val="nil"/>
              <w:bottom w:val="nil"/>
              <w:right w:val="nil"/>
            </w:tcBorders>
            <w:vAlign w:val="center"/>
            <w:hideMark/>
          </w:tcPr>
          <w:p w:rsidR="003233F0" w:rsidRPr="003233F0" w:rsidRDefault="003233F0" w:rsidP="003233F0">
            <w:pPr>
              <w:rPr>
                <w:rFonts w:eastAsia="Times New Roman" w:cs="Arial"/>
                <w:b/>
                <w:bCs/>
                <w:color w:val="FFFFFF"/>
                <w:lang w:eastAsia="en-AU"/>
              </w:rPr>
            </w:pPr>
          </w:p>
        </w:tc>
        <w:tc>
          <w:tcPr>
            <w:tcW w:w="261"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 </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c>
          <w:tcPr>
            <w:tcW w:w="514"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c>
          <w:tcPr>
            <w:tcW w:w="459" w:type="pct"/>
            <w:tcBorders>
              <w:top w:val="nil"/>
              <w:left w:val="nil"/>
              <w:bottom w:val="nil"/>
              <w:right w:val="nil"/>
            </w:tcBorders>
            <w:shd w:val="clear" w:color="000000" w:fill="5B9BD5"/>
            <w:vAlign w:val="center"/>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r>
      <w:tr w:rsidR="003233F0" w:rsidRPr="003233F0" w:rsidTr="003233F0">
        <w:trPr>
          <w:trHeight w:val="525"/>
        </w:trPr>
        <w:tc>
          <w:tcPr>
            <w:tcW w:w="3308" w:type="pct"/>
            <w:tcBorders>
              <w:top w:val="nil"/>
              <w:left w:val="nil"/>
              <w:bottom w:val="single" w:sz="4" w:space="0" w:color="auto"/>
              <w:right w:val="nil"/>
            </w:tcBorders>
            <w:shd w:val="clear" w:color="auto" w:fill="auto"/>
            <w:noWrap/>
            <w:vAlign w:val="center"/>
            <w:hideMark/>
          </w:tcPr>
          <w:p w:rsidR="003233F0" w:rsidRPr="003233F0" w:rsidRDefault="003233F0" w:rsidP="003233F0">
            <w:pPr>
              <w:rPr>
                <w:rFonts w:eastAsia="Times New Roman" w:cs="Arial"/>
                <w:b/>
                <w:bCs/>
                <w:color w:val="5B9BD5"/>
                <w:lang w:eastAsia="en-AU"/>
              </w:rPr>
            </w:pPr>
            <w:r w:rsidRPr="003233F0">
              <w:rPr>
                <w:rFonts w:eastAsia="Times New Roman" w:cs="Arial"/>
                <w:b/>
                <w:bCs/>
                <w:color w:val="5B9BD5"/>
                <w:lang w:eastAsia="en-AU"/>
              </w:rPr>
              <w:t>Revenue, Property and Valuations</w:t>
            </w:r>
          </w:p>
        </w:tc>
        <w:tc>
          <w:tcPr>
            <w:tcW w:w="261"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459"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514"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459" w:type="pct"/>
            <w:tcBorders>
              <w:top w:val="nil"/>
              <w:left w:val="nil"/>
              <w:bottom w:val="nil"/>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p>
        </w:tc>
      </w:tr>
      <w:tr w:rsidR="003233F0" w:rsidRPr="003233F0" w:rsidTr="003233F0">
        <w:trPr>
          <w:trHeight w:val="360"/>
        </w:trPr>
        <w:tc>
          <w:tcPr>
            <w:tcW w:w="3308" w:type="pct"/>
            <w:vMerge w:val="restart"/>
            <w:tcBorders>
              <w:top w:val="nil"/>
              <w:left w:val="nil"/>
              <w:bottom w:val="single" w:sz="4" w:space="0" w:color="000000"/>
              <w:right w:val="nil"/>
            </w:tcBorders>
            <w:shd w:val="clear" w:color="auto" w:fill="auto"/>
            <w:hideMark/>
          </w:tcPr>
          <w:p w:rsidR="003233F0" w:rsidRPr="003233F0" w:rsidRDefault="003233F0" w:rsidP="003233F0">
            <w:pPr>
              <w:jc w:val="both"/>
              <w:rPr>
                <w:rFonts w:eastAsia="Times New Roman" w:cs="Arial"/>
                <w:color w:val="000000"/>
                <w:lang w:eastAsia="en-AU"/>
              </w:rPr>
            </w:pPr>
            <w:r w:rsidRPr="003233F0">
              <w:rPr>
                <w:rFonts w:eastAsia="Times New Roman" w:cs="Arial"/>
                <w:color w:val="000000"/>
                <w:lang w:eastAsia="en-AU"/>
              </w:rPr>
              <w:t> </w:t>
            </w:r>
            <w:r w:rsidRPr="006979A9">
              <w:rPr>
                <w:rFonts w:cs="Arial"/>
                <w:lang w:eastAsia="en-AU"/>
              </w:rPr>
              <w:t>This team provides, develops and implements revenue policy and strategy development, the annual rating strategy, statutory declarations and notices, and rate and charge generation. The function</w:t>
            </w:r>
            <w:r>
              <w:rPr>
                <w:rFonts w:cs="Arial"/>
                <w:lang w:eastAsia="en-AU"/>
              </w:rPr>
              <w:t xml:space="preserve"> pays the State Government for</w:t>
            </w:r>
            <w:r w:rsidRPr="006979A9">
              <w:rPr>
                <w:rFonts w:cs="Arial"/>
                <w:lang w:eastAsia="en-AU"/>
              </w:rPr>
              <w:t xml:space="preserve"> general property valuations, supplementary rating valuations, non-rating valuations, and </w:t>
            </w:r>
            <w:r>
              <w:rPr>
                <w:rFonts w:cs="Arial"/>
                <w:lang w:eastAsia="en-AU"/>
              </w:rPr>
              <w:t xml:space="preserve">collects </w:t>
            </w:r>
            <w:r w:rsidRPr="006979A9">
              <w:rPr>
                <w:rFonts w:cs="Arial"/>
                <w:lang w:eastAsia="en-AU"/>
              </w:rPr>
              <w:t xml:space="preserve">reviews </w:t>
            </w:r>
            <w:r>
              <w:rPr>
                <w:rFonts w:cs="Arial"/>
                <w:lang w:eastAsia="en-AU"/>
              </w:rPr>
              <w:t>from</w:t>
            </w:r>
            <w:r w:rsidRPr="006979A9">
              <w:rPr>
                <w:rFonts w:cs="Arial"/>
                <w:lang w:eastAsia="en-AU"/>
              </w:rPr>
              <w:t xml:space="preserve"> rateability of properties. The team also issues rate notices, develops revenue projections, manages concessions, leads Council’s debt recovery and manages the </w:t>
            </w:r>
            <w:r>
              <w:rPr>
                <w:rFonts w:cs="Arial"/>
                <w:lang w:eastAsia="en-AU"/>
              </w:rPr>
              <w:t xml:space="preserve">Councils </w:t>
            </w:r>
            <w:r w:rsidRPr="006979A9">
              <w:rPr>
                <w:rFonts w:cs="Arial"/>
                <w:lang w:eastAsia="en-AU"/>
              </w:rPr>
              <w:t>property</w:t>
            </w:r>
          </w:p>
        </w:tc>
        <w:tc>
          <w:tcPr>
            <w:tcW w:w="261" w:type="pct"/>
            <w:tcBorders>
              <w:top w:val="nil"/>
              <w:left w:val="nil"/>
              <w:bottom w:val="nil"/>
              <w:right w:val="nil"/>
            </w:tcBorders>
            <w:shd w:val="clear" w:color="000000" w:fill="FFFFFF"/>
            <w:hideMark/>
          </w:tcPr>
          <w:p w:rsidR="003233F0" w:rsidRPr="003233F0" w:rsidRDefault="003233F0" w:rsidP="003233F0">
            <w:pPr>
              <w:rPr>
                <w:rFonts w:eastAsia="Times New Roman" w:cs="Arial"/>
                <w:sz w:val="18"/>
                <w:szCs w:val="18"/>
                <w:lang w:eastAsia="en-AU"/>
              </w:rPr>
            </w:pPr>
            <w:r w:rsidRPr="003233F0">
              <w:rPr>
                <w:rFonts w:eastAsia="Times New Roman" w:cs="Arial"/>
                <w:sz w:val="18"/>
                <w:szCs w:val="18"/>
                <w:lang w:eastAsia="en-AU"/>
              </w:rPr>
              <w:t>Exp</w:t>
            </w:r>
          </w:p>
        </w:tc>
        <w:tc>
          <w:tcPr>
            <w:tcW w:w="459" w:type="pct"/>
            <w:tcBorders>
              <w:top w:val="nil"/>
              <w:left w:val="nil"/>
              <w:bottom w:val="nil"/>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2,828</w:t>
            </w:r>
          </w:p>
        </w:tc>
        <w:tc>
          <w:tcPr>
            <w:tcW w:w="514" w:type="pct"/>
            <w:tcBorders>
              <w:top w:val="nil"/>
              <w:left w:val="nil"/>
              <w:bottom w:val="nil"/>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2,953</w:t>
            </w:r>
          </w:p>
        </w:tc>
        <w:tc>
          <w:tcPr>
            <w:tcW w:w="459" w:type="pct"/>
            <w:tcBorders>
              <w:top w:val="single" w:sz="4" w:space="0" w:color="auto"/>
              <w:left w:val="nil"/>
              <w:bottom w:val="nil"/>
              <w:right w:val="nil"/>
            </w:tcBorders>
            <w:shd w:val="clear" w:color="000000" w:fill="BDD7EE"/>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3,016</w:t>
            </w:r>
          </w:p>
        </w:tc>
      </w:tr>
      <w:tr w:rsidR="003233F0" w:rsidRPr="003233F0" w:rsidTr="003233F0">
        <w:trPr>
          <w:trHeight w:val="360"/>
        </w:trPr>
        <w:tc>
          <w:tcPr>
            <w:tcW w:w="3308" w:type="pct"/>
            <w:vMerge/>
            <w:tcBorders>
              <w:top w:val="nil"/>
              <w:left w:val="nil"/>
              <w:bottom w:val="single" w:sz="4" w:space="0" w:color="000000"/>
              <w:right w:val="nil"/>
            </w:tcBorders>
            <w:vAlign w:val="center"/>
            <w:hideMark/>
          </w:tcPr>
          <w:p w:rsidR="003233F0" w:rsidRPr="003233F0" w:rsidRDefault="003233F0" w:rsidP="003233F0">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3233F0" w:rsidRPr="003233F0" w:rsidRDefault="003233F0" w:rsidP="003233F0">
            <w:pPr>
              <w:rPr>
                <w:rFonts w:eastAsia="Times New Roman" w:cs="Arial"/>
                <w:sz w:val="18"/>
                <w:szCs w:val="18"/>
                <w:lang w:eastAsia="en-AU"/>
              </w:rPr>
            </w:pPr>
            <w:r w:rsidRPr="003233F0">
              <w:rPr>
                <w:rFonts w:eastAsia="Times New Roman" w:cs="Arial"/>
                <w:sz w:val="18"/>
                <w:szCs w:val="18"/>
                <w:lang w:eastAsia="en-AU"/>
              </w:rPr>
              <w:t>Rev</w:t>
            </w:r>
          </w:p>
        </w:tc>
        <w:tc>
          <w:tcPr>
            <w:tcW w:w="459"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(712)</w:t>
            </w:r>
          </w:p>
        </w:tc>
        <w:tc>
          <w:tcPr>
            <w:tcW w:w="514"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(620)</w:t>
            </w:r>
          </w:p>
        </w:tc>
        <w:tc>
          <w:tcPr>
            <w:tcW w:w="459" w:type="pct"/>
            <w:tcBorders>
              <w:top w:val="nil"/>
              <w:left w:val="nil"/>
              <w:bottom w:val="single" w:sz="4" w:space="0" w:color="auto"/>
              <w:right w:val="nil"/>
            </w:tcBorders>
            <w:shd w:val="clear" w:color="000000" w:fill="BDD7EE"/>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(736)</w:t>
            </w:r>
          </w:p>
        </w:tc>
      </w:tr>
      <w:tr w:rsidR="003233F0" w:rsidRPr="003233F0" w:rsidTr="003233F0">
        <w:trPr>
          <w:trHeight w:val="300"/>
        </w:trPr>
        <w:tc>
          <w:tcPr>
            <w:tcW w:w="3308" w:type="pct"/>
            <w:vMerge/>
            <w:tcBorders>
              <w:top w:val="nil"/>
              <w:left w:val="nil"/>
              <w:bottom w:val="single" w:sz="4" w:space="0" w:color="000000"/>
              <w:right w:val="nil"/>
            </w:tcBorders>
            <w:vAlign w:val="center"/>
            <w:hideMark/>
          </w:tcPr>
          <w:p w:rsidR="003233F0" w:rsidRPr="003233F0" w:rsidRDefault="003233F0" w:rsidP="003233F0">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3233F0" w:rsidRPr="003233F0" w:rsidRDefault="003233F0" w:rsidP="003233F0">
            <w:pPr>
              <w:rPr>
                <w:rFonts w:eastAsia="Times New Roman" w:cs="Arial"/>
                <w:b/>
                <w:bCs/>
                <w:sz w:val="18"/>
                <w:szCs w:val="18"/>
                <w:lang w:eastAsia="en-AU"/>
              </w:rPr>
            </w:pPr>
            <w:r w:rsidRPr="003233F0">
              <w:rPr>
                <w:rFonts w:eastAsia="Times New Roman" w:cs="Arial"/>
                <w:b/>
                <w:bCs/>
                <w:sz w:val="18"/>
                <w:szCs w:val="18"/>
                <w:lang w:eastAsia="en-AU"/>
              </w:rPr>
              <w:t>NET</w:t>
            </w:r>
          </w:p>
        </w:tc>
        <w:tc>
          <w:tcPr>
            <w:tcW w:w="459"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2,117</w:t>
            </w:r>
          </w:p>
        </w:tc>
        <w:tc>
          <w:tcPr>
            <w:tcW w:w="514"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2,333</w:t>
            </w:r>
          </w:p>
        </w:tc>
        <w:tc>
          <w:tcPr>
            <w:tcW w:w="459" w:type="pct"/>
            <w:tcBorders>
              <w:top w:val="nil"/>
              <w:left w:val="nil"/>
              <w:bottom w:val="single" w:sz="4" w:space="0" w:color="auto"/>
              <w:right w:val="nil"/>
            </w:tcBorders>
            <w:shd w:val="clear" w:color="000000" w:fill="BDD7EE"/>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2,280</w:t>
            </w:r>
          </w:p>
        </w:tc>
      </w:tr>
      <w:tr w:rsidR="003233F0" w:rsidRPr="003233F0" w:rsidTr="003233F0">
        <w:trPr>
          <w:trHeight w:val="525"/>
        </w:trPr>
        <w:tc>
          <w:tcPr>
            <w:tcW w:w="3308" w:type="pct"/>
            <w:tcBorders>
              <w:top w:val="nil"/>
              <w:left w:val="nil"/>
              <w:bottom w:val="single" w:sz="4" w:space="0" w:color="auto"/>
              <w:right w:val="nil"/>
            </w:tcBorders>
            <w:shd w:val="clear" w:color="auto" w:fill="auto"/>
            <w:noWrap/>
            <w:vAlign w:val="center"/>
            <w:hideMark/>
          </w:tcPr>
          <w:p w:rsidR="003233F0" w:rsidRPr="003233F0" w:rsidRDefault="003233F0" w:rsidP="003233F0">
            <w:pPr>
              <w:rPr>
                <w:rFonts w:eastAsia="Times New Roman" w:cs="Arial"/>
                <w:b/>
                <w:bCs/>
                <w:color w:val="5B9BD5"/>
                <w:lang w:eastAsia="en-AU"/>
              </w:rPr>
            </w:pPr>
            <w:r w:rsidRPr="003233F0">
              <w:rPr>
                <w:rFonts w:eastAsia="Times New Roman" w:cs="Arial"/>
                <w:b/>
                <w:bCs/>
                <w:color w:val="5B9BD5"/>
                <w:lang w:eastAsia="en-AU"/>
              </w:rPr>
              <w:t>Risk, Information and Integrity Management</w:t>
            </w:r>
          </w:p>
        </w:tc>
        <w:tc>
          <w:tcPr>
            <w:tcW w:w="261"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459"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514" w:type="pct"/>
            <w:tcBorders>
              <w:top w:val="nil"/>
              <w:left w:val="nil"/>
              <w:bottom w:val="single" w:sz="4" w:space="0" w:color="auto"/>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r w:rsidRPr="003233F0">
              <w:rPr>
                <w:rFonts w:eastAsia="Times New Roman" w:cs="Arial"/>
                <w:b/>
                <w:bCs/>
                <w:color w:val="FFFFFF"/>
                <w:sz w:val="18"/>
                <w:szCs w:val="18"/>
                <w:lang w:eastAsia="en-AU"/>
              </w:rPr>
              <w:t> </w:t>
            </w:r>
          </w:p>
        </w:tc>
        <w:tc>
          <w:tcPr>
            <w:tcW w:w="459" w:type="pct"/>
            <w:tcBorders>
              <w:top w:val="nil"/>
              <w:left w:val="nil"/>
              <w:bottom w:val="nil"/>
              <w:right w:val="nil"/>
            </w:tcBorders>
            <w:shd w:val="clear" w:color="auto" w:fill="auto"/>
            <w:vAlign w:val="center"/>
            <w:hideMark/>
          </w:tcPr>
          <w:p w:rsidR="003233F0" w:rsidRPr="003233F0" w:rsidRDefault="003233F0" w:rsidP="003233F0">
            <w:pPr>
              <w:jc w:val="center"/>
              <w:rPr>
                <w:rFonts w:eastAsia="Times New Roman" w:cs="Arial"/>
                <w:b/>
                <w:bCs/>
                <w:color w:val="FFFFFF"/>
                <w:sz w:val="18"/>
                <w:szCs w:val="18"/>
                <w:lang w:eastAsia="en-AU"/>
              </w:rPr>
            </w:pPr>
          </w:p>
        </w:tc>
      </w:tr>
      <w:tr w:rsidR="003233F0" w:rsidRPr="003233F0" w:rsidTr="003233F0">
        <w:trPr>
          <w:trHeight w:val="300"/>
        </w:trPr>
        <w:tc>
          <w:tcPr>
            <w:tcW w:w="3308" w:type="pct"/>
            <w:vMerge w:val="restart"/>
            <w:tcBorders>
              <w:top w:val="nil"/>
              <w:left w:val="nil"/>
              <w:bottom w:val="single" w:sz="4" w:space="0" w:color="000000"/>
              <w:right w:val="nil"/>
            </w:tcBorders>
            <w:shd w:val="clear" w:color="auto" w:fill="auto"/>
            <w:hideMark/>
          </w:tcPr>
          <w:p w:rsidR="003233F0" w:rsidRPr="003233F0" w:rsidRDefault="003233F0" w:rsidP="003233F0">
            <w:pPr>
              <w:jc w:val="both"/>
              <w:rPr>
                <w:rFonts w:eastAsia="Times New Roman" w:cs="Arial"/>
                <w:color w:val="000000"/>
                <w:lang w:eastAsia="en-AU"/>
              </w:rPr>
            </w:pPr>
            <w:r w:rsidRPr="003233F0">
              <w:rPr>
                <w:rFonts w:eastAsia="Times New Roman" w:cs="Arial"/>
                <w:color w:val="000000"/>
                <w:lang w:eastAsia="en-AU"/>
              </w:rPr>
              <w:t> </w:t>
            </w:r>
            <w:r w:rsidRPr="00131232">
              <w:rPr>
                <w:rFonts w:eastAsia="Times New Roman" w:cs="Arial"/>
                <w:color w:val="000000"/>
                <w:lang w:eastAsia="en-AU"/>
              </w:rPr>
              <w:t> </w:t>
            </w:r>
            <w:r w:rsidRPr="000939D5">
              <w:rPr>
                <w:rFonts w:cs="Arial"/>
              </w:rPr>
              <w:t xml:space="preserve">This team oversees the implementation of the risk </w:t>
            </w:r>
            <w:r>
              <w:rPr>
                <w:rFonts w:cs="Arial"/>
              </w:rPr>
              <w:t xml:space="preserve">management </w:t>
            </w:r>
            <w:r w:rsidRPr="000939D5">
              <w:rPr>
                <w:rFonts w:cs="Arial"/>
              </w:rPr>
              <w:t>framework across Council, the development of risk treatment plans and administration of the risk register. The function also provides risk management advice and training to Council service areas. Mitigation of Council’s liability is achieved through effective claims management</w:t>
            </w:r>
            <w:r>
              <w:rPr>
                <w:rFonts w:cs="Arial"/>
              </w:rPr>
              <w:t xml:space="preserve">, and the team also </w:t>
            </w:r>
            <w:r w:rsidRPr="000939D5">
              <w:rPr>
                <w:rFonts w:cs="Arial"/>
              </w:rPr>
              <w:t>maintains appropriate insurance cover for insurable assets and liabilities.</w:t>
            </w:r>
            <w:r>
              <w:rPr>
                <w:rFonts w:cs="Arial"/>
              </w:rPr>
              <w:t xml:space="preserve"> The c</w:t>
            </w:r>
            <w:r w:rsidRPr="00C404D5">
              <w:rPr>
                <w:rFonts w:cs="Arial"/>
              </w:rPr>
              <w:t>orporate recordkeeping system which include</w:t>
            </w:r>
            <w:r>
              <w:rPr>
                <w:rFonts w:cs="Arial"/>
              </w:rPr>
              <w:t>s</w:t>
            </w:r>
            <w:r w:rsidRPr="00C404D5">
              <w:rPr>
                <w:rFonts w:cs="Arial"/>
              </w:rPr>
              <w:t xml:space="preserve"> mail processing, systems management and file movement, archival and retrieval</w:t>
            </w:r>
            <w:r>
              <w:rPr>
                <w:rFonts w:cs="Arial"/>
              </w:rPr>
              <w:t xml:space="preserve"> is also provided.</w:t>
            </w:r>
          </w:p>
        </w:tc>
        <w:tc>
          <w:tcPr>
            <w:tcW w:w="261" w:type="pct"/>
            <w:tcBorders>
              <w:top w:val="nil"/>
              <w:left w:val="nil"/>
              <w:bottom w:val="nil"/>
              <w:right w:val="nil"/>
            </w:tcBorders>
            <w:shd w:val="clear" w:color="000000" w:fill="FFFFFF"/>
            <w:hideMark/>
          </w:tcPr>
          <w:p w:rsidR="003233F0" w:rsidRPr="003233F0" w:rsidRDefault="003233F0" w:rsidP="003233F0">
            <w:pPr>
              <w:rPr>
                <w:rFonts w:eastAsia="Times New Roman" w:cs="Arial"/>
                <w:sz w:val="18"/>
                <w:szCs w:val="18"/>
                <w:lang w:eastAsia="en-AU"/>
              </w:rPr>
            </w:pPr>
            <w:r w:rsidRPr="003233F0">
              <w:rPr>
                <w:rFonts w:eastAsia="Times New Roman" w:cs="Arial"/>
                <w:sz w:val="18"/>
                <w:szCs w:val="18"/>
                <w:lang w:eastAsia="en-AU"/>
              </w:rPr>
              <w:t>Exp</w:t>
            </w:r>
          </w:p>
        </w:tc>
        <w:tc>
          <w:tcPr>
            <w:tcW w:w="459" w:type="pct"/>
            <w:tcBorders>
              <w:top w:val="nil"/>
              <w:left w:val="nil"/>
              <w:bottom w:val="nil"/>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1,869</w:t>
            </w:r>
          </w:p>
        </w:tc>
        <w:tc>
          <w:tcPr>
            <w:tcW w:w="514" w:type="pct"/>
            <w:tcBorders>
              <w:top w:val="nil"/>
              <w:left w:val="nil"/>
              <w:bottom w:val="nil"/>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1,948</w:t>
            </w:r>
          </w:p>
        </w:tc>
        <w:tc>
          <w:tcPr>
            <w:tcW w:w="459" w:type="pct"/>
            <w:tcBorders>
              <w:top w:val="single" w:sz="4" w:space="0" w:color="auto"/>
              <w:left w:val="nil"/>
              <w:bottom w:val="nil"/>
              <w:right w:val="nil"/>
            </w:tcBorders>
            <w:shd w:val="clear" w:color="000000" w:fill="BDD7EE"/>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2,154</w:t>
            </w:r>
          </w:p>
        </w:tc>
      </w:tr>
      <w:tr w:rsidR="003233F0" w:rsidRPr="003233F0" w:rsidTr="003233F0">
        <w:trPr>
          <w:trHeight w:val="300"/>
        </w:trPr>
        <w:tc>
          <w:tcPr>
            <w:tcW w:w="3308" w:type="pct"/>
            <w:vMerge/>
            <w:tcBorders>
              <w:top w:val="nil"/>
              <w:left w:val="nil"/>
              <w:bottom w:val="single" w:sz="4" w:space="0" w:color="000000"/>
              <w:right w:val="nil"/>
            </w:tcBorders>
            <w:vAlign w:val="center"/>
            <w:hideMark/>
          </w:tcPr>
          <w:p w:rsidR="003233F0" w:rsidRPr="003233F0" w:rsidRDefault="003233F0" w:rsidP="003233F0">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3233F0" w:rsidRPr="003233F0" w:rsidRDefault="003233F0" w:rsidP="003233F0">
            <w:pPr>
              <w:rPr>
                <w:rFonts w:eastAsia="Times New Roman" w:cs="Arial"/>
                <w:sz w:val="18"/>
                <w:szCs w:val="18"/>
                <w:lang w:eastAsia="en-AU"/>
              </w:rPr>
            </w:pPr>
            <w:r w:rsidRPr="003233F0">
              <w:rPr>
                <w:rFonts w:eastAsia="Times New Roman" w:cs="Arial"/>
                <w:sz w:val="18"/>
                <w:szCs w:val="18"/>
                <w:lang w:eastAsia="en-AU"/>
              </w:rPr>
              <w:t>Rev</w:t>
            </w:r>
          </w:p>
        </w:tc>
        <w:tc>
          <w:tcPr>
            <w:tcW w:w="459"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(8)</w:t>
            </w:r>
          </w:p>
        </w:tc>
        <w:tc>
          <w:tcPr>
            <w:tcW w:w="514"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(4)</w:t>
            </w:r>
          </w:p>
        </w:tc>
        <w:tc>
          <w:tcPr>
            <w:tcW w:w="459" w:type="pct"/>
            <w:tcBorders>
              <w:top w:val="nil"/>
              <w:left w:val="nil"/>
              <w:bottom w:val="single" w:sz="4" w:space="0" w:color="auto"/>
              <w:right w:val="nil"/>
            </w:tcBorders>
            <w:shd w:val="clear" w:color="000000" w:fill="BDD7EE"/>
            <w:hideMark/>
          </w:tcPr>
          <w:p w:rsidR="003233F0" w:rsidRPr="003233F0" w:rsidRDefault="003233F0" w:rsidP="003233F0">
            <w:pPr>
              <w:jc w:val="right"/>
              <w:rPr>
                <w:rFonts w:eastAsia="Times New Roman" w:cs="Arial"/>
                <w:sz w:val="18"/>
                <w:szCs w:val="18"/>
                <w:lang w:eastAsia="en-AU"/>
              </w:rPr>
            </w:pPr>
            <w:r w:rsidRPr="003233F0">
              <w:rPr>
                <w:rFonts w:eastAsia="Times New Roman" w:cs="Arial"/>
                <w:sz w:val="18"/>
                <w:szCs w:val="18"/>
                <w:lang w:eastAsia="en-AU"/>
              </w:rPr>
              <w:t>(6)</w:t>
            </w:r>
          </w:p>
        </w:tc>
      </w:tr>
      <w:tr w:rsidR="003233F0" w:rsidRPr="003233F0" w:rsidTr="003233F0">
        <w:trPr>
          <w:trHeight w:val="300"/>
        </w:trPr>
        <w:tc>
          <w:tcPr>
            <w:tcW w:w="3308" w:type="pct"/>
            <w:vMerge/>
            <w:tcBorders>
              <w:top w:val="nil"/>
              <w:left w:val="nil"/>
              <w:bottom w:val="single" w:sz="4" w:space="0" w:color="000000"/>
              <w:right w:val="nil"/>
            </w:tcBorders>
            <w:vAlign w:val="center"/>
            <w:hideMark/>
          </w:tcPr>
          <w:p w:rsidR="003233F0" w:rsidRPr="003233F0" w:rsidRDefault="003233F0" w:rsidP="003233F0">
            <w:pPr>
              <w:rPr>
                <w:rFonts w:eastAsia="Times New Roman" w:cs="Arial"/>
                <w:color w:val="000000"/>
                <w:lang w:eastAsia="en-AU"/>
              </w:rPr>
            </w:pPr>
          </w:p>
        </w:tc>
        <w:tc>
          <w:tcPr>
            <w:tcW w:w="261" w:type="pct"/>
            <w:tcBorders>
              <w:top w:val="nil"/>
              <w:left w:val="nil"/>
              <w:bottom w:val="single" w:sz="4" w:space="0" w:color="auto"/>
              <w:right w:val="nil"/>
            </w:tcBorders>
            <w:shd w:val="clear" w:color="000000" w:fill="FFFFFF"/>
            <w:hideMark/>
          </w:tcPr>
          <w:p w:rsidR="003233F0" w:rsidRPr="003233F0" w:rsidRDefault="003233F0" w:rsidP="003233F0">
            <w:pPr>
              <w:rPr>
                <w:rFonts w:eastAsia="Times New Roman" w:cs="Arial"/>
                <w:b/>
                <w:bCs/>
                <w:sz w:val="18"/>
                <w:szCs w:val="18"/>
                <w:lang w:eastAsia="en-AU"/>
              </w:rPr>
            </w:pPr>
            <w:r w:rsidRPr="003233F0">
              <w:rPr>
                <w:rFonts w:eastAsia="Times New Roman" w:cs="Arial"/>
                <w:b/>
                <w:bCs/>
                <w:sz w:val="18"/>
                <w:szCs w:val="18"/>
                <w:lang w:eastAsia="en-AU"/>
              </w:rPr>
              <w:t>NET</w:t>
            </w:r>
          </w:p>
        </w:tc>
        <w:tc>
          <w:tcPr>
            <w:tcW w:w="459"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1,861</w:t>
            </w:r>
          </w:p>
        </w:tc>
        <w:tc>
          <w:tcPr>
            <w:tcW w:w="514" w:type="pct"/>
            <w:tcBorders>
              <w:top w:val="nil"/>
              <w:left w:val="nil"/>
              <w:bottom w:val="single" w:sz="4" w:space="0" w:color="auto"/>
              <w:right w:val="nil"/>
            </w:tcBorders>
            <w:shd w:val="clear" w:color="000000" w:fill="FFFFFF"/>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1,944</w:t>
            </w:r>
          </w:p>
        </w:tc>
        <w:tc>
          <w:tcPr>
            <w:tcW w:w="459" w:type="pct"/>
            <w:tcBorders>
              <w:top w:val="nil"/>
              <w:left w:val="nil"/>
              <w:bottom w:val="single" w:sz="4" w:space="0" w:color="auto"/>
              <w:right w:val="nil"/>
            </w:tcBorders>
            <w:shd w:val="clear" w:color="000000" w:fill="BDD7EE"/>
            <w:hideMark/>
          </w:tcPr>
          <w:p w:rsidR="003233F0" w:rsidRPr="003233F0" w:rsidRDefault="003233F0" w:rsidP="003233F0">
            <w:pPr>
              <w:jc w:val="right"/>
              <w:rPr>
                <w:rFonts w:eastAsia="Times New Roman" w:cs="Arial"/>
                <w:b/>
                <w:bCs/>
                <w:sz w:val="18"/>
                <w:szCs w:val="18"/>
                <w:lang w:eastAsia="en-AU"/>
              </w:rPr>
            </w:pPr>
            <w:r w:rsidRPr="003233F0">
              <w:rPr>
                <w:rFonts w:eastAsia="Times New Roman" w:cs="Arial"/>
                <w:b/>
                <w:bCs/>
                <w:sz w:val="18"/>
                <w:szCs w:val="18"/>
                <w:lang w:eastAsia="en-AU"/>
              </w:rPr>
              <w:t>2,148</w:t>
            </w:r>
          </w:p>
        </w:tc>
      </w:tr>
    </w:tbl>
    <w:p w:rsidR="00131232" w:rsidRDefault="00131232" w:rsidP="004B2040"/>
    <w:p w:rsidR="004B2040" w:rsidRPr="00ED42F2" w:rsidRDefault="0047380B" w:rsidP="003233F0">
      <w:pPr>
        <w:rPr>
          <w:rFonts w:cs="Arial"/>
          <w:b/>
          <w:bCs/>
          <w:iCs/>
          <w:lang w:eastAsia="en-AU"/>
        </w:rPr>
      </w:pPr>
      <w:r>
        <w:rPr>
          <w:rFonts w:cs="Arial"/>
          <w:b/>
          <w:bCs/>
          <w:iCs/>
          <w:lang w:eastAsia="en-AU"/>
        </w:rPr>
        <w:t xml:space="preserve">Major </w:t>
      </w:r>
      <w:r w:rsidR="004B2040" w:rsidRPr="00ED42F2">
        <w:rPr>
          <w:rFonts w:cs="Arial"/>
          <w:b/>
          <w:bCs/>
          <w:iCs/>
          <w:lang w:eastAsia="en-AU"/>
        </w:rPr>
        <w:t xml:space="preserve">Initiatives </w:t>
      </w:r>
    </w:p>
    <w:p w:rsidR="004B2040" w:rsidRPr="00ED42F2" w:rsidRDefault="004B2040" w:rsidP="004B2040">
      <w:pPr>
        <w:jc w:val="both"/>
        <w:rPr>
          <w:rFonts w:cs="Arial"/>
          <w:b/>
          <w:bCs/>
          <w:iCs/>
          <w:lang w:eastAsia="en-AU"/>
        </w:rPr>
      </w:pPr>
    </w:p>
    <w:p w:rsidR="00F64F60" w:rsidRPr="00ED42F2" w:rsidRDefault="00287111" w:rsidP="00EA3843">
      <w:pPr>
        <w:pStyle w:val="ListParagraph"/>
        <w:numPr>
          <w:ilvl w:val="0"/>
          <w:numId w:val="9"/>
        </w:numPr>
        <w:jc w:val="both"/>
        <w:rPr>
          <w:rFonts w:ascii="Arial" w:hAnsi="Arial" w:cs="Arial"/>
        </w:rPr>
      </w:pPr>
      <w:r w:rsidRPr="00ED42F2">
        <w:rPr>
          <w:rFonts w:ascii="Arial" w:hAnsi="Arial" w:cs="Arial"/>
        </w:rPr>
        <w:t xml:space="preserve"> </w:t>
      </w:r>
      <w:r w:rsidRPr="00ED42F2">
        <w:rPr>
          <w:rFonts w:ascii="Arial" w:hAnsi="Arial" w:cs="Arial"/>
          <w:color w:val="FF0000"/>
        </w:rPr>
        <w:t xml:space="preserve"> </w:t>
      </w:r>
      <w:r w:rsidR="00171BA1" w:rsidRPr="00ED42F2">
        <w:rPr>
          <w:rFonts w:ascii="Arial" w:hAnsi="Arial" w:cs="Arial"/>
        </w:rPr>
        <w:t>Develop a new Customer Service Strategy that will continue to advance Council's commitment to be highly responsive and customer focused</w:t>
      </w:r>
    </w:p>
    <w:p w:rsidR="00F64F60" w:rsidRPr="00ED42F2" w:rsidRDefault="00F64F60" w:rsidP="00EA3843">
      <w:pPr>
        <w:pStyle w:val="ListParagraph"/>
        <w:numPr>
          <w:ilvl w:val="0"/>
          <w:numId w:val="9"/>
        </w:numPr>
        <w:jc w:val="both"/>
        <w:rPr>
          <w:rFonts w:ascii="Arial" w:hAnsi="Arial" w:cs="Arial"/>
        </w:rPr>
      </w:pPr>
      <w:r w:rsidRPr="00ED42F2">
        <w:rPr>
          <w:rFonts w:ascii="Arial" w:hAnsi="Arial" w:cs="Arial"/>
        </w:rPr>
        <w:t xml:space="preserve"> Develop and implement a COVID-19 community emergency relief referral process</w:t>
      </w:r>
    </w:p>
    <w:p w:rsidR="00F64F60" w:rsidRPr="00ED42F2" w:rsidRDefault="00F64F60" w:rsidP="00EA3843">
      <w:pPr>
        <w:pStyle w:val="ListParagraph"/>
        <w:numPr>
          <w:ilvl w:val="0"/>
          <w:numId w:val="9"/>
        </w:numPr>
        <w:jc w:val="both"/>
        <w:rPr>
          <w:rFonts w:ascii="Arial" w:hAnsi="Arial" w:cs="Arial"/>
        </w:rPr>
      </w:pPr>
      <w:r w:rsidRPr="00ED42F2">
        <w:rPr>
          <w:rFonts w:ascii="Arial" w:hAnsi="Arial" w:cs="Arial"/>
        </w:rPr>
        <w:t xml:space="preserve"> Develop and implement a COVID-19 Recovery Plan (including social and economic recovery initiatives), following community consultation and engagement</w:t>
      </w:r>
    </w:p>
    <w:p w:rsidR="00171BA1" w:rsidRPr="00ED42F2" w:rsidRDefault="00171BA1" w:rsidP="00AD14CF">
      <w:pPr>
        <w:pStyle w:val="ListParagraph"/>
        <w:numPr>
          <w:ilvl w:val="0"/>
          <w:numId w:val="9"/>
        </w:numPr>
        <w:jc w:val="both"/>
        <w:rPr>
          <w:rFonts w:ascii="Arial" w:hAnsi="Arial" w:cs="Arial"/>
        </w:rPr>
      </w:pPr>
      <w:r w:rsidRPr="00ED42F2">
        <w:rPr>
          <w:rFonts w:ascii="Arial" w:hAnsi="Arial" w:cs="Arial"/>
        </w:rPr>
        <w:t xml:space="preserve"> Advocate on key local issues in the lead up to the </w:t>
      </w:r>
      <w:r w:rsidR="00A40DAF" w:rsidRPr="00ED42F2">
        <w:rPr>
          <w:rFonts w:ascii="Arial" w:hAnsi="Arial" w:cs="Arial"/>
        </w:rPr>
        <w:t>Victorian</w:t>
      </w:r>
      <w:r w:rsidRPr="00ED42F2">
        <w:rPr>
          <w:rFonts w:ascii="Arial" w:hAnsi="Arial" w:cs="Arial"/>
        </w:rPr>
        <w:t xml:space="preserve"> and </w:t>
      </w:r>
      <w:r w:rsidR="00A40DAF" w:rsidRPr="00ED42F2">
        <w:rPr>
          <w:rFonts w:ascii="Arial" w:hAnsi="Arial" w:cs="Arial"/>
        </w:rPr>
        <w:t>Australian Government</w:t>
      </w:r>
      <w:r w:rsidRPr="00ED42F2">
        <w:rPr>
          <w:rFonts w:ascii="Arial" w:hAnsi="Arial" w:cs="Arial"/>
        </w:rPr>
        <w:t xml:space="preserve"> elections in 2022</w:t>
      </w:r>
    </w:p>
    <w:p w:rsidR="00171BA1" w:rsidRPr="00ED42F2" w:rsidRDefault="00171BA1" w:rsidP="00AD14CF">
      <w:pPr>
        <w:pStyle w:val="ListParagraph"/>
        <w:numPr>
          <w:ilvl w:val="0"/>
          <w:numId w:val="9"/>
        </w:numPr>
        <w:jc w:val="both"/>
        <w:rPr>
          <w:rFonts w:ascii="Arial" w:hAnsi="Arial" w:cs="Arial"/>
        </w:rPr>
      </w:pPr>
      <w:r w:rsidRPr="00ED42F2">
        <w:rPr>
          <w:rFonts w:ascii="Arial" w:hAnsi="Arial" w:cs="Arial"/>
        </w:rPr>
        <w:t xml:space="preserve"> Implement the new Local Government Act</w:t>
      </w:r>
      <w:r w:rsidR="00A40DAF" w:rsidRPr="00ED42F2">
        <w:rPr>
          <w:rFonts w:ascii="Arial" w:hAnsi="Arial" w:cs="Arial"/>
        </w:rPr>
        <w:t xml:space="preserve"> 2020</w:t>
      </w:r>
      <w:r w:rsidRPr="00ED42F2">
        <w:rPr>
          <w:rFonts w:ascii="Arial" w:hAnsi="Arial" w:cs="Arial"/>
        </w:rPr>
        <w:t xml:space="preserve"> following its enactment</w:t>
      </w:r>
    </w:p>
    <w:p w:rsidR="00171BA1" w:rsidRPr="00ED42F2" w:rsidRDefault="00171BA1" w:rsidP="00AD14CF">
      <w:pPr>
        <w:pStyle w:val="ListParagraph"/>
        <w:numPr>
          <w:ilvl w:val="0"/>
          <w:numId w:val="9"/>
        </w:numPr>
        <w:jc w:val="both"/>
        <w:rPr>
          <w:rFonts w:ascii="Arial" w:hAnsi="Arial" w:cs="Arial"/>
        </w:rPr>
      </w:pPr>
      <w:r w:rsidRPr="00ED42F2">
        <w:rPr>
          <w:rFonts w:ascii="Arial" w:hAnsi="Arial" w:cs="Arial"/>
        </w:rPr>
        <w:t xml:space="preserve"> Following the Council election prepare a new Council Plan 2021-2025</w:t>
      </w:r>
    </w:p>
    <w:p w:rsidR="0047380B" w:rsidRPr="00ED42F2" w:rsidRDefault="0047380B" w:rsidP="0047380B">
      <w:pPr>
        <w:jc w:val="both"/>
        <w:rPr>
          <w:rFonts w:cs="Arial"/>
          <w:b/>
          <w:bCs/>
          <w:iCs/>
          <w:lang w:eastAsia="en-AU"/>
        </w:rPr>
      </w:pPr>
      <w:r w:rsidRPr="00ED42F2">
        <w:rPr>
          <w:rFonts w:cs="Arial"/>
          <w:b/>
          <w:bCs/>
          <w:iCs/>
          <w:lang w:eastAsia="en-AU"/>
        </w:rPr>
        <w:t xml:space="preserve">Initiatives </w:t>
      </w:r>
    </w:p>
    <w:p w:rsidR="00B060BB" w:rsidRPr="00ED42F2" w:rsidRDefault="00B060BB" w:rsidP="00287111">
      <w:pPr>
        <w:jc w:val="both"/>
        <w:rPr>
          <w:rFonts w:cs="Arial"/>
          <w:color w:val="FF0000"/>
        </w:rPr>
      </w:pP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 xml:space="preserve">Progress Council's digital transformation that enables innovation and improved </w:t>
      </w:r>
      <w:r w:rsidR="00D439DA" w:rsidRPr="00ED42F2">
        <w:rPr>
          <w:rFonts w:ascii="Arial" w:hAnsi="Arial" w:cs="Arial"/>
        </w:rPr>
        <w:t>c</w:t>
      </w:r>
      <w:r w:rsidRPr="00ED42F2">
        <w:rPr>
          <w:rFonts w:ascii="Arial" w:hAnsi="Arial" w:cs="Arial"/>
        </w:rPr>
        <w:t xml:space="preserve">ustomer </w:t>
      </w:r>
      <w:r w:rsidR="00D439DA" w:rsidRPr="00ED42F2">
        <w:rPr>
          <w:rFonts w:ascii="Arial" w:hAnsi="Arial" w:cs="Arial"/>
        </w:rPr>
        <w:t>s</w:t>
      </w:r>
      <w:r w:rsidRPr="00ED42F2">
        <w:rPr>
          <w:rFonts w:ascii="Arial" w:hAnsi="Arial" w:cs="Arial"/>
        </w:rPr>
        <w:t>ervice delivery models including access to information, engagement and online payments</w:t>
      </w:r>
    </w:p>
    <w:p w:rsidR="00E66A0D" w:rsidRPr="00ED42F2" w:rsidRDefault="00E66A0D" w:rsidP="00274DF7">
      <w:pPr>
        <w:pStyle w:val="ListParagraph"/>
        <w:numPr>
          <w:ilvl w:val="0"/>
          <w:numId w:val="9"/>
        </w:numPr>
        <w:ind w:left="426" w:hanging="426"/>
        <w:jc w:val="both"/>
        <w:rPr>
          <w:rFonts w:ascii="Arial" w:hAnsi="Arial" w:cs="Arial"/>
        </w:rPr>
      </w:pPr>
      <w:r w:rsidRPr="00ED42F2">
        <w:rPr>
          <w:rFonts w:ascii="Arial" w:hAnsi="Arial" w:cs="Arial"/>
        </w:rPr>
        <w:t xml:space="preserve"> Identify and implement additional ways of providing digital services associated with planning permits that will improve the overall customer experience</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Develop and implement the Workforce People and Culture Plan 2021-2025 that provides a road map for the development, implementation, review and measurement of services, activities and systems that enable the organisation to deliver exceptional results</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Advocate for Maroondah to become a "Smart City"</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Develop and implement a risk management approach to public health operations that will improve effectiveness of operations</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Work in partnership with the Victorian Electoral Commission to coordinate a Council Election in October 2020 for the 2020-2024 period</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t>Implement the Council Caretaker Policy for the Council election in October 2020 and transition to the new Council following the election</w:t>
      </w:r>
    </w:p>
    <w:p w:rsidR="000870C7" w:rsidRPr="00ED42F2" w:rsidRDefault="000870C7" w:rsidP="00274DF7">
      <w:pPr>
        <w:pStyle w:val="ListParagraph"/>
        <w:numPr>
          <w:ilvl w:val="0"/>
          <w:numId w:val="9"/>
        </w:numPr>
        <w:ind w:left="426" w:hanging="426"/>
        <w:jc w:val="both"/>
        <w:rPr>
          <w:rFonts w:ascii="Arial" w:hAnsi="Arial" w:cs="Arial"/>
        </w:rPr>
      </w:pPr>
      <w:r w:rsidRPr="00ED42F2">
        <w:rPr>
          <w:rFonts w:ascii="Arial" w:hAnsi="Arial" w:cs="Arial"/>
        </w:rPr>
        <w:lastRenderedPageBreak/>
        <w:t>Review and update Council's Business Continuity Plan to enable Council to continue to provide key services to the community in the event of a disaster</w:t>
      </w:r>
    </w:p>
    <w:p w:rsidR="00831428" w:rsidRPr="00ED42F2" w:rsidRDefault="000870C7" w:rsidP="00831428">
      <w:pPr>
        <w:pStyle w:val="ListParagraph"/>
        <w:numPr>
          <w:ilvl w:val="0"/>
          <w:numId w:val="9"/>
        </w:numPr>
        <w:ind w:left="426" w:hanging="426"/>
        <w:jc w:val="both"/>
        <w:rPr>
          <w:rFonts w:ascii="Arial" w:hAnsi="Arial" w:cs="Arial"/>
        </w:rPr>
      </w:pPr>
      <w:r w:rsidRPr="00ED42F2">
        <w:rPr>
          <w:rFonts w:ascii="Arial" w:hAnsi="Arial" w:cs="Arial"/>
        </w:rPr>
        <w:t>Package Council's wide range of integrity policies, action plans and processes into a comprehensive Integrity Framework to deliver high ethical standards organisation wide</w:t>
      </w:r>
    </w:p>
    <w:p w:rsidR="004B2040" w:rsidRDefault="004B2040" w:rsidP="004B2040">
      <w:pPr>
        <w:jc w:val="both"/>
        <w:rPr>
          <w:rFonts w:cs="Arial"/>
          <w:b/>
          <w:bCs/>
          <w:iCs/>
          <w:lang w:eastAsia="en-AU"/>
        </w:rPr>
      </w:pPr>
      <w:r w:rsidRPr="006846FB">
        <w:rPr>
          <w:rFonts w:cs="Arial"/>
          <w:b/>
          <w:bCs/>
          <w:iCs/>
          <w:lang w:eastAsia="en-AU"/>
        </w:rPr>
        <w:t>Service Performance Indicators</w:t>
      </w:r>
    </w:p>
    <w:p w:rsidR="004B2040" w:rsidRPr="006846FB" w:rsidRDefault="004B2040" w:rsidP="004B2040">
      <w:pPr>
        <w:jc w:val="both"/>
        <w:rPr>
          <w:rFonts w:cs="Arial"/>
          <w:b/>
          <w:bCs/>
          <w:iCs/>
          <w:lang w:eastAsia="en-AU"/>
        </w:rPr>
      </w:pPr>
    </w:p>
    <w:tbl>
      <w:tblPr>
        <w:tblW w:w="5000" w:type="pct"/>
        <w:tblLook w:val="0000" w:firstRow="0" w:lastRow="0" w:firstColumn="0" w:lastColumn="0" w:noHBand="0" w:noVBand="0"/>
      </w:tblPr>
      <w:tblGrid>
        <w:gridCol w:w="1759"/>
        <w:gridCol w:w="1588"/>
        <w:gridCol w:w="3962"/>
        <w:gridCol w:w="3157"/>
      </w:tblGrid>
      <w:tr w:rsidR="004B2040" w:rsidRPr="006846FB" w:rsidTr="00992DEF">
        <w:trPr>
          <w:trHeight w:val="510"/>
        </w:trPr>
        <w:tc>
          <w:tcPr>
            <w:tcW w:w="840"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Indicator</w:t>
            </w:r>
          </w:p>
        </w:tc>
        <w:tc>
          <w:tcPr>
            <w:tcW w:w="1893"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Performance Measure</w:t>
            </w:r>
          </w:p>
        </w:tc>
        <w:tc>
          <w:tcPr>
            <w:tcW w:w="1508"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Computation</w:t>
            </w:r>
          </w:p>
        </w:tc>
      </w:tr>
      <w:tr w:rsidR="004B2040" w:rsidRPr="006846FB" w:rsidTr="00992DEF">
        <w:trPr>
          <w:trHeight w:val="742"/>
        </w:trPr>
        <w:tc>
          <w:tcPr>
            <w:tcW w:w="840"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Governance</w:t>
            </w:r>
          </w:p>
        </w:tc>
        <w:tc>
          <w:tcPr>
            <w:tcW w:w="758"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 xml:space="preserve">Satisfaction </w:t>
            </w:r>
          </w:p>
        </w:tc>
        <w:tc>
          <w:tcPr>
            <w:tcW w:w="1893"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Satisfaction with Council decisions (community satisfaction rating out of 100 with how Council has performed in making decisions in the interest of the community)</w:t>
            </w:r>
          </w:p>
        </w:tc>
        <w:tc>
          <w:tcPr>
            <w:tcW w:w="1508"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Community satisfaction rating out of 100 with the performance of Council in making decisions in the interest of the community</w:t>
            </w:r>
          </w:p>
        </w:tc>
      </w:tr>
      <w:tr w:rsidR="004B2040" w:rsidRPr="006846FB" w:rsidTr="00992DEF">
        <w:trPr>
          <w:trHeight w:val="742"/>
        </w:trPr>
        <w:tc>
          <w:tcPr>
            <w:tcW w:w="840"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Animal Management</w:t>
            </w:r>
          </w:p>
        </w:tc>
        <w:tc>
          <w:tcPr>
            <w:tcW w:w="758"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Health and Safety</w:t>
            </w:r>
          </w:p>
        </w:tc>
        <w:tc>
          <w:tcPr>
            <w:tcW w:w="1893"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Animal management prosecutions (number of successful animal management prosecutions)</w:t>
            </w:r>
          </w:p>
        </w:tc>
        <w:tc>
          <w:tcPr>
            <w:tcW w:w="1508"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Number of successful animal management prosecutions</w:t>
            </w:r>
            <w:r w:rsidR="00E10D8E">
              <w:rPr>
                <w:rFonts w:cs="Arial"/>
                <w:lang w:eastAsia="en-AU"/>
              </w:rPr>
              <w:t xml:space="preserve"> / Total number of animal management prosecutions</w:t>
            </w:r>
          </w:p>
        </w:tc>
      </w:tr>
    </w:tbl>
    <w:p w:rsidR="004B2040" w:rsidRDefault="004B2040" w:rsidP="004B2040"/>
    <w:p w:rsidR="004B2040" w:rsidRPr="00400469" w:rsidRDefault="004B2040" w:rsidP="004B2040">
      <w:pPr>
        <w:rPr>
          <w:rFonts w:cs="Arial"/>
          <w:b/>
        </w:rPr>
      </w:pPr>
    </w:p>
    <w:p w:rsidR="004B2040" w:rsidRPr="0065738F" w:rsidRDefault="004B2040" w:rsidP="004B2040">
      <w:pPr>
        <w:jc w:val="both"/>
        <w:rPr>
          <w:rFonts w:cs="Arial"/>
          <w:b/>
          <w:color w:val="4A66AC" w:themeColor="accent1"/>
        </w:rPr>
      </w:pPr>
      <w:r w:rsidRPr="00480F97">
        <w:rPr>
          <w:rFonts w:cs="Arial"/>
          <w:b/>
          <w:color w:val="4A66AC" w:themeColor="accent1"/>
        </w:rPr>
        <w:t>2.</w:t>
      </w:r>
      <w:r w:rsidR="001E2BC3" w:rsidRPr="00480F97">
        <w:rPr>
          <w:rFonts w:cs="Arial"/>
          <w:b/>
          <w:color w:val="4A66AC" w:themeColor="accent1"/>
        </w:rPr>
        <w:t>3</w:t>
      </w:r>
      <w:r w:rsidRPr="00480F97">
        <w:rPr>
          <w:rFonts w:cs="Arial"/>
          <w:b/>
          <w:color w:val="4A66AC" w:themeColor="accent1"/>
        </w:rPr>
        <w:t xml:space="preserve"> Reconciliation with budgeted operating result</w:t>
      </w:r>
    </w:p>
    <w:p w:rsidR="004B2040" w:rsidRPr="00242D2A" w:rsidRDefault="004B2040" w:rsidP="004B2040">
      <w:pPr>
        <w:jc w:val="both"/>
        <w:rPr>
          <w:rFonts w:cs="Arial"/>
          <w:sz w:val="20"/>
        </w:rPr>
      </w:pPr>
    </w:p>
    <w:p w:rsidR="004B2040" w:rsidRPr="00242D2A" w:rsidRDefault="004B2040" w:rsidP="004B2040">
      <w:pPr>
        <w:jc w:val="both"/>
        <w:rPr>
          <w:rFonts w:cs="Arial"/>
          <w:sz w:val="20"/>
        </w:rPr>
      </w:pPr>
    </w:p>
    <w:p w:rsidR="004B2040" w:rsidRPr="009E1CFE" w:rsidRDefault="004B2040" w:rsidP="004B2040">
      <w:pPr>
        <w:jc w:val="both"/>
      </w:pPr>
      <w:r w:rsidRPr="009E1CFE">
        <w:rPr>
          <w:rFonts w:cs="Arial"/>
          <w:bCs/>
        </w:rPr>
        <w:t xml:space="preserve">(Note: This reconciles to the budgeted </w:t>
      </w:r>
      <w:r>
        <w:rPr>
          <w:rFonts w:cs="Arial"/>
          <w:bCs/>
        </w:rPr>
        <w:t>Comprehensive Result</w:t>
      </w:r>
      <w:r w:rsidRPr="009E1CFE">
        <w:rPr>
          <w:rFonts w:cs="Arial"/>
          <w:bCs/>
        </w:rPr>
        <w:t xml:space="preserve"> from Operations as shown on the Comprehensive Income Statement included in </w:t>
      </w:r>
      <w:r>
        <w:rPr>
          <w:rFonts w:cs="Arial"/>
          <w:bCs/>
        </w:rPr>
        <w:t>Section 3</w:t>
      </w:r>
      <w:r w:rsidRPr="009E1CFE">
        <w:rPr>
          <w:rFonts w:cs="Arial"/>
          <w:bCs/>
        </w:rPr>
        <w:t>)</w:t>
      </w:r>
    </w:p>
    <w:p w:rsidR="004B2040" w:rsidRDefault="004B2040" w:rsidP="004B2040"/>
    <w:tbl>
      <w:tblPr>
        <w:tblW w:w="5000" w:type="pct"/>
        <w:tblLook w:val="04A0" w:firstRow="1" w:lastRow="0" w:firstColumn="1" w:lastColumn="0" w:noHBand="0" w:noVBand="1"/>
      </w:tblPr>
      <w:tblGrid>
        <w:gridCol w:w="6284"/>
        <w:gridCol w:w="1394"/>
        <w:gridCol w:w="1572"/>
        <w:gridCol w:w="1216"/>
      </w:tblGrid>
      <w:tr w:rsidR="003233F0" w:rsidRPr="003233F0" w:rsidTr="003233F0">
        <w:trPr>
          <w:trHeight w:val="300"/>
        </w:trPr>
        <w:tc>
          <w:tcPr>
            <w:tcW w:w="3002"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color w:val="FFFFFF"/>
                <w:lang w:eastAsia="en-AU"/>
              </w:rPr>
            </w:pPr>
            <w:r w:rsidRPr="003233F0">
              <w:rPr>
                <w:rFonts w:eastAsia="Times New Roman" w:cs="Arial"/>
                <w:color w:val="FFFFFF"/>
                <w:lang w:eastAsia="en-AU"/>
              </w:rPr>
              <w:t> </w:t>
            </w:r>
          </w:p>
        </w:tc>
        <w:tc>
          <w:tcPr>
            <w:tcW w:w="666"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t>Net Cost</w:t>
            </w:r>
          </w:p>
        </w:tc>
        <w:tc>
          <w:tcPr>
            <w:tcW w:w="750"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t>Expenditure</w:t>
            </w:r>
          </w:p>
        </w:tc>
        <w:tc>
          <w:tcPr>
            <w:tcW w:w="582"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t>Revenue</w:t>
            </w:r>
          </w:p>
        </w:tc>
      </w:tr>
      <w:tr w:rsidR="003233F0" w:rsidRPr="003233F0" w:rsidTr="003233F0">
        <w:trPr>
          <w:trHeight w:val="300"/>
        </w:trPr>
        <w:tc>
          <w:tcPr>
            <w:tcW w:w="3002"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color w:val="FFFFFF"/>
                <w:lang w:eastAsia="en-AU"/>
              </w:rPr>
            </w:pPr>
            <w:r w:rsidRPr="003233F0">
              <w:rPr>
                <w:rFonts w:eastAsia="Times New Roman" w:cs="Arial"/>
                <w:color w:val="FFFFFF"/>
                <w:lang w:eastAsia="en-AU"/>
              </w:rPr>
              <w:t> </w:t>
            </w:r>
          </w:p>
        </w:tc>
        <w:tc>
          <w:tcPr>
            <w:tcW w:w="1417" w:type="pct"/>
            <w:gridSpan w:val="2"/>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t>(Revenue)</w:t>
            </w:r>
          </w:p>
        </w:tc>
        <w:tc>
          <w:tcPr>
            <w:tcW w:w="582"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b/>
                <w:bCs/>
                <w:color w:val="FFFFFF"/>
                <w:lang w:eastAsia="en-AU"/>
              </w:rPr>
            </w:pPr>
            <w:r w:rsidRPr="003233F0">
              <w:rPr>
                <w:rFonts w:eastAsia="Times New Roman" w:cs="Arial"/>
                <w:b/>
                <w:bCs/>
                <w:color w:val="FFFFFF"/>
                <w:lang w:eastAsia="en-AU"/>
              </w:rPr>
              <w:t> </w:t>
            </w:r>
          </w:p>
        </w:tc>
      </w:tr>
      <w:tr w:rsidR="003233F0" w:rsidRPr="003233F0" w:rsidTr="003233F0">
        <w:trPr>
          <w:trHeight w:val="315"/>
        </w:trPr>
        <w:tc>
          <w:tcPr>
            <w:tcW w:w="3002" w:type="pct"/>
            <w:tcBorders>
              <w:top w:val="nil"/>
              <w:left w:val="nil"/>
              <w:bottom w:val="nil"/>
              <w:right w:val="nil"/>
            </w:tcBorders>
            <w:shd w:val="clear" w:color="000000" w:fill="9BC2E6"/>
            <w:noWrap/>
            <w:vAlign w:val="bottom"/>
            <w:hideMark/>
          </w:tcPr>
          <w:p w:rsidR="003233F0" w:rsidRPr="003233F0" w:rsidRDefault="003233F0" w:rsidP="003233F0">
            <w:pPr>
              <w:rPr>
                <w:rFonts w:eastAsia="Times New Roman" w:cs="Arial"/>
                <w:color w:val="FFFFFF"/>
                <w:lang w:eastAsia="en-AU"/>
              </w:rPr>
            </w:pPr>
            <w:r w:rsidRPr="003233F0">
              <w:rPr>
                <w:rFonts w:eastAsia="Times New Roman" w:cs="Arial"/>
                <w:color w:val="FFFFFF"/>
                <w:lang w:eastAsia="en-AU"/>
              </w:rPr>
              <w:t> </w:t>
            </w:r>
          </w:p>
        </w:tc>
        <w:tc>
          <w:tcPr>
            <w:tcW w:w="666" w:type="pct"/>
            <w:tcBorders>
              <w:top w:val="nil"/>
              <w:left w:val="nil"/>
              <w:bottom w:val="nil"/>
              <w:right w:val="nil"/>
            </w:tcBorders>
            <w:shd w:val="clear" w:color="000000" w:fill="9BC2E6"/>
            <w:noWrap/>
            <w:vAlign w:val="bottom"/>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c>
          <w:tcPr>
            <w:tcW w:w="750" w:type="pct"/>
            <w:tcBorders>
              <w:top w:val="nil"/>
              <w:left w:val="nil"/>
              <w:bottom w:val="nil"/>
              <w:right w:val="nil"/>
            </w:tcBorders>
            <w:shd w:val="clear" w:color="000000" w:fill="9BC2E6"/>
            <w:noWrap/>
            <w:vAlign w:val="bottom"/>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c>
          <w:tcPr>
            <w:tcW w:w="582" w:type="pct"/>
            <w:tcBorders>
              <w:top w:val="nil"/>
              <w:left w:val="nil"/>
              <w:bottom w:val="nil"/>
              <w:right w:val="nil"/>
            </w:tcBorders>
            <w:shd w:val="clear" w:color="000000" w:fill="9BC2E6"/>
            <w:noWrap/>
            <w:vAlign w:val="bottom"/>
            <w:hideMark/>
          </w:tcPr>
          <w:p w:rsidR="003233F0" w:rsidRPr="003233F0" w:rsidRDefault="003233F0" w:rsidP="003233F0">
            <w:pPr>
              <w:jc w:val="center"/>
              <w:rPr>
                <w:rFonts w:eastAsia="Times New Roman" w:cs="Arial"/>
                <w:b/>
                <w:bCs/>
                <w:color w:val="FFFFFF"/>
                <w:lang w:eastAsia="en-AU"/>
              </w:rPr>
            </w:pPr>
            <w:r w:rsidRPr="003233F0">
              <w:rPr>
                <w:rFonts w:eastAsia="Times New Roman" w:cs="Arial"/>
                <w:b/>
                <w:bCs/>
                <w:color w:val="FFFFFF"/>
                <w:lang w:eastAsia="en-AU"/>
              </w:rPr>
              <w:t>$’000</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 safe, healthy and active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9,896</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29,172</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19,275</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 prosperous and learning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4,389</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4,666</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277</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 vibrant and culturally rich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2,325</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3,922</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1,596</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 clean, green and sustainable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24,999</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25,059</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60</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An accessible and connected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2,707</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3,386</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679</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 xml:space="preserve">An attractive, thriving and </w:t>
            </w:r>
            <w:proofErr w:type="spellStart"/>
            <w:proofErr w:type="gramStart"/>
            <w:r w:rsidRPr="003233F0">
              <w:rPr>
                <w:rFonts w:eastAsia="Times New Roman" w:cs="Arial"/>
                <w:lang w:eastAsia="en-AU"/>
              </w:rPr>
              <w:t>well built</w:t>
            </w:r>
            <w:proofErr w:type="spellEnd"/>
            <w:proofErr w:type="gramEnd"/>
            <w:r w:rsidRPr="003233F0">
              <w:rPr>
                <w:rFonts w:eastAsia="Times New Roman" w:cs="Arial"/>
                <w:lang w:eastAsia="en-AU"/>
              </w:rPr>
              <w:t xml:space="preserve">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8,314</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14,227</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5,913</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An inclusive and diverse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1,442</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3,291</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1,849</w:t>
            </w:r>
          </w:p>
        </w:tc>
      </w:tr>
      <w:tr w:rsidR="003233F0" w:rsidRPr="003233F0" w:rsidTr="003233F0">
        <w:trPr>
          <w:trHeight w:val="300"/>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A well governed and empowered community</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22,034</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26,111</w:t>
            </w:r>
          </w:p>
        </w:tc>
        <w:tc>
          <w:tcPr>
            <w:tcW w:w="582"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4,077</w:t>
            </w:r>
          </w:p>
        </w:tc>
      </w:tr>
      <w:tr w:rsidR="003233F0" w:rsidRPr="003233F0" w:rsidTr="003233F0">
        <w:trPr>
          <w:trHeight w:val="315"/>
        </w:trPr>
        <w:tc>
          <w:tcPr>
            <w:tcW w:w="3002" w:type="pct"/>
            <w:tcBorders>
              <w:top w:val="nil"/>
              <w:left w:val="nil"/>
              <w:bottom w:val="single" w:sz="8" w:space="0" w:color="auto"/>
              <w:right w:val="nil"/>
            </w:tcBorders>
            <w:shd w:val="clear" w:color="auto" w:fill="auto"/>
            <w:noWrap/>
            <w:vAlign w:val="bottom"/>
            <w:hideMark/>
          </w:tcPr>
          <w:p w:rsidR="003233F0" w:rsidRPr="003233F0" w:rsidRDefault="003233F0" w:rsidP="003233F0">
            <w:pPr>
              <w:rPr>
                <w:rFonts w:eastAsia="Times New Roman" w:cs="Arial"/>
                <w:b/>
                <w:bCs/>
                <w:lang w:eastAsia="en-AU"/>
              </w:rPr>
            </w:pPr>
            <w:r w:rsidRPr="003233F0">
              <w:rPr>
                <w:rFonts w:eastAsia="Times New Roman" w:cs="Arial"/>
                <w:b/>
                <w:bCs/>
                <w:lang w:eastAsia="en-AU"/>
              </w:rPr>
              <w:t>Total services and initiatives</w:t>
            </w:r>
          </w:p>
        </w:tc>
        <w:tc>
          <w:tcPr>
            <w:tcW w:w="666" w:type="pct"/>
            <w:tcBorders>
              <w:top w:val="single" w:sz="8" w:space="0" w:color="auto"/>
              <w:left w:val="nil"/>
              <w:bottom w:val="single" w:sz="8" w:space="0" w:color="auto"/>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76,107</w:t>
            </w:r>
          </w:p>
        </w:tc>
        <w:tc>
          <w:tcPr>
            <w:tcW w:w="750" w:type="pct"/>
            <w:tcBorders>
              <w:top w:val="single" w:sz="8" w:space="0" w:color="auto"/>
              <w:left w:val="nil"/>
              <w:bottom w:val="single" w:sz="8" w:space="0" w:color="auto"/>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109,833</w:t>
            </w:r>
          </w:p>
        </w:tc>
        <w:tc>
          <w:tcPr>
            <w:tcW w:w="582" w:type="pct"/>
            <w:tcBorders>
              <w:top w:val="single" w:sz="8" w:space="0" w:color="auto"/>
              <w:left w:val="nil"/>
              <w:bottom w:val="single" w:sz="8" w:space="0" w:color="auto"/>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33,727</w:t>
            </w: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Depreciation</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24,441</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Other non-attributable </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r w:rsidRPr="003233F0">
              <w:rPr>
                <w:rFonts w:eastAsia="Times New Roman" w:cs="Arial"/>
                <w:lang w:eastAsia="en-AU"/>
              </w:rPr>
              <w:t>(12,075)</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300"/>
        </w:trPr>
        <w:tc>
          <w:tcPr>
            <w:tcW w:w="3002" w:type="pct"/>
            <w:tcBorders>
              <w:top w:val="single" w:sz="4" w:space="0" w:color="auto"/>
              <w:left w:val="nil"/>
              <w:bottom w:val="single" w:sz="4" w:space="0" w:color="auto"/>
              <w:right w:val="nil"/>
            </w:tcBorders>
            <w:shd w:val="clear" w:color="auto" w:fill="auto"/>
            <w:noWrap/>
            <w:vAlign w:val="bottom"/>
            <w:hideMark/>
          </w:tcPr>
          <w:p w:rsidR="003233F0" w:rsidRPr="003233F0" w:rsidRDefault="003233F0" w:rsidP="003233F0">
            <w:pPr>
              <w:rPr>
                <w:rFonts w:eastAsia="Times New Roman" w:cs="Arial"/>
                <w:b/>
                <w:bCs/>
                <w:lang w:eastAsia="en-AU"/>
              </w:rPr>
            </w:pPr>
            <w:r w:rsidRPr="003233F0">
              <w:rPr>
                <w:rFonts w:eastAsia="Times New Roman" w:cs="Arial"/>
                <w:b/>
                <w:bCs/>
                <w:lang w:eastAsia="en-AU"/>
              </w:rPr>
              <w:t>Deficit before funding sources</w:t>
            </w:r>
          </w:p>
        </w:tc>
        <w:tc>
          <w:tcPr>
            <w:tcW w:w="666" w:type="pct"/>
            <w:tcBorders>
              <w:top w:val="single" w:sz="4" w:space="0" w:color="auto"/>
              <w:left w:val="nil"/>
              <w:bottom w:val="single" w:sz="4" w:space="0" w:color="auto"/>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88,472</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300"/>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b/>
                <w:bCs/>
                <w:lang w:eastAsia="en-AU"/>
              </w:rPr>
            </w:pPr>
            <w:r w:rsidRPr="003233F0">
              <w:rPr>
                <w:rFonts w:eastAsia="Times New Roman" w:cs="Arial"/>
                <w:b/>
                <w:bCs/>
                <w:lang w:eastAsia="en-AU"/>
              </w:rPr>
              <w:t>Funding sources</w:t>
            </w:r>
          </w:p>
        </w:tc>
        <w:tc>
          <w:tcPr>
            <w:tcW w:w="666"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b/>
                <w:bCs/>
                <w:lang w:eastAsia="en-AU"/>
              </w:rPr>
            </w:pPr>
          </w:p>
        </w:tc>
        <w:tc>
          <w:tcPr>
            <w:tcW w:w="750"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Rates and charges</w:t>
            </w:r>
          </w:p>
        </w:tc>
        <w:tc>
          <w:tcPr>
            <w:tcW w:w="666" w:type="pct"/>
            <w:tcBorders>
              <w:top w:val="nil"/>
              <w:left w:val="nil"/>
              <w:bottom w:val="nil"/>
              <w:right w:val="nil"/>
            </w:tcBorders>
            <w:shd w:val="clear" w:color="auto" w:fill="auto"/>
            <w:hideMark/>
          </w:tcPr>
          <w:p w:rsidR="003233F0" w:rsidRPr="003233F0" w:rsidRDefault="003233F0" w:rsidP="003233F0">
            <w:pPr>
              <w:jc w:val="right"/>
              <w:rPr>
                <w:rFonts w:eastAsia="Times New Roman" w:cs="Arial"/>
                <w:lang w:eastAsia="en-AU"/>
              </w:rPr>
            </w:pPr>
            <w:r w:rsidRPr="003233F0">
              <w:rPr>
                <w:rFonts w:eastAsia="Times New Roman" w:cs="Arial"/>
                <w:lang w:eastAsia="en-AU"/>
              </w:rPr>
              <w:t xml:space="preserve">     96,240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Funding assistance</w:t>
            </w:r>
          </w:p>
        </w:tc>
        <w:tc>
          <w:tcPr>
            <w:tcW w:w="666" w:type="pct"/>
            <w:tcBorders>
              <w:top w:val="nil"/>
              <w:left w:val="nil"/>
              <w:bottom w:val="nil"/>
              <w:right w:val="nil"/>
            </w:tcBorders>
            <w:shd w:val="clear" w:color="auto" w:fill="auto"/>
            <w:hideMark/>
          </w:tcPr>
          <w:p w:rsidR="003233F0" w:rsidRPr="003233F0" w:rsidRDefault="003233F0" w:rsidP="003233F0">
            <w:pPr>
              <w:jc w:val="right"/>
              <w:rPr>
                <w:rFonts w:eastAsia="Times New Roman" w:cs="Arial"/>
                <w:lang w:eastAsia="en-AU"/>
              </w:rPr>
            </w:pPr>
            <w:r w:rsidRPr="003233F0">
              <w:rPr>
                <w:rFonts w:eastAsia="Times New Roman" w:cs="Arial"/>
                <w:lang w:eastAsia="en-AU"/>
              </w:rPr>
              <w:t xml:space="preserve">       4,951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Capital grants &amp; Contributions</w:t>
            </w:r>
          </w:p>
        </w:tc>
        <w:tc>
          <w:tcPr>
            <w:tcW w:w="666" w:type="pct"/>
            <w:tcBorders>
              <w:top w:val="nil"/>
              <w:left w:val="nil"/>
              <w:bottom w:val="nil"/>
              <w:right w:val="nil"/>
            </w:tcBorders>
            <w:shd w:val="clear" w:color="auto" w:fill="auto"/>
            <w:hideMark/>
          </w:tcPr>
          <w:p w:rsidR="003233F0" w:rsidRPr="003233F0" w:rsidRDefault="003233F0" w:rsidP="003233F0">
            <w:pPr>
              <w:jc w:val="right"/>
              <w:rPr>
                <w:rFonts w:eastAsia="Times New Roman" w:cs="Arial"/>
                <w:lang w:eastAsia="en-AU"/>
              </w:rPr>
            </w:pPr>
            <w:r w:rsidRPr="003233F0">
              <w:rPr>
                <w:rFonts w:eastAsia="Times New Roman" w:cs="Arial"/>
                <w:lang w:eastAsia="en-AU"/>
              </w:rPr>
              <w:t xml:space="preserve">     26,755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28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lang w:eastAsia="en-AU"/>
              </w:rPr>
            </w:pPr>
            <w:r w:rsidRPr="003233F0">
              <w:rPr>
                <w:rFonts w:eastAsia="Times New Roman" w:cs="Arial"/>
                <w:lang w:eastAsia="en-AU"/>
              </w:rPr>
              <w:t>Interest</w:t>
            </w:r>
          </w:p>
        </w:tc>
        <w:tc>
          <w:tcPr>
            <w:tcW w:w="666" w:type="pct"/>
            <w:tcBorders>
              <w:top w:val="nil"/>
              <w:left w:val="nil"/>
              <w:bottom w:val="nil"/>
              <w:right w:val="nil"/>
            </w:tcBorders>
            <w:shd w:val="clear" w:color="auto" w:fill="auto"/>
            <w:hideMark/>
          </w:tcPr>
          <w:p w:rsidR="003233F0" w:rsidRPr="003233F0" w:rsidRDefault="003233F0" w:rsidP="003233F0">
            <w:pPr>
              <w:jc w:val="right"/>
              <w:rPr>
                <w:rFonts w:eastAsia="Times New Roman" w:cs="Arial"/>
                <w:lang w:eastAsia="en-AU"/>
              </w:rPr>
            </w:pPr>
            <w:r w:rsidRPr="003233F0">
              <w:rPr>
                <w:rFonts w:eastAsia="Times New Roman" w:cs="Arial"/>
                <w:lang w:eastAsia="en-AU"/>
              </w:rPr>
              <w:t xml:space="preserve">          675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315"/>
        </w:trPr>
        <w:tc>
          <w:tcPr>
            <w:tcW w:w="3002" w:type="pct"/>
            <w:tcBorders>
              <w:top w:val="nil"/>
              <w:left w:val="nil"/>
              <w:bottom w:val="nil"/>
              <w:right w:val="nil"/>
            </w:tcBorders>
            <w:shd w:val="clear" w:color="auto" w:fill="auto"/>
            <w:noWrap/>
            <w:vAlign w:val="bottom"/>
            <w:hideMark/>
          </w:tcPr>
          <w:p w:rsidR="003233F0" w:rsidRPr="003233F0" w:rsidRDefault="003233F0" w:rsidP="003233F0">
            <w:pPr>
              <w:rPr>
                <w:rFonts w:eastAsia="Times New Roman" w:cs="Arial"/>
                <w:b/>
                <w:bCs/>
                <w:lang w:eastAsia="en-AU"/>
              </w:rPr>
            </w:pPr>
            <w:r w:rsidRPr="003233F0">
              <w:rPr>
                <w:rFonts w:eastAsia="Times New Roman" w:cs="Arial"/>
                <w:b/>
                <w:bCs/>
                <w:lang w:eastAsia="en-AU"/>
              </w:rPr>
              <w:t>Total funding sources </w:t>
            </w:r>
          </w:p>
        </w:tc>
        <w:tc>
          <w:tcPr>
            <w:tcW w:w="666" w:type="pct"/>
            <w:tcBorders>
              <w:top w:val="nil"/>
              <w:left w:val="nil"/>
              <w:bottom w:val="single" w:sz="8" w:space="0" w:color="auto"/>
              <w:right w:val="nil"/>
            </w:tcBorders>
            <w:shd w:val="clear" w:color="auto" w:fill="auto"/>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 xml:space="preserve">   128,621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r w:rsidR="003233F0" w:rsidRPr="003233F0" w:rsidTr="003233F0">
        <w:trPr>
          <w:trHeight w:val="315"/>
        </w:trPr>
        <w:tc>
          <w:tcPr>
            <w:tcW w:w="3002" w:type="pct"/>
            <w:tcBorders>
              <w:top w:val="nil"/>
              <w:left w:val="nil"/>
              <w:bottom w:val="single" w:sz="8" w:space="0" w:color="auto"/>
              <w:right w:val="nil"/>
            </w:tcBorders>
            <w:shd w:val="clear" w:color="auto" w:fill="auto"/>
            <w:noWrap/>
            <w:vAlign w:val="bottom"/>
            <w:hideMark/>
          </w:tcPr>
          <w:p w:rsidR="003233F0" w:rsidRPr="003233F0" w:rsidRDefault="003233F0" w:rsidP="003233F0">
            <w:pPr>
              <w:rPr>
                <w:rFonts w:eastAsia="Times New Roman" w:cs="Arial"/>
                <w:b/>
                <w:bCs/>
                <w:lang w:eastAsia="en-AU"/>
              </w:rPr>
            </w:pPr>
            <w:r w:rsidRPr="003233F0">
              <w:rPr>
                <w:rFonts w:eastAsia="Times New Roman" w:cs="Arial"/>
                <w:b/>
                <w:bCs/>
                <w:lang w:eastAsia="en-AU"/>
              </w:rPr>
              <w:t>Surplus for the year</w:t>
            </w:r>
          </w:p>
        </w:tc>
        <w:tc>
          <w:tcPr>
            <w:tcW w:w="666" w:type="pct"/>
            <w:tcBorders>
              <w:top w:val="nil"/>
              <w:left w:val="nil"/>
              <w:bottom w:val="single" w:sz="8" w:space="0" w:color="auto"/>
              <w:right w:val="nil"/>
            </w:tcBorders>
            <w:shd w:val="clear" w:color="auto" w:fill="auto"/>
            <w:hideMark/>
          </w:tcPr>
          <w:p w:rsidR="003233F0" w:rsidRPr="003233F0" w:rsidRDefault="003233F0" w:rsidP="003233F0">
            <w:pPr>
              <w:jc w:val="right"/>
              <w:rPr>
                <w:rFonts w:eastAsia="Times New Roman" w:cs="Arial"/>
                <w:b/>
                <w:bCs/>
                <w:lang w:eastAsia="en-AU"/>
              </w:rPr>
            </w:pPr>
            <w:r w:rsidRPr="003233F0">
              <w:rPr>
                <w:rFonts w:eastAsia="Times New Roman" w:cs="Arial"/>
                <w:b/>
                <w:bCs/>
                <w:lang w:eastAsia="en-AU"/>
              </w:rPr>
              <w:t xml:space="preserve">     40,148 </w:t>
            </w:r>
          </w:p>
        </w:tc>
        <w:tc>
          <w:tcPr>
            <w:tcW w:w="750" w:type="pct"/>
            <w:tcBorders>
              <w:top w:val="nil"/>
              <w:left w:val="nil"/>
              <w:bottom w:val="nil"/>
              <w:right w:val="nil"/>
            </w:tcBorders>
            <w:shd w:val="clear" w:color="auto" w:fill="auto"/>
            <w:noWrap/>
            <w:vAlign w:val="bottom"/>
            <w:hideMark/>
          </w:tcPr>
          <w:p w:rsidR="003233F0" w:rsidRPr="003233F0" w:rsidRDefault="003233F0" w:rsidP="003233F0">
            <w:pPr>
              <w:jc w:val="right"/>
              <w:rPr>
                <w:rFonts w:eastAsia="Times New Roman" w:cs="Arial"/>
                <w:b/>
                <w:bCs/>
                <w:lang w:eastAsia="en-AU"/>
              </w:rPr>
            </w:pPr>
          </w:p>
        </w:tc>
        <w:tc>
          <w:tcPr>
            <w:tcW w:w="582" w:type="pct"/>
            <w:tcBorders>
              <w:top w:val="nil"/>
              <w:left w:val="nil"/>
              <w:bottom w:val="nil"/>
              <w:right w:val="nil"/>
            </w:tcBorders>
            <w:shd w:val="clear" w:color="auto" w:fill="auto"/>
            <w:noWrap/>
            <w:vAlign w:val="bottom"/>
            <w:hideMark/>
          </w:tcPr>
          <w:p w:rsidR="003233F0" w:rsidRPr="003233F0" w:rsidRDefault="003233F0" w:rsidP="003233F0">
            <w:pPr>
              <w:rPr>
                <w:rFonts w:ascii="Times New Roman" w:eastAsia="Times New Roman" w:hAnsi="Times New Roman"/>
                <w:sz w:val="20"/>
                <w:szCs w:val="20"/>
                <w:lang w:eastAsia="en-AU"/>
              </w:rPr>
            </w:pPr>
          </w:p>
        </w:tc>
      </w:tr>
    </w:tbl>
    <w:p w:rsidR="003233F0" w:rsidRDefault="003233F0" w:rsidP="004B2040"/>
    <w:p w:rsidR="003233F0" w:rsidRDefault="003233F0" w:rsidP="004B2040"/>
    <w:p w:rsidR="007C745F" w:rsidRDefault="007C745F" w:rsidP="004B2040"/>
    <w:p w:rsidR="00B20D5D" w:rsidRDefault="00B20D5D" w:rsidP="004B2040"/>
    <w:p w:rsidR="00B20D5D" w:rsidRDefault="00B20D5D" w:rsidP="004B2040"/>
    <w:p w:rsidR="00CE0EDC" w:rsidRPr="00996516" w:rsidRDefault="004B2040" w:rsidP="004B2040">
      <w:pPr>
        <w:jc w:val="both"/>
        <w:rPr>
          <w:rFonts w:eastAsiaTheme="minorHAnsi" w:cs="Arial"/>
        </w:rPr>
      </w:pPr>
      <w:r w:rsidRPr="00242D2A">
        <w:rPr>
          <w:rFonts w:cs="Arial"/>
          <w:b/>
          <w:bCs/>
          <w:iCs/>
          <w:sz w:val="20"/>
          <w:lang w:eastAsia="en-AU"/>
        </w:rPr>
        <w:br w:type="page"/>
      </w:r>
    </w:p>
    <w:p w:rsidR="00DD72CE" w:rsidRDefault="00DD72CE" w:rsidP="00DD72CE">
      <w:pPr>
        <w:jc w:val="both"/>
        <w:rPr>
          <w:rFonts w:eastAsia="Times New Roman" w:cs="Arial"/>
          <w:sz w:val="20"/>
          <w:szCs w:val="20"/>
        </w:rPr>
      </w:pPr>
    </w:p>
    <w:p w:rsidR="00DD72CE" w:rsidRPr="0065738F" w:rsidRDefault="00DD72CE" w:rsidP="00DD72CE">
      <w:pPr>
        <w:pStyle w:val="Heading2"/>
      </w:pPr>
      <w:bookmarkStart w:id="126" w:name="_Toc4056375"/>
      <w:r w:rsidRPr="007E3A0B">
        <w:t>3. Summary of financial position</w:t>
      </w:r>
      <w:bookmarkEnd w:id="126"/>
    </w:p>
    <w:p w:rsidR="00DD72CE" w:rsidRPr="00996516" w:rsidRDefault="00DD72CE" w:rsidP="00DD72CE">
      <w:pPr>
        <w:rPr>
          <w:rFonts w:eastAsiaTheme="minorHAnsi" w:cs="Arial"/>
        </w:rPr>
      </w:pPr>
    </w:p>
    <w:p w:rsidR="00DD72CE" w:rsidRPr="0029462D" w:rsidRDefault="00DD72CE" w:rsidP="00DD72CE">
      <w:pPr>
        <w:jc w:val="both"/>
        <w:rPr>
          <w:rFonts w:eastAsia="Times New Roman" w:cs="Arial"/>
          <w:lang w:eastAsia="en-AU"/>
        </w:rPr>
      </w:pPr>
      <w:r w:rsidRPr="0029462D">
        <w:rPr>
          <w:rFonts w:eastAsia="Times New Roman" w:cs="Arial"/>
          <w:lang w:eastAsia="en-AU"/>
        </w:rPr>
        <w:t xml:space="preserve">This section considers the </w:t>
      </w:r>
      <w:proofErr w:type="gramStart"/>
      <w:r w:rsidRPr="0029462D">
        <w:rPr>
          <w:rFonts w:eastAsia="Times New Roman" w:cs="Arial"/>
          <w:lang w:eastAsia="en-AU"/>
        </w:rPr>
        <w:t>long term</w:t>
      </w:r>
      <w:proofErr w:type="gramEnd"/>
      <w:r w:rsidRPr="0029462D">
        <w:rPr>
          <w:rFonts w:eastAsia="Times New Roman" w:cs="Arial"/>
          <w:lang w:eastAsia="en-AU"/>
        </w:rPr>
        <w:t xml:space="preserve"> financial projections of the Council. The Act and Regulations require a Strategic Resource Plan to be prepared covering both financial and non-financial </w:t>
      </w:r>
      <w:proofErr w:type="gramStart"/>
      <w:r w:rsidRPr="0029462D">
        <w:rPr>
          <w:rFonts w:eastAsia="Times New Roman" w:cs="Arial"/>
          <w:lang w:eastAsia="en-AU"/>
        </w:rPr>
        <w:t>resources, and</w:t>
      </w:r>
      <w:proofErr w:type="gramEnd"/>
      <w:r w:rsidRPr="0029462D">
        <w:rPr>
          <w:rFonts w:eastAsia="Times New Roman" w:cs="Arial"/>
          <w:lang w:eastAsia="en-AU"/>
        </w:rPr>
        <w:t xml:space="preserve"> including financial performance indicators for at least the next four financial years to support the Council Plan. Council prepares the </w:t>
      </w:r>
      <w:proofErr w:type="gramStart"/>
      <w:r w:rsidRPr="0029462D">
        <w:rPr>
          <w:rFonts w:eastAsia="Times New Roman" w:cs="Arial"/>
          <w:lang w:eastAsia="en-AU"/>
        </w:rPr>
        <w:t>long term</w:t>
      </w:r>
      <w:proofErr w:type="gramEnd"/>
      <w:r w:rsidRPr="0029462D">
        <w:rPr>
          <w:rFonts w:eastAsia="Times New Roman" w:cs="Arial"/>
          <w:lang w:eastAsia="en-AU"/>
        </w:rPr>
        <w:t xml:space="preserve"> financial strategy for the next ten years from which the financial statements are derived.</w:t>
      </w:r>
    </w:p>
    <w:p w:rsidR="00DD72CE" w:rsidRPr="0029462D" w:rsidRDefault="00DD72CE" w:rsidP="00DD72CE">
      <w:pPr>
        <w:jc w:val="both"/>
        <w:rPr>
          <w:rFonts w:eastAsia="Times New Roman" w:cs="Arial"/>
          <w:lang w:eastAsia="en-AU"/>
        </w:rPr>
      </w:pPr>
    </w:p>
    <w:p w:rsidR="00DD72CE" w:rsidRDefault="00DD72CE" w:rsidP="00DD72CE">
      <w:pPr>
        <w:spacing w:after="200"/>
        <w:contextualSpacing/>
        <w:jc w:val="both"/>
        <w:rPr>
          <w:rFonts w:cs="Arial"/>
        </w:rPr>
      </w:pPr>
      <w:r w:rsidRPr="0029462D">
        <w:rPr>
          <w:rFonts w:cs="Arial"/>
        </w:rPr>
        <w:t>Key budget information is provided below about the rate and charges; comprehensive result; cash and investments; capital expenditure; financial position (working capital) and financial sustainability of the Council.</w:t>
      </w:r>
    </w:p>
    <w:p w:rsidR="00A84DDF" w:rsidRDefault="00A84DDF" w:rsidP="00DD72CE">
      <w:pPr>
        <w:spacing w:after="200"/>
        <w:contextualSpacing/>
        <w:jc w:val="both"/>
        <w:rPr>
          <w:rFonts w:cs="Arial"/>
        </w:rPr>
      </w:pPr>
    </w:p>
    <w:p w:rsidR="00A84DDF" w:rsidRDefault="00A84DDF" w:rsidP="00DD72CE">
      <w:pPr>
        <w:spacing w:after="200"/>
        <w:contextualSpacing/>
        <w:jc w:val="both"/>
        <w:rPr>
          <w:rFonts w:cs="Arial"/>
        </w:rPr>
      </w:pPr>
      <w:r>
        <w:rPr>
          <w:rFonts w:cs="Arial"/>
        </w:rPr>
        <w:t xml:space="preserve">Nearly all these measures have been impacted in some way by the impacts of COVID19 and Council has had to review its operations and make the appropriate changes, </w:t>
      </w:r>
      <w:proofErr w:type="gramStart"/>
      <w:r>
        <w:rPr>
          <w:rFonts w:cs="Arial"/>
        </w:rPr>
        <w:t>in order to</w:t>
      </w:r>
      <w:proofErr w:type="gramEnd"/>
      <w:r>
        <w:rPr>
          <w:rFonts w:cs="Arial"/>
        </w:rPr>
        <w:t xml:space="preserve"> position the organisation in the best position possible to continue delivering community services with as little impacts as possible.</w:t>
      </w:r>
    </w:p>
    <w:p w:rsidR="00F915DE" w:rsidRPr="0029462D" w:rsidRDefault="00F915DE" w:rsidP="00DD72CE">
      <w:pPr>
        <w:spacing w:after="200"/>
        <w:contextualSpacing/>
        <w:jc w:val="both"/>
        <w:rPr>
          <w:rFonts w:cs="Arial"/>
        </w:rPr>
      </w:pPr>
    </w:p>
    <w:p w:rsidR="00DD72CE" w:rsidRPr="0029462D" w:rsidRDefault="00DD72CE" w:rsidP="00DD72CE">
      <w:pPr>
        <w:spacing w:after="200" w:line="276" w:lineRule="auto"/>
        <w:contextualSpacing/>
        <w:jc w:val="both"/>
        <w:rPr>
          <w:rFonts w:cs="Arial"/>
        </w:rPr>
      </w:pPr>
    </w:p>
    <w:p w:rsidR="00DD72CE" w:rsidRPr="008D1A4B" w:rsidRDefault="006D2E27" w:rsidP="006D2E27">
      <w:pPr>
        <w:tabs>
          <w:tab w:val="left" w:pos="426"/>
        </w:tabs>
        <w:spacing w:after="200" w:line="276" w:lineRule="auto"/>
        <w:ind w:left="851" w:hanging="851"/>
        <w:contextualSpacing/>
        <w:jc w:val="both"/>
        <w:rPr>
          <w:rFonts w:cs="Arial"/>
          <w:b/>
          <w:bCs/>
          <w:color w:val="4A66AC" w:themeColor="accent1"/>
          <w:lang w:eastAsia="en-AU"/>
        </w:rPr>
      </w:pPr>
      <w:r w:rsidRPr="007E3A0B">
        <w:rPr>
          <w:rFonts w:cs="Arial"/>
          <w:b/>
          <w:bCs/>
          <w:color w:val="4A66AC" w:themeColor="accent1"/>
          <w:lang w:eastAsia="en-AU"/>
        </w:rPr>
        <w:t xml:space="preserve">3.1 </w:t>
      </w:r>
      <w:r w:rsidR="00DD72CE" w:rsidRPr="007E3A0B">
        <w:rPr>
          <w:rFonts w:cs="Arial"/>
          <w:b/>
          <w:bCs/>
          <w:color w:val="4A66AC" w:themeColor="accent1"/>
          <w:lang w:eastAsia="en-AU"/>
        </w:rPr>
        <w:t>Total Rates &amp; Charges</w:t>
      </w:r>
    </w:p>
    <w:p w:rsidR="00DD72CE" w:rsidRDefault="00DD72CE" w:rsidP="00DD72CE">
      <w:pPr>
        <w:jc w:val="both"/>
        <w:rPr>
          <w:noProof/>
          <w:lang w:eastAsia="en-AU"/>
        </w:rPr>
      </w:pPr>
    </w:p>
    <w:p w:rsidR="00F25BA9" w:rsidRPr="0029462D" w:rsidRDefault="00D06E00" w:rsidP="00DD72CE">
      <w:pPr>
        <w:jc w:val="both"/>
        <w:rPr>
          <w:rFonts w:eastAsia="Times New Roman" w:cs="Arial"/>
          <w:noProof/>
          <w:szCs w:val="20"/>
          <w:lang w:eastAsia="en-AU"/>
        </w:rPr>
      </w:pPr>
      <w:r>
        <w:rPr>
          <w:noProof/>
        </w:rPr>
        <w:drawing>
          <wp:inline distT="0" distB="0" distL="0" distR="0" wp14:anchorId="30F22AD9" wp14:editId="1B359789">
            <wp:extent cx="6546850" cy="2124075"/>
            <wp:effectExtent l="0" t="0" r="6350" b="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72CE" w:rsidRPr="0029462D" w:rsidRDefault="00DD72CE" w:rsidP="00DD72CE">
      <w:pPr>
        <w:ind w:left="1560" w:firstLine="141"/>
        <w:jc w:val="both"/>
        <w:rPr>
          <w:rFonts w:ascii="Arial Narrow" w:eastAsia="Times New Roman" w:hAnsi="Arial Narrow" w:cs="Arial"/>
          <w:sz w:val="18"/>
          <w:szCs w:val="18"/>
        </w:rPr>
      </w:pPr>
      <w:r w:rsidRPr="0029462D">
        <w:rPr>
          <w:rFonts w:ascii="Arial Narrow" w:eastAsia="Times New Roman" w:hAnsi="Arial Narrow" w:cs="Arial"/>
          <w:sz w:val="18"/>
          <w:szCs w:val="18"/>
        </w:rPr>
        <w:t>A = Actual   F = Forecast</w:t>
      </w:r>
      <w:r w:rsidR="0071179E">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B = Budget   LTFS = Long Term Financial Strategy estimates</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F915DE" w:rsidRDefault="00F915DE" w:rsidP="00DD72CE">
      <w:pPr>
        <w:tabs>
          <w:tab w:val="left" w:pos="426"/>
        </w:tabs>
        <w:spacing w:after="200"/>
        <w:contextualSpacing/>
        <w:jc w:val="both"/>
        <w:rPr>
          <w:rFonts w:cs="Arial"/>
          <w:lang w:eastAsia="en-AU"/>
        </w:rPr>
      </w:pPr>
    </w:p>
    <w:p w:rsidR="00F915DE" w:rsidRDefault="00DD72CE" w:rsidP="00DD72CE">
      <w:pPr>
        <w:tabs>
          <w:tab w:val="left" w:pos="426"/>
        </w:tabs>
        <w:spacing w:after="200"/>
        <w:contextualSpacing/>
        <w:jc w:val="both"/>
        <w:rPr>
          <w:rFonts w:cs="Arial"/>
          <w:lang w:eastAsia="en-AU"/>
        </w:rPr>
      </w:pPr>
      <w:r w:rsidRPr="0029462D">
        <w:rPr>
          <w:rFonts w:cs="Arial"/>
          <w:lang w:eastAsia="en-AU"/>
        </w:rPr>
        <w:t>It is proposed that rates will increase by 2.</w:t>
      </w:r>
      <w:r w:rsidR="00A86E67">
        <w:rPr>
          <w:rFonts w:cs="Arial"/>
          <w:lang w:eastAsia="en-AU"/>
        </w:rPr>
        <w:t>0</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Rate in accordance with ESC formulae</w:t>
      </w:r>
      <w:r w:rsidRPr="00A86E67">
        <w:rPr>
          <w:rFonts w:cs="Arial"/>
          <w:lang w:eastAsia="en-AU"/>
        </w:rPr>
        <w:t xml:space="preserve">) and waste charges </w:t>
      </w:r>
      <w:r w:rsidR="00A86E67" w:rsidRPr="00A86E67">
        <w:rPr>
          <w:rFonts w:cs="Arial"/>
          <w:lang w:eastAsia="en-AU"/>
        </w:rPr>
        <w:t xml:space="preserve">to increase by </w:t>
      </w:r>
      <w:r w:rsidR="00C4298C">
        <w:rPr>
          <w:rFonts w:cs="Arial"/>
          <w:lang w:eastAsia="en-AU"/>
        </w:rPr>
        <w:t>6.4</w:t>
      </w:r>
      <w:r w:rsidR="00A86E67" w:rsidRPr="00A86E67">
        <w:rPr>
          <w:rFonts w:cs="Arial"/>
          <w:lang w:eastAsia="en-AU"/>
        </w:rPr>
        <w:t xml:space="preserve">% in </w:t>
      </w:r>
      <w:r w:rsidRPr="00A86E67">
        <w:rPr>
          <w:rFonts w:cs="Arial"/>
          <w:lang w:eastAsia="en-AU"/>
        </w:rPr>
        <w:t>20</w:t>
      </w:r>
      <w:r w:rsidR="00A86E67" w:rsidRPr="00A86E67">
        <w:rPr>
          <w:rFonts w:cs="Arial"/>
          <w:lang w:eastAsia="en-AU"/>
        </w:rPr>
        <w:t>20</w:t>
      </w:r>
      <w:r w:rsidRPr="00A86E67">
        <w:rPr>
          <w:rFonts w:cs="Arial"/>
          <w:lang w:eastAsia="en-AU"/>
        </w:rPr>
        <w:t>/</w:t>
      </w:r>
      <w:r w:rsidR="00E70B86" w:rsidRPr="00A86E67">
        <w:rPr>
          <w:rFonts w:cs="Arial"/>
          <w:lang w:eastAsia="en-AU"/>
        </w:rPr>
        <w:t>2</w:t>
      </w:r>
      <w:r w:rsidR="00A86E67" w:rsidRPr="00A86E67">
        <w:rPr>
          <w:rFonts w:cs="Arial"/>
          <w:lang w:eastAsia="en-AU"/>
        </w:rPr>
        <w:t>1</w:t>
      </w:r>
      <w:r w:rsidRPr="00A86E67">
        <w:rPr>
          <w:rFonts w:cs="Arial"/>
          <w:lang w:eastAsia="en-AU"/>
        </w:rPr>
        <w:t xml:space="preserve"> year in line with contract obligations</w:t>
      </w:r>
      <w:r w:rsidR="00EA3843">
        <w:rPr>
          <w:rFonts w:cs="Arial"/>
          <w:lang w:eastAsia="en-AU"/>
        </w:rPr>
        <w:t xml:space="preserve"> (accommodating the increased costs of recycling processing)</w:t>
      </w:r>
      <w:r w:rsidR="00A170E9" w:rsidRPr="00A86E67">
        <w:rPr>
          <w:rFonts w:cs="Arial"/>
          <w:lang w:eastAsia="en-AU"/>
        </w:rPr>
        <w:t>. T</w:t>
      </w:r>
      <w:r w:rsidRPr="00A86E67">
        <w:rPr>
          <w:rFonts w:cs="Arial"/>
          <w:lang w:eastAsia="en-AU"/>
        </w:rPr>
        <w:t xml:space="preserve">otal </w:t>
      </w:r>
      <w:r w:rsidRPr="0029462D">
        <w:rPr>
          <w:rFonts w:cs="Arial"/>
          <w:lang w:eastAsia="en-AU"/>
        </w:rPr>
        <w:t>rates and charges</w:t>
      </w:r>
      <w:r w:rsidRPr="00C4298C">
        <w:rPr>
          <w:rFonts w:cs="Arial"/>
          <w:lang w:eastAsia="en-AU"/>
        </w:rPr>
        <w:t xml:space="preserve"> </w:t>
      </w:r>
      <w:r w:rsidRPr="00D06E00">
        <w:rPr>
          <w:rFonts w:cs="Arial"/>
          <w:lang w:eastAsia="en-AU"/>
        </w:rPr>
        <w:t>of $</w:t>
      </w:r>
      <w:r w:rsidR="001F09E9" w:rsidRPr="00D06E00">
        <w:rPr>
          <w:rFonts w:cs="Arial"/>
          <w:lang w:eastAsia="en-AU"/>
        </w:rPr>
        <w:t>96.</w:t>
      </w:r>
      <w:r w:rsidR="00C4298C" w:rsidRPr="00D06E00">
        <w:rPr>
          <w:rFonts w:cs="Arial"/>
          <w:lang w:eastAsia="en-AU"/>
        </w:rPr>
        <w:t>2</w:t>
      </w:r>
      <w:r w:rsidR="00D06E00" w:rsidRPr="00D06E00">
        <w:rPr>
          <w:rFonts w:cs="Arial"/>
          <w:lang w:eastAsia="en-AU"/>
        </w:rPr>
        <w:t>4</w:t>
      </w:r>
      <w:r w:rsidRPr="00D06E00">
        <w:rPr>
          <w:rFonts w:cs="Arial"/>
          <w:lang w:eastAsia="en-AU"/>
        </w:rPr>
        <w:t xml:space="preserve"> million, which includes $0.</w:t>
      </w:r>
      <w:r w:rsidR="00C4298C" w:rsidRPr="00D06E00">
        <w:rPr>
          <w:rFonts w:cs="Arial"/>
          <w:lang w:eastAsia="en-AU"/>
        </w:rPr>
        <w:t>67</w:t>
      </w:r>
      <w:r w:rsidRPr="00D06E00">
        <w:rPr>
          <w:rFonts w:cs="Arial"/>
          <w:lang w:eastAsia="en-AU"/>
        </w:rPr>
        <w:t xml:space="preserve"> </w:t>
      </w:r>
      <w:r w:rsidRPr="00C4298C">
        <w:rPr>
          <w:rFonts w:cs="Arial"/>
          <w:lang w:eastAsia="en-AU"/>
        </w:rPr>
        <w:t xml:space="preserve">million </w:t>
      </w:r>
      <w:r w:rsidRPr="0029462D">
        <w:rPr>
          <w:rFonts w:cs="Arial"/>
          <w:lang w:eastAsia="en-AU"/>
        </w:rPr>
        <w:t xml:space="preserve">generated from supplementary rates. This rate increase is in line with Council’s rating strategy. </w:t>
      </w:r>
    </w:p>
    <w:p w:rsidR="00F915DE" w:rsidRDefault="00F915DE" w:rsidP="00DD72CE">
      <w:pPr>
        <w:tabs>
          <w:tab w:val="left" w:pos="426"/>
        </w:tabs>
        <w:spacing w:after="200"/>
        <w:contextualSpacing/>
        <w:jc w:val="both"/>
        <w:rPr>
          <w:rFonts w:cs="Arial"/>
          <w:lang w:eastAsia="en-AU"/>
        </w:rPr>
      </w:pPr>
    </w:p>
    <w:p w:rsidR="00DD72CE" w:rsidRPr="00F915DE" w:rsidRDefault="00DD72CE" w:rsidP="00DD72CE">
      <w:pPr>
        <w:tabs>
          <w:tab w:val="left" w:pos="426"/>
        </w:tabs>
        <w:spacing w:after="200"/>
        <w:contextualSpacing/>
        <w:jc w:val="both"/>
        <w:rPr>
          <w:rFonts w:cs="Arial"/>
          <w:i/>
          <w:lang w:eastAsia="en-AU"/>
        </w:rPr>
      </w:pPr>
      <w:r w:rsidRPr="0029462D">
        <w:rPr>
          <w:rFonts w:cs="Arial"/>
          <w:lang w:eastAsia="en-AU"/>
        </w:rPr>
        <w:t>Future years (20</w:t>
      </w:r>
      <w:r w:rsidR="00B642D0">
        <w:rPr>
          <w:rFonts w:cs="Arial"/>
          <w:lang w:eastAsia="en-AU"/>
        </w:rPr>
        <w:t>2</w:t>
      </w:r>
      <w:r w:rsidR="00A86E67">
        <w:rPr>
          <w:rFonts w:cs="Arial"/>
          <w:lang w:eastAsia="en-AU"/>
        </w:rPr>
        <w:t>1</w:t>
      </w:r>
      <w:r w:rsidRPr="0029462D">
        <w:rPr>
          <w:rFonts w:cs="Arial"/>
          <w:lang w:eastAsia="en-AU"/>
        </w:rPr>
        <w:t>/</w:t>
      </w:r>
      <w:r w:rsidR="00BD6F20">
        <w:rPr>
          <w:rFonts w:cs="Arial"/>
          <w:lang w:eastAsia="en-AU"/>
        </w:rPr>
        <w:t>2</w:t>
      </w:r>
      <w:r w:rsidR="00A86E67">
        <w:rPr>
          <w:rFonts w:cs="Arial"/>
          <w:lang w:eastAsia="en-AU"/>
        </w:rPr>
        <w:t>2</w:t>
      </w:r>
      <w:r w:rsidRPr="0029462D">
        <w:rPr>
          <w:rFonts w:cs="Arial"/>
          <w:lang w:eastAsia="en-AU"/>
        </w:rPr>
        <w:t xml:space="preserve"> to 20</w:t>
      </w:r>
      <w:r>
        <w:rPr>
          <w:rFonts w:cs="Arial"/>
          <w:lang w:eastAsia="en-AU"/>
        </w:rPr>
        <w:t>2</w:t>
      </w:r>
      <w:r w:rsidR="00A86E67">
        <w:rPr>
          <w:rFonts w:cs="Arial"/>
          <w:lang w:eastAsia="en-AU"/>
        </w:rPr>
        <w:t>2</w:t>
      </w:r>
      <w:r w:rsidRPr="0029462D">
        <w:rPr>
          <w:rFonts w:cs="Arial"/>
          <w:lang w:eastAsia="en-AU"/>
        </w:rPr>
        <w:t>/2</w:t>
      </w:r>
      <w:r w:rsidR="00A86E67">
        <w:rPr>
          <w:rFonts w:cs="Arial"/>
          <w:lang w:eastAsia="en-AU"/>
        </w:rPr>
        <w:t>3</w:t>
      </w:r>
      <w:r w:rsidRPr="0029462D">
        <w:rPr>
          <w:rFonts w:cs="Arial"/>
          <w:lang w:eastAsia="en-AU"/>
        </w:rPr>
        <w:t xml:space="preserve">) rates </w:t>
      </w:r>
      <w:r>
        <w:rPr>
          <w:rFonts w:cs="Arial"/>
          <w:lang w:eastAsia="en-AU"/>
        </w:rPr>
        <w:t>are estimated to</w:t>
      </w:r>
      <w:r w:rsidRPr="0029462D">
        <w:rPr>
          <w:rFonts w:cs="Arial"/>
          <w:lang w:eastAsia="en-AU"/>
        </w:rPr>
        <w:t xml:space="preserve"> increase by </w:t>
      </w:r>
      <w:r w:rsidR="00BD6F20">
        <w:rPr>
          <w:rFonts w:cs="Arial"/>
          <w:lang w:eastAsia="en-AU"/>
        </w:rPr>
        <w:t>2.</w:t>
      </w:r>
      <w:r w:rsidR="00A86E67">
        <w:rPr>
          <w:rFonts w:cs="Arial"/>
          <w:lang w:eastAsia="en-AU"/>
        </w:rPr>
        <w:t>0</w:t>
      </w:r>
      <w:r w:rsidRPr="0029462D">
        <w:rPr>
          <w:rFonts w:cs="Arial"/>
          <w:lang w:eastAsia="en-AU"/>
        </w:rPr>
        <w:t>%</w:t>
      </w:r>
      <w:r w:rsidR="00A86E67">
        <w:rPr>
          <w:rFonts w:cs="Arial"/>
          <w:lang w:eastAsia="en-AU"/>
        </w:rPr>
        <w:t xml:space="preserve"> and 2023/24 is estimated to increase by 2.5%.</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 xml:space="preserve">Rate in accordance with ESC formulae) and waste charges </w:t>
      </w:r>
      <w:r>
        <w:rPr>
          <w:rFonts w:cs="Arial"/>
          <w:lang w:eastAsia="en-AU"/>
        </w:rPr>
        <w:t>are estimated to</w:t>
      </w:r>
      <w:r w:rsidRPr="0029462D">
        <w:rPr>
          <w:rFonts w:cs="Arial"/>
          <w:lang w:eastAsia="en-AU"/>
        </w:rPr>
        <w:t xml:space="preserve"> increase by </w:t>
      </w:r>
      <w:r w:rsidR="00C4298C">
        <w:rPr>
          <w:rFonts w:cs="Arial"/>
          <w:lang w:eastAsia="en-AU"/>
        </w:rPr>
        <w:t>6.4</w:t>
      </w:r>
      <w:r w:rsidRPr="00A97F50">
        <w:rPr>
          <w:rFonts w:cs="Arial"/>
          <w:lang w:eastAsia="en-AU"/>
        </w:rPr>
        <w:t>%</w:t>
      </w:r>
      <w:r w:rsidR="00B642D0">
        <w:rPr>
          <w:rFonts w:cs="Arial"/>
          <w:lang w:eastAsia="en-AU"/>
        </w:rPr>
        <w:t xml:space="preserve"> in 2020/21</w:t>
      </w:r>
      <w:r w:rsidR="00C4298C">
        <w:rPr>
          <w:rFonts w:cs="Arial"/>
          <w:lang w:eastAsia="en-AU"/>
        </w:rPr>
        <w:t xml:space="preserve">, </w:t>
      </w:r>
      <w:r w:rsidR="00857933">
        <w:rPr>
          <w:rFonts w:cs="Arial"/>
          <w:lang w:eastAsia="en-AU"/>
        </w:rPr>
        <w:t>10.0</w:t>
      </w:r>
      <w:r w:rsidR="00B642D0">
        <w:rPr>
          <w:rFonts w:cs="Arial"/>
          <w:lang w:eastAsia="en-AU"/>
        </w:rPr>
        <w:t>% in 202</w:t>
      </w:r>
      <w:r w:rsidR="00C4298C">
        <w:rPr>
          <w:rFonts w:cs="Arial"/>
          <w:lang w:eastAsia="en-AU"/>
        </w:rPr>
        <w:t>1</w:t>
      </w:r>
      <w:r w:rsidR="00B642D0">
        <w:rPr>
          <w:rFonts w:cs="Arial"/>
          <w:lang w:eastAsia="en-AU"/>
        </w:rPr>
        <w:t>/2</w:t>
      </w:r>
      <w:r w:rsidR="00C4298C">
        <w:rPr>
          <w:rFonts w:cs="Arial"/>
          <w:lang w:eastAsia="en-AU"/>
        </w:rPr>
        <w:t xml:space="preserve">2, </w:t>
      </w:r>
      <w:r w:rsidR="00857933">
        <w:rPr>
          <w:rFonts w:cs="Arial"/>
          <w:lang w:eastAsia="en-AU"/>
        </w:rPr>
        <w:t>10.1</w:t>
      </w:r>
      <w:r w:rsidR="00C4298C">
        <w:rPr>
          <w:rFonts w:cs="Arial"/>
          <w:lang w:eastAsia="en-AU"/>
        </w:rPr>
        <w:t xml:space="preserve">% in 2022/23 and by </w:t>
      </w:r>
      <w:r w:rsidR="00857933">
        <w:rPr>
          <w:rFonts w:cs="Arial"/>
          <w:lang w:eastAsia="en-AU"/>
        </w:rPr>
        <w:t>9.0</w:t>
      </w:r>
      <w:r w:rsidR="00C4298C">
        <w:rPr>
          <w:rFonts w:cs="Arial"/>
          <w:lang w:eastAsia="en-AU"/>
        </w:rPr>
        <w:t>% in 2023/24.</w:t>
      </w:r>
      <w:r w:rsidR="00F915DE">
        <w:rPr>
          <w:rFonts w:cs="Arial"/>
          <w:lang w:eastAsia="en-AU"/>
        </w:rPr>
        <w:t xml:space="preserve"> These increases proposed in the waste charge is to anticipate the State requirements of the ci</w:t>
      </w:r>
      <w:r w:rsidR="009557F2">
        <w:rPr>
          <w:rFonts w:cs="Arial"/>
          <w:lang w:eastAsia="en-AU"/>
        </w:rPr>
        <w:t>r</w:t>
      </w:r>
      <w:r w:rsidR="00F915DE">
        <w:rPr>
          <w:rFonts w:cs="Arial"/>
          <w:lang w:eastAsia="en-AU"/>
        </w:rPr>
        <w:t xml:space="preserve">cular economy and ensuring Council meets the required outcomes of the State Government’s Policy Paper </w:t>
      </w:r>
      <w:r w:rsidR="00F915DE">
        <w:rPr>
          <w:rFonts w:cs="Arial"/>
          <w:i/>
          <w:lang w:eastAsia="en-AU"/>
        </w:rPr>
        <w:t>‘Tra</w:t>
      </w:r>
      <w:r w:rsidR="003B2A74">
        <w:rPr>
          <w:rFonts w:cs="Arial"/>
          <w:i/>
          <w:lang w:eastAsia="en-AU"/>
        </w:rPr>
        <w:t>n</w:t>
      </w:r>
      <w:r w:rsidR="00F915DE">
        <w:rPr>
          <w:rFonts w:cs="Arial"/>
          <w:i/>
          <w:lang w:eastAsia="en-AU"/>
        </w:rPr>
        <w:t xml:space="preserve">sforming </w:t>
      </w:r>
      <w:proofErr w:type="spellStart"/>
      <w:r w:rsidR="00F915DE">
        <w:rPr>
          <w:rFonts w:cs="Arial"/>
          <w:i/>
          <w:lang w:eastAsia="en-AU"/>
        </w:rPr>
        <w:t>Recyling</w:t>
      </w:r>
      <w:proofErr w:type="spellEnd"/>
      <w:r w:rsidR="00F915DE">
        <w:rPr>
          <w:rFonts w:cs="Arial"/>
          <w:i/>
          <w:lang w:eastAsia="en-AU"/>
        </w:rPr>
        <w:t xml:space="preserve"> in Victoria’.</w:t>
      </w:r>
    </w:p>
    <w:p w:rsidR="00EA3843" w:rsidRDefault="00EA3843"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EE151F" w:rsidRDefault="00EE151F" w:rsidP="00DD72CE">
      <w:pPr>
        <w:tabs>
          <w:tab w:val="left" w:pos="426"/>
        </w:tabs>
        <w:spacing w:after="200"/>
        <w:contextualSpacing/>
        <w:jc w:val="both"/>
        <w:rPr>
          <w:rFonts w:cs="Arial"/>
          <w:lang w:eastAsia="en-AU"/>
        </w:rPr>
      </w:pPr>
    </w:p>
    <w:p w:rsidR="00EE151F" w:rsidRDefault="00EE151F"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F915DE" w:rsidRDefault="00F915DE" w:rsidP="00DD72CE">
      <w:pPr>
        <w:tabs>
          <w:tab w:val="left" w:pos="426"/>
        </w:tabs>
        <w:spacing w:after="200"/>
        <w:contextualSpacing/>
        <w:jc w:val="both"/>
        <w:rPr>
          <w:rFonts w:cs="Arial"/>
          <w:lang w:eastAsia="en-AU"/>
        </w:rPr>
      </w:pPr>
    </w:p>
    <w:p w:rsidR="00DD72CE" w:rsidRPr="0029462D" w:rsidRDefault="001F6AFE" w:rsidP="00DD72CE">
      <w:pPr>
        <w:tabs>
          <w:tab w:val="left" w:pos="426"/>
        </w:tabs>
        <w:spacing w:after="200" w:line="276" w:lineRule="auto"/>
        <w:contextualSpacing/>
        <w:jc w:val="both"/>
        <w:rPr>
          <w:rFonts w:cs="Arial"/>
          <w:b/>
          <w:bCs/>
          <w:color w:val="C00000"/>
          <w:lang w:eastAsia="en-AU"/>
        </w:rPr>
      </w:pPr>
      <w:r w:rsidRPr="007E3A0B">
        <w:rPr>
          <w:rFonts w:cs="Arial"/>
          <w:b/>
          <w:color w:val="4A66AC" w:themeColor="accent1"/>
          <w:lang w:eastAsia="en-AU"/>
        </w:rPr>
        <w:t>3</w:t>
      </w:r>
      <w:r w:rsidR="00DD72CE" w:rsidRPr="007E3A0B">
        <w:rPr>
          <w:rFonts w:cs="Arial"/>
          <w:b/>
          <w:color w:val="4A66AC" w:themeColor="accent1"/>
          <w:lang w:eastAsia="en-AU"/>
        </w:rPr>
        <w:t>.2</w:t>
      </w:r>
      <w:r w:rsidR="00DD72CE" w:rsidRPr="007E3A0B">
        <w:rPr>
          <w:rFonts w:cs="Arial"/>
          <w:color w:val="4A66AC" w:themeColor="accent1"/>
          <w:lang w:eastAsia="en-AU"/>
        </w:rPr>
        <w:t xml:space="preserve"> </w:t>
      </w:r>
      <w:r w:rsidR="00DD72CE" w:rsidRPr="007E3A0B">
        <w:rPr>
          <w:rFonts w:cs="Arial"/>
          <w:b/>
          <w:bCs/>
          <w:color w:val="4A66AC" w:themeColor="accent1"/>
          <w:lang w:eastAsia="en-AU"/>
        </w:rPr>
        <w:t>Comprehensive result</w:t>
      </w:r>
    </w:p>
    <w:p w:rsidR="00DD72CE" w:rsidRDefault="00DD72CE" w:rsidP="00DD72CE">
      <w:pPr>
        <w:jc w:val="both"/>
        <w:rPr>
          <w:noProof/>
          <w:lang w:eastAsia="en-AU"/>
        </w:rPr>
      </w:pPr>
    </w:p>
    <w:p w:rsidR="00326393" w:rsidRPr="0029462D" w:rsidRDefault="008C3060" w:rsidP="00DD72CE">
      <w:pPr>
        <w:jc w:val="both"/>
        <w:rPr>
          <w:rFonts w:eastAsia="Times New Roman" w:cs="Arial"/>
          <w:szCs w:val="20"/>
        </w:rPr>
      </w:pPr>
      <w:r>
        <w:rPr>
          <w:noProof/>
        </w:rPr>
        <w:drawing>
          <wp:inline distT="0" distB="0" distL="0" distR="0" wp14:anchorId="31C7A8A3" wp14:editId="670AC906">
            <wp:extent cx="6381750" cy="2057400"/>
            <wp:effectExtent l="0" t="0" r="0" b="0"/>
            <wp:docPr id="6" name="Chart 6">
              <a:extLst xmlns:a="http://schemas.openxmlformats.org/drawingml/2006/main">
                <a:ext uri="{FF2B5EF4-FFF2-40B4-BE49-F238E27FC236}">
                  <a16:creationId xmlns:a16="http://schemas.microsoft.com/office/drawing/2014/main" id="{FFC53813-C98D-4FFB-8BA3-DA714BF1C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72CE" w:rsidRPr="0029462D" w:rsidRDefault="00DD72CE" w:rsidP="00DD72CE">
      <w:pPr>
        <w:jc w:val="both"/>
        <w:rPr>
          <w:rFonts w:eastAsia="Times New Roman" w:cs="Arial"/>
          <w:sz w:val="18"/>
          <w:szCs w:val="18"/>
          <w:lang w:eastAsia="en-AU"/>
        </w:rPr>
      </w:pPr>
      <w:r w:rsidRPr="0029462D">
        <w:rPr>
          <w:rFonts w:ascii="Book Antiqua" w:eastAsia="Times New Roman" w:hAnsi="Book Antiqua"/>
          <w:szCs w:val="20"/>
        </w:rPr>
        <w:t xml:space="preserve"> </w:t>
      </w: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color w:val="0EC012"/>
          <w:lang w:eastAsia="en-AU"/>
        </w:rPr>
      </w:pPr>
      <w:r w:rsidRPr="0029462D">
        <w:rPr>
          <w:rFonts w:eastAsia="Times New Roman" w:cs="Arial"/>
          <w:lang w:eastAsia="en-AU"/>
        </w:rPr>
        <w:t>The expected comprehensive result for the 20</w:t>
      </w:r>
      <w:r w:rsidR="00B278AD">
        <w:rPr>
          <w:rFonts w:eastAsia="Times New Roman" w:cs="Arial"/>
          <w:lang w:eastAsia="en-AU"/>
        </w:rPr>
        <w:t>20</w:t>
      </w:r>
      <w:r w:rsidRPr="0029462D">
        <w:rPr>
          <w:rFonts w:eastAsia="Times New Roman" w:cs="Arial"/>
          <w:lang w:eastAsia="en-AU"/>
        </w:rPr>
        <w:t>/</w:t>
      </w:r>
      <w:r w:rsidR="00992673">
        <w:rPr>
          <w:rFonts w:eastAsia="Times New Roman" w:cs="Arial"/>
          <w:lang w:eastAsia="en-AU"/>
        </w:rPr>
        <w:t>2</w:t>
      </w:r>
      <w:r w:rsidR="00B278AD">
        <w:rPr>
          <w:rFonts w:eastAsia="Times New Roman" w:cs="Arial"/>
          <w:lang w:eastAsia="en-AU"/>
        </w:rPr>
        <w:t>1</w:t>
      </w:r>
      <w:r w:rsidRPr="0029462D">
        <w:rPr>
          <w:rFonts w:eastAsia="Times New Roman" w:cs="Arial"/>
          <w:lang w:eastAsia="en-AU"/>
        </w:rPr>
        <w:t xml:space="preserve"> year is a surplus </w:t>
      </w:r>
      <w:r w:rsidRPr="00FF33C7">
        <w:rPr>
          <w:rFonts w:eastAsia="Times New Roman" w:cs="Arial"/>
          <w:lang w:eastAsia="en-AU"/>
        </w:rPr>
        <w:t>of $</w:t>
      </w:r>
      <w:r w:rsidR="00621075" w:rsidRPr="00FF33C7">
        <w:rPr>
          <w:rFonts w:eastAsia="Times New Roman" w:cs="Arial"/>
          <w:lang w:eastAsia="en-AU"/>
        </w:rPr>
        <w:t>4</w:t>
      </w:r>
      <w:r w:rsidR="00FF33C7" w:rsidRPr="00FF33C7">
        <w:rPr>
          <w:rFonts w:eastAsia="Times New Roman" w:cs="Arial"/>
          <w:lang w:eastAsia="en-AU"/>
        </w:rPr>
        <w:t>0</w:t>
      </w:r>
      <w:r w:rsidR="00621075" w:rsidRPr="00FF33C7">
        <w:rPr>
          <w:rFonts w:eastAsia="Times New Roman" w:cs="Arial"/>
          <w:lang w:eastAsia="en-AU"/>
        </w:rPr>
        <w:t>.1</w:t>
      </w:r>
      <w:r w:rsidR="00FF33C7" w:rsidRPr="00FF33C7">
        <w:rPr>
          <w:rFonts w:eastAsia="Times New Roman" w:cs="Arial"/>
          <w:lang w:eastAsia="en-AU"/>
        </w:rPr>
        <w:t>5</w:t>
      </w:r>
      <w:r w:rsidRPr="00FF33C7">
        <w:rPr>
          <w:rFonts w:eastAsia="Times New Roman" w:cs="Arial"/>
          <w:lang w:eastAsia="en-AU"/>
        </w:rPr>
        <w:t xml:space="preserve"> </w:t>
      </w:r>
      <w:r w:rsidRPr="00F413CC">
        <w:rPr>
          <w:rFonts w:eastAsia="Times New Roman" w:cs="Arial"/>
          <w:lang w:eastAsia="en-AU"/>
        </w:rPr>
        <w:t>million</w:t>
      </w:r>
      <w:r w:rsidRPr="00830D49">
        <w:rPr>
          <w:rFonts w:eastAsia="Times New Roman" w:cs="Arial"/>
          <w:lang w:eastAsia="en-AU"/>
        </w:rPr>
        <w:t xml:space="preserve">, which is </w:t>
      </w:r>
      <w:proofErr w:type="spellStart"/>
      <w:proofErr w:type="gramStart"/>
      <w:r w:rsidR="00AA2570" w:rsidRPr="00830D49">
        <w:rPr>
          <w:rFonts w:eastAsia="Times New Roman" w:cs="Arial"/>
          <w:lang w:eastAsia="en-AU"/>
        </w:rPr>
        <w:t>a</w:t>
      </w:r>
      <w:proofErr w:type="spellEnd"/>
      <w:proofErr w:type="gramEnd"/>
      <w:r w:rsidRPr="00830D49">
        <w:rPr>
          <w:rFonts w:eastAsia="Times New Roman" w:cs="Arial"/>
          <w:lang w:eastAsia="en-AU"/>
        </w:rPr>
        <w:t xml:space="preserve"> </w:t>
      </w:r>
      <w:r w:rsidR="00830D49" w:rsidRPr="00830D49">
        <w:rPr>
          <w:rFonts w:eastAsia="Times New Roman" w:cs="Arial"/>
          <w:lang w:eastAsia="en-AU"/>
        </w:rPr>
        <w:t>in</w:t>
      </w:r>
      <w:r w:rsidRPr="00830D49">
        <w:rPr>
          <w:rFonts w:eastAsia="Times New Roman" w:cs="Arial"/>
          <w:lang w:eastAsia="en-AU"/>
        </w:rPr>
        <w:t xml:space="preserve">crease </w:t>
      </w:r>
      <w:r w:rsidRPr="00FF33C7">
        <w:rPr>
          <w:rFonts w:eastAsia="Times New Roman" w:cs="Arial"/>
          <w:lang w:eastAsia="en-AU"/>
        </w:rPr>
        <w:t>of $</w:t>
      </w:r>
      <w:r w:rsidR="00621075" w:rsidRPr="00FF33C7">
        <w:rPr>
          <w:rFonts w:eastAsia="Times New Roman" w:cs="Arial"/>
          <w:lang w:eastAsia="en-AU"/>
        </w:rPr>
        <w:t>3</w:t>
      </w:r>
      <w:r w:rsidR="00FF33C7" w:rsidRPr="00FF33C7">
        <w:rPr>
          <w:rFonts w:eastAsia="Times New Roman" w:cs="Arial"/>
          <w:lang w:eastAsia="en-AU"/>
        </w:rPr>
        <w:t>0</w:t>
      </w:r>
      <w:r w:rsidR="00621075" w:rsidRPr="00FF33C7">
        <w:rPr>
          <w:rFonts w:eastAsia="Times New Roman" w:cs="Arial"/>
          <w:lang w:eastAsia="en-AU"/>
        </w:rPr>
        <w:t>.</w:t>
      </w:r>
      <w:r w:rsidR="00FF33C7" w:rsidRPr="00FF33C7">
        <w:rPr>
          <w:rFonts w:eastAsia="Times New Roman" w:cs="Arial"/>
          <w:lang w:eastAsia="en-AU"/>
        </w:rPr>
        <w:t>68</w:t>
      </w:r>
      <w:r w:rsidRPr="00FF33C7">
        <w:rPr>
          <w:rFonts w:eastAsia="Times New Roman" w:cs="Arial"/>
          <w:lang w:eastAsia="en-AU"/>
        </w:rPr>
        <w:t xml:space="preserve"> </w:t>
      </w:r>
      <w:r w:rsidRPr="00830D49">
        <w:rPr>
          <w:rFonts w:eastAsia="Times New Roman" w:cs="Arial"/>
          <w:lang w:eastAsia="en-AU"/>
        </w:rPr>
        <w:t>million over 201</w:t>
      </w:r>
      <w:r w:rsidR="00B278AD" w:rsidRPr="00830D49">
        <w:rPr>
          <w:rFonts w:eastAsia="Times New Roman" w:cs="Arial"/>
          <w:lang w:eastAsia="en-AU"/>
        </w:rPr>
        <w:t>9</w:t>
      </w:r>
      <w:r w:rsidRPr="00830D49">
        <w:rPr>
          <w:rFonts w:eastAsia="Times New Roman" w:cs="Arial"/>
          <w:lang w:eastAsia="en-AU"/>
        </w:rPr>
        <w:t>/</w:t>
      </w:r>
      <w:r w:rsidR="00B278AD" w:rsidRPr="00830D49">
        <w:rPr>
          <w:rFonts w:eastAsia="Times New Roman" w:cs="Arial"/>
          <w:lang w:eastAsia="en-AU"/>
        </w:rPr>
        <w:t>20</w:t>
      </w:r>
      <w:r w:rsidRPr="00830D49">
        <w:rPr>
          <w:rFonts w:eastAsia="Times New Roman" w:cs="Arial"/>
          <w:lang w:eastAsia="en-AU"/>
        </w:rPr>
        <w:t xml:space="preserve"> </w:t>
      </w:r>
      <w:r w:rsidR="00507C68" w:rsidRPr="00830D49">
        <w:rPr>
          <w:rFonts w:eastAsia="Times New Roman" w:cs="Arial"/>
          <w:lang w:eastAsia="en-AU"/>
        </w:rPr>
        <w:t>Forecast</w:t>
      </w:r>
      <w:r w:rsidRPr="00830D49">
        <w:rPr>
          <w:rFonts w:eastAsia="Times New Roman" w:cs="Arial"/>
          <w:lang w:eastAsia="en-AU"/>
        </w:rPr>
        <w:t xml:space="preserve"> Budget. It is anticipated that a surplus result will be achieved throughout the strategy period. (The forecast comprehensive result for the 201</w:t>
      </w:r>
      <w:r w:rsidR="00B278AD" w:rsidRPr="00830D49">
        <w:rPr>
          <w:rFonts w:eastAsia="Times New Roman" w:cs="Arial"/>
          <w:lang w:eastAsia="en-AU"/>
        </w:rPr>
        <w:t>9</w:t>
      </w:r>
      <w:r w:rsidRPr="00830D49">
        <w:rPr>
          <w:rFonts w:eastAsia="Times New Roman" w:cs="Arial"/>
          <w:lang w:eastAsia="en-AU"/>
        </w:rPr>
        <w:t>/</w:t>
      </w:r>
      <w:r w:rsidR="00B278AD" w:rsidRPr="00830D49">
        <w:rPr>
          <w:rFonts w:eastAsia="Times New Roman" w:cs="Arial"/>
          <w:lang w:eastAsia="en-AU"/>
        </w:rPr>
        <w:t>20</w:t>
      </w:r>
      <w:r w:rsidRPr="00830D49">
        <w:rPr>
          <w:rFonts w:eastAsia="Times New Roman" w:cs="Arial"/>
          <w:lang w:eastAsia="en-AU"/>
        </w:rPr>
        <w:t xml:space="preserve"> year is a surplus </w:t>
      </w:r>
      <w:r w:rsidRPr="007E1812">
        <w:rPr>
          <w:rFonts w:eastAsia="Times New Roman" w:cs="Arial"/>
          <w:lang w:eastAsia="en-AU"/>
        </w:rPr>
        <w:t>of $</w:t>
      </w:r>
      <w:r w:rsidR="00FF33C7" w:rsidRPr="007E1812">
        <w:rPr>
          <w:rFonts w:eastAsia="Times New Roman" w:cs="Arial"/>
          <w:lang w:eastAsia="en-AU"/>
        </w:rPr>
        <w:t>9</w:t>
      </w:r>
      <w:r w:rsidR="00621075" w:rsidRPr="007E1812">
        <w:rPr>
          <w:rFonts w:eastAsia="Times New Roman" w:cs="Arial"/>
          <w:lang w:eastAsia="en-AU"/>
        </w:rPr>
        <w:t>.</w:t>
      </w:r>
      <w:r w:rsidR="00FF33C7" w:rsidRPr="007E1812">
        <w:rPr>
          <w:rFonts w:eastAsia="Times New Roman" w:cs="Arial"/>
          <w:lang w:eastAsia="en-AU"/>
        </w:rPr>
        <w:t>47</w:t>
      </w:r>
      <w:r w:rsidRPr="007E1812">
        <w:rPr>
          <w:rFonts w:eastAsia="Times New Roman" w:cs="Arial"/>
          <w:lang w:eastAsia="en-AU"/>
        </w:rPr>
        <w:t xml:space="preserve"> </w:t>
      </w:r>
      <w:r w:rsidRPr="00830D49">
        <w:rPr>
          <w:rFonts w:eastAsia="Times New Roman" w:cs="Arial"/>
          <w:lang w:eastAsia="en-AU"/>
        </w:rPr>
        <w:t>million which is better than the adopted budget provision</w:t>
      </w:r>
      <w:r w:rsidR="00211AFA" w:rsidRPr="00830D49">
        <w:rPr>
          <w:rFonts w:eastAsia="Times New Roman" w:cs="Arial"/>
          <w:lang w:eastAsia="en-AU"/>
        </w:rPr>
        <w:t xml:space="preserve"> by</w:t>
      </w:r>
      <w:r w:rsidRPr="00830D49">
        <w:rPr>
          <w:rFonts w:eastAsia="Times New Roman" w:cs="Arial"/>
          <w:lang w:eastAsia="en-AU"/>
        </w:rPr>
        <w:t xml:space="preserve"> $</w:t>
      </w:r>
      <w:r w:rsidR="007E1812">
        <w:rPr>
          <w:rFonts w:eastAsia="Times New Roman" w:cs="Arial"/>
          <w:lang w:eastAsia="en-AU"/>
        </w:rPr>
        <w:t>4.86</w:t>
      </w:r>
      <w:r w:rsidRPr="00830D49">
        <w:rPr>
          <w:rFonts w:eastAsia="Times New Roman" w:cs="Arial"/>
          <w:lang w:eastAsia="en-AU"/>
        </w:rPr>
        <w:t xml:space="preserve"> million due to the inclusion of carried forward grants, unbudgeted </w:t>
      </w:r>
      <w:r w:rsidR="00F5050A" w:rsidRPr="00830D49">
        <w:rPr>
          <w:rFonts w:eastAsia="Times New Roman" w:cs="Arial"/>
          <w:lang w:eastAsia="en-AU"/>
        </w:rPr>
        <w:t xml:space="preserve">new </w:t>
      </w:r>
      <w:r w:rsidR="00AA2570" w:rsidRPr="00830D49">
        <w:rPr>
          <w:rFonts w:eastAsia="Times New Roman" w:cs="Arial"/>
          <w:lang w:eastAsia="en-AU"/>
        </w:rPr>
        <w:t>grants, and</w:t>
      </w:r>
      <w:r w:rsidRPr="00830D49">
        <w:rPr>
          <w:rFonts w:eastAsia="Times New Roman" w:cs="Arial"/>
          <w:lang w:eastAsia="en-AU"/>
        </w:rPr>
        <w:t xml:space="preserve"> </w:t>
      </w:r>
      <w:r w:rsidRPr="00B726AD">
        <w:rPr>
          <w:rFonts w:eastAsia="Times New Roman" w:cs="Arial"/>
          <w:lang w:eastAsia="en-AU"/>
        </w:rPr>
        <w:t>savings achieved</w:t>
      </w:r>
      <w:r w:rsidRPr="00830D49">
        <w:rPr>
          <w:rFonts w:eastAsia="Times New Roman" w:cs="Arial"/>
          <w:lang w:eastAsia="en-AU"/>
        </w:rPr>
        <w:t>).</w:t>
      </w:r>
      <w:r w:rsidR="00A84DDF">
        <w:rPr>
          <w:rFonts w:eastAsia="Times New Roman" w:cs="Arial"/>
          <w:lang w:eastAsia="en-AU"/>
        </w:rPr>
        <w:t xml:space="preserve"> However, the comprehensive result is not the only measure that identifies Council’s position in being able to continue being financially sustainable and delivering services, given that it comprises of income of a capital nature and grants. Hence, Council continues to measure the underlying result as well as the comprehensive result, when considering </w:t>
      </w:r>
      <w:proofErr w:type="gramStart"/>
      <w:r w:rsidR="00A84DDF">
        <w:rPr>
          <w:rFonts w:eastAsia="Times New Roman" w:cs="Arial"/>
          <w:lang w:eastAsia="en-AU"/>
        </w:rPr>
        <w:t>particular decisions</w:t>
      </w:r>
      <w:proofErr w:type="gramEnd"/>
      <w:r w:rsidR="00A84DDF">
        <w:rPr>
          <w:rFonts w:eastAsia="Times New Roman" w:cs="Arial"/>
          <w:lang w:eastAsia="en-AU"/>
        </w:rPr>
        <w:t>.</w:t>
      </w:r>
      <w:r w:rsidR="00F915DE">
        <w:rPr>
          <w:rFonts w:eastAsia="Times New Roman" w:cs="Arial"/>
          <w:lang w:eastAsia="en-AU"/>
        </w:rPr>
        <w:t xml:space="preserve"> </w:t>
      </w:r>
    </w:p>
    <w:p w:rsidR="00DD72CE" w:rsidRPr="0029462D" w:rsidRDefault="00DD72CE" w:rsidP="00DD72CE">
      <w:pPr>
        <w:jc w:val="both"/>
        <w:rPr>
          <w:rFonts w:eastAsia="Times New Roman" w:cs="Arial"/>
          <w:color w:val="0EC012"/>
          <w:sz w:val="20"/>
          <w:szCs w:val="20"/>
          <w:lang w:eastAsia="en-AU"/>
        </w:rPr>
      </w:pPr>
    </w:p>
    <w:p w:rsidR="00DD72CE" w:rsidRPr="0029462D" w:rsidRDefault="001F6AFE" w:rsidP="001F6AFE">
      <w:pPr>
        <w:tabs>
          <w:tab w:val="left" w:pos="426"/>
        </w:tabs>
        <w:spacing w:after="200" w:line="276" w:lineRule="auto"/>
        <w:contextualSpacing/>
        <w:jc w:val="both"/>
        <w:rPr>
          <w:rFonts w:eastAsia="Times New Roman" w:cs="Arial"/>
          <w:szCs w:val="20"/>
        </w:rPr>
      </w:pPr>
      <w:r w:rsidRPr="007E3A0B">
        <w:rPr>
          <w:rFonts w:cs="Arial"/>
          <w:b/>
          <w:color w:val="4A66AC" w:themeColor="accent1"/>
          <w:lang w:eastAsia="en-AU"/>
        </w:rPr>
        <w:t>3.3</w:t>
      </w:r>
      <w:r w:rsidRPr="007E3A0B">
        <w:rPr>
          <w:rFonts w:cs="Arial"/>
          <w:color w:val="4A66AC" w:themeColor="accent1"/>
          <w:lang w:eastAsia="en-AU"/>
        </w:rPr>
        <w:t xml:space="preserve"> </w:t>
      </w:r>
      <w:r w:rsidRPr="007E3A0B">
        <w:rPr>
          <w:rFonts w:cs="Arial"/>
          <w:b/>
          <w:bCs/>
          <w:color w:val="4A66AC" w:themeColor="accent1"/>
          <w:lang w:eastAsia="en-AU"/>
        </w:rPr>
        <w:t>Cash and investments</w:t>
      </w:r>
    </w:p>
    <w:p w:rsidR="00DD72CE" w:rsidRPr="0029462D" w:rsidRDefault="00DD72CE" w:rsidP="00DD72CE">
      <w:pPr>
        <w:jc w:val="both"/>
        <w:rPr>
          <w:rFonts w:eastAsia="Times New Roman" w:cs="Arial"/>
          <w:szCs w:val="20"/>
        </w:rPr>
      </w:pPr>
    </w:p>
    <w:p w:rsidR="00DD72CE" w:rsidRPr="0029462D" w:rsidRDefault="00BB5621" w:rsidP="00DD72CE">
      <w:pPr>
        <w:jc w:val="both"/>
        <w:rPr>
          <w:rFonts w:eastAsia="Times New Roman" w:cs="Arial"/>
          <w:szCs w:val="20"/>
        </w:rPr>
      </w:pPr>
      <w:r>
        <w:rPr>
          <w:noProof/>
        </w:rPr>
        <w:drawing>
          <wp:inline distT="0" distB="0" distL="0" distR="0" wp14:anchorId="012776AB" wp14:editId="1A9B4E5D">
            <wp:extent cx="6299200" cy="2022475"/>
            <wp:effectExtent l="0" t="0" r="6350" b="0"/>
            <wp:docPr id="8" name="Chart 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D72CE"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Default="00DD72CE" w:rsidP="00DD72CE">
      <w:pPr>
        <w:jc w:val="both"/>
        <w:rPr>
          <w:rFonts w:eastAsia="Times New Roman" w:cs="Arial"/>
          <w:lang w:eastAsia="en-AU"/>
        </w:rPr>
      </w:pPr>
      <w:r w:rsidRPr="0029462D">
        <w:rPr>
          <w:rFonts w:eastAsia="Times New Roman" w:cs="Arial"/>
          <w:lang w:eastAsia="en-AU"/>
        </w:rPr>
        <w:t xml:space="preserve">Cash and investments are expected </w:t>
      </w:r>
      <w:r w:rsidRPr="00513B8B">
        <w:rPr>
          <w:rFonts w:eastAsia="Times New Roman" w:cs="Arial"/>
          <w:lang w:eastAsia="en-AU"/>
        </w:rPr>
        <w:t xml:space="preserve">to </w:t>
      </w:r>
      <w:r w:rsidR="00BB5621">
        <w:rPr>
          <w:rFonts w:eastAsia="Times New Roman" w:cs="Arial"/>
          <w:lang w:eastAsia="en-AU"/>
        </w:rPr>
        <w:t>de</w:t>
      </w:r>
      <w:r w:rsidRPr="00513B8B">
        <w:rPr>
          <w:rFonts w:eastAsia="Times New Roman" w:cs="Arial"/>
          <w:lang w:eastAsia="en-AU"/>
        </w:rPr>
        <w:t xml:space="preserve">crease by </w:t>
      </w:r>
      <w:r w:rsidRPr="00BB5621">
        <w:rPr>
          <w:rFonts w:eastAsia="Times New Roman" w:cs="Arial"/>
          <w:lang w:eastAsia="en-AU"/>
        </w:rPr>
        <w:t>$</w:t>
      </w:r>
      <w:r w:rsidR="00BB5621" w:rsidRPr="00BB5621">
        <w:rPr>
          <w:rFonts w:eastAsia="Times New Roman" w:cs="Arial"/>
          <w:lang w:eastAsia="en-AU"/>
        </w:rPr>
        <w:t>8.54</w:t>
      </w:r>
      <w:r w:rsidRPr="00BB5621">
        <w:rPr>
          <w:rFonts w:eastAsia="Times New Roman" w:cs="Arial"/>
          <w:lang w:eastAsia="en-AU"/>
        </w:rPr>
        <w:t xml:space="preserve"> million during the year to $</w:t>
      </w:r>
      <w:r w:rsidR="00BB5621" w:rsidRPr="00BB5621">
        <w:rPr>
          <w:rFonts w:eastAsia="Times New Roman" w:cs="Arial"/>
          <w:lang w:eastAsia="en-AU"/>
        </w:rPr>
        <w:t>3</w:t>
      </w:r>
      <w:r w:rsidR="00405E34" w:rsidRPr="00BB5621">
        <w:rPr>
          <w:rFonts w:eastAsia="Times New Roman" w:cs="Arial"/>
          <w:lang w:eastAsia="en-AU"/>
        </w:rPr>
        <w:t>3.</w:t>
      </w:r>
      <w:r w:rsidR="00BB5621" w:rsidRPr="00BB5621">
        <w:rPr>
          <w:rFonts w:eastAsia="Times New Roman" w:cs="Arial"/>
          <w:lang w:eastAsia="en-AU"/>
        </w:rPr>
        <w:t>1</w:t>
      </w:r>
      <w:r w:rsidRPr="00BB5621">
        <w:rPr>
          <w:rFonts w:eastAsia="Times New Roman" w:cs="Arial"/>
          <w:lang w:eastAsia="en-AU"/>
        </w:rPr>
        <w:t xml:space="preserve"> </w:t>
      </w:r>
      <w:r w:rsidRPr="00513B8B">
        <w:rPr>
          <w:rFonts w:eastAsia="Times New Roman" w:cs="Arial"/>
          <w:lang w:eastAsia="en-AU"/>
        </w:rPr>
        <w:t xml:space="preserve">million </w:t>
      </w:r>
      <w:r w:rsidRPr="00145E22">
        <w:rPr>
          <w:rFonts w:eastAsia="Times New Roman" w:cs="Arial"/>
          <w:lang w:eastAsia="en-AU"/>
        </w:rPr>
        <w:t xml:space="preserve">(Cash and cash equivalents </w:t>
      </w:r>
      <w:r w:rsidRPr="00BB5621">
        <w:rPr>
          <w:rFonts w:eastAsia="Times New Roman" w:cs="Arial"/>
          <w:lang w:eastAsia="en-AU"/>
        </w:rPr>
        <w:t>$</w:t>
      </w:r>
      <w:r w:rsidR="00BB5621" w:rsidRPr="00BB5621">
        <w:rPr>
          <w:rFonts w:eastAsia="Times New Roman" w:cs="Arial"/>
          <w:lang w:eastAsia="en-AU"/>
        </w:rPr>
        <w:t>9.67</w:t>
      </w:r>
      <w:r w:rsidRPr="00BB5621">
        <w:rPr>
          <w:rFonts w:eastAsia="Times New Roman" w:cs="Arial"/>
          <w:lang w:eastAsia="en-AU"/>
        </w:rPr>
        <w:t xml:space="preserve"> million and Financial Assets $</w:t>
      </w:r>
      <w:r w:rsidR="00405E34" w:rsidRPr="00BB5621">
        <w:rPr>
          <w:rFonts w:eastAsia="Times New Roman" w:cs="Arial"/>
          <w:lang w:eastAsia="en-AU"/>
        </w:rPr>
        <w:t>2</w:t>
      </w:r>
      <w:r w:rsidR="00BB5621" w:rsidRPr="00BB5621">
        <w:rPr>
          <w:rFonts w:eastAsia="Times New Roman" w:cs="Arial"/>
          <w:lang w:eastAsia="en-AU"/>
        </w:rPr>
        <w:t>3</w:t>
      </w:r>
      <w:r w:rsidR="00405E34" w:rsidRPr="00BB5621">
        <w:rPr>
          <w:rFonts w:eastAsia="Times New Roman" w:cs="Arial"/>
          <w:lang w:eastAsia="en-AU"/>
        </w:rPr>
        <w:t>.</w:t>
      </w:r>
      <w:r w:rsidR="00BB5621" w:rsidRPr="00BB5621">
        <w:rPr>
          <w:rFonts w:eastAsia="Times New Roman" w:cs="Arial"/>
          <w:lang w:eastAsia="en-AU"/>
        </w:rPr>
        <w:t>5</w:t>
      </w:r>
      <w:r w:rsidRPr="00BB5621">
        <w:rPr>
          <w:rFonts w:eastAsia="Times New Roman" w:cs="Arial"/>
          <w:lang w:eastAsia="en-AU"/>
        </w:rPr>
        <w:t xml:space="preserve"> </w:t>
      </w:r>
      <w:r w:rsidRPr="006D05C5">
        <w:rPr>
          <w:rFonts w:eastAsia="Times New Roman" w:cs="Arial"/>
          <w:lang w:eastAsia="en-AU"/>
        </w:rPr>
        <w:t>million) as a</w:t>
      </w:r>
      <w:r w:rsidRPr="00145E22">
        <w:rPr>
          <w:rFonts w:eastAsia="Times New Roman" w:cs="Arial"/>
          <w:lang w:eastAsia="en-AU"/>
        </w:rPr>
        <w:t>t 30 June 20</w:t>
      </w:r>
      <w:r w:rsidR="002E4B33" w:rsidRPr="00145E22">
        <w:rPr>
          <w:rFonts w:eastAsia="Times New Roman" w:cs="Arial"/>
          <w:lang w:eastAsia="en-AU"/>
        </w:rPr>
        <w:t>2</w:t>
      </w:r>
      <w:r w:rsidR="009C5694">
        <w:rPr>
          <w:rFonts w:eastAsia="Times New Roman" w:cs="Arial"/>
          <w:lang w:eastAsia="en-AU"/>
        </w:rPr>
        <w:t>1</w:t>
      </w:r>
      <w:r w:rsidRPr="00145E22">
        <w:rPr>
          <w:rFonts w:eastAsia="Times New Roman" w:cs="Arial"/>
          <w:lang w:eastAsia="en-AU"/>
        </w:rPr>
        <w:t xml:space="preserve">. The </w:t>
      </w:r>
      <w:r w:rsidR="00BB5621">
        <w:rPr>
          <w:rFonts w:eastAsia="Times New Roman" w:cs="Arial"/>
          <w:lang w:eastAsia="en-AU"/>
        </w:rPr>
        <w:t>de</w:t>
      </w:r>
      <w:r w:rsidRPr="00513B8B">
        <w:rPr>
          <w:rFonts w:eastAsia="Times New Roman" w:cs="Arial"/>
          <w:lang w:eastAsia="en-AU"/>
        </w:rPr>
        <w:t xml:space="preserve">crease </w:t>
      </w:r>
      <w:r w:rsidRPr="002E4B33">
        <w:rPr>
          <w:rFonts w:eastAsia="Times New Roman" w:cs="Arial"/>
          <w:lang w:eastAsia="en-AU"/>
        </w:rPr>
        <w:t xml:space="preserve">in cash and investments is in line with Council's </w:t>
      </w:r>
      <w:proofErr w:type="gramStart"/>
      <w:r w:rsidRPr="002E4B33">
        <w:rPr>
          <w:rFonts w:eastAsia="Times New Roman" w:cs="Arial"/>
          <w:lang w:eastAsia="en-AU"/>
        </w:rPr>
        <w:t>Long Term</w:t>
      </w:r>
      <w:proofErr w:type="gramEnd"/>
      <w:r w:rsidRPr="002E4B33">
        <w:rPr>
          <w:rFonts w:eastAsia="Times New Roman" w:cs="Arial"/>
          <w:lang w:eastAsia="en-AU"/>
        </w:rPr>
        <w:t xml:space="preserve"> Financial Strategy. Cash and investments are forecast to be </w:t>
      </w:r>
      <w:r w:rsidRPr="00BB5621">
        <w:rPr>
          <w:rFonts w:eastAsia="Times New Roman" w:cs="Arial"/>
          <w:lang w:eastAsia="en-AU"/>
        </w:rPr>
        <w:t>$</w:t>
      </w:r>
      <w:r w:rsidR="002E4B33" w:rsidRPr="00BB5621">
        <w:rPr>
          <w:rFonts w:eastAsia="Times New Roman" w:cs="Arial"/>
          <w:lang w:eastAsia="en-AU"/>
        </w:rPr>
        <w:t>4</w:t>
      </w:r>
      <w:r w:rsidR="00BB5621" w:rsidRPr="00BB5621">
        <w:rPr>
          <w:rFonts w:eastAsia="Times New Roman" w:cs="Arial"/>
          <w:lang w:eastAsia="en-AU"/>
        </w:rPr>
        <w:t>1</w:t>
      </w:r>
      <w:r w:rsidR="002E4B33" w:rsidRPr="00BB5621">
        <w:rPr>
          <w:rFonts w:eastAsia="Times New Roman" w:cs="Arial"/>
          <w:lang w:eastAsia="en-AU"/>
        </w:rPr>
        <w:t>.</w:t>
      </w:r>
      <w:r w:rsidR="002F31F2" w:rsidRPr="00BB5621">
        <w:rPr>
          <w:rFonts w:eastAsia="Times New Roman" w:cs="Arial"/>
          <w:lang w:eastAsia="en-AU"/>
        </w:rPr>
        <w:t>6</w:t>
      </w:r>
      <w:r w:rsidR="00BB5621" w:rsidRPr="00BB5621">
        <w:rPr>
          <w:rFonts w:eastAsia="Times New Roman" w:cs="Arial"/>
          <w:lang w:eastAsia="en-AU"/>
        </w:rPr>
        <w:t>4</w:t>
      </w:r>
      <w:r w:rsidRPr="00BB5621">
        <w:rPr>
          <w:rFonts w:eastAsia="Times New Roman" w:cs="Arial"/>
          <w:lang w:eastAsia="en-AU"/>
        </w:rPr>
        <w:t xml:space="preserve"> </w:t>
      </w:r>
      <w:r w:rsidRPr="00513B8B">
        <w:rPr>
          <w:rFonts w:eastAsia="Times New Roman" w:cs="Arial"/>
          <w:lang w:eastAsia="en-AU"/>
        </w:rPr>
        <w:t xml:space="preserve">million as </w:t>
      </w:r>
      <w:r w:rsidRPr="002E4B33">
        <w:rPr>
          <w:rFonts w:eastAsia="Times New Roman" w:cs="Arial"/>
          <w:lang w:eastAsia="en-AU"/>
        </w:rPr>
        <w:t>at 30 June 20</w:t>
      </w:r>
      <w:r w:rsidR="009C5694">
        <w:rPr>
          <w:rFonts w:eastAsia="Times New Roman" w:cs="Arial"/>
          <w:lang w:eastAsia="en-AU"/>
        </w:rPr>
        <w:t>20</w:t>
      </w:r>
      <w:r w:rsidRPr="002E4B33">
        <w:rPr>
          <w:rFonts w:eastAsia="Times New Roman" w:cs="Arial"/>
          <w:lang w:eastAsia="en-AU"/>
        </w:rPr>
        <w:t xml:space="preserve">. Notional provision has been made for potential Defined Benefits Superannuation call should international equity markets fall, as well as provision of a cash backed reserve for new major capital projects </w:t>
      </w:r>
      <w:proofErr w:type="gramStart"/>
      <w:r w:rsidRPr="002E4B33">
        <w:rPr>
          <w:rFonts w:eastAsia="Times New Roman" w:cs="Arial"/>
          <w:lang w:eastAsia="en-AU"/>
        </w:rPr>
        <w:t>as yet</w:t>
      </w:r>
      <w:proofErr w:type="gramEnd"/>
      <w:r w:rsidRPr="002E4B33">
        <w:rPr>
          <w:rFonts w:eastAsia="Times New Roman" w:cs="Arial"/>
          <w:lang w:eastAsia="en-AU"/>
        </w:rPr>
        <w:t xml:space="preserve"> undefined.</w:t>
      </w:r>
      <w:r w:rsidR="00A84DDF">
        <w:rPr>
          <w:rFonts w:eastAsia="Times New Roman" w:cs="Arial"/>
          <w:lang w:eastAsia="en-AU"/>
        </w:rPr>
        <w:t xml:space="preserve"> Especially with the impacts of COVID19, this is more of consideration to be made. Council cash generally, </w:t>
      </w:r>
      <w:proofErr w:type="gramStart"/>
      <w:r w:rsidR="00A84DDF">
        <w:rPr>
          <w:rFonts w:eastAsia="Times New Roman" w:cs="Arial"/>
          <w:lang w:eastAsia="en-AU"/>
        </w:rPr>
        <w:t>as a result of</w:t>
      </w:r>
      <w:proofErr w:type="gramEnd"/>
      <w:r w:rsidR="00A84DDF">
        <w:rPr>
          <w:rFonts w:eastAsia="Times New Roman" w:cs="Arial"/>
          <w:lang w:eastAsia="en-AU"/>
        </w:rPr>
        <w:t xml:space="preserve"> COVID19 has been impacted by over $10</w:t>
      </w:r>
      <w:r w:rsidR="00EE151F">
        <w:rPr>
          <w:rFonts w:eastAsia="Times New Roman" w:cs="Arial"/>
          <w:lang w:eastAsia="en-AU"/>
        </w:rPr>
        <w:t xml:space="preserve"> million over the 2019/20 and the budgeted year 2020/21.</w:t>
      </w:r>
    </w:p>
    <w:p w:rsidR="00EE151F" w:rsidRDefault="00EE151F" w:rsidP="00DD72CE">
      <w:pPr>
        <w:jc w:val="both"/>
        <w:rPr>
          <w:rFonts w:eastAsia="Times New Roman" w:cs="Arial"/>
          <w:lang w:eastAsia="en-AU"/>
        </w:rPr>
      </w:pPr>
    </w:p>
    <w:p w:rsidR="00A84DDF" w:rsidRDefault="00A84DDF" w:rsidP="00DD72CE">
      <w:pPr>
        <w:jc w:val="both"/>
        <w:rPr>
          <w:rFonts w:eastAsia="Times New Roman" w:cs="Arial"/>
          <w:lang w:eastAsia="en-AU"/>
        </w:rPr>
      </w:pPr>
    </w:p>
    <w:p w:rsidR="00A84DDF" w:rsidRDefault="00A84DDF" w:rsidP="00DD72CE">
      <w:pPr>
        <w:jc w:val="both"/>
        <w:rPr>
          <w:rFonts w:eastAsia="Times New Roman" w:cs="Arial"/>
          <w:lang w:eastAsia="en-AU"/>
        </w:rPr>
      </w:pPr>
    </w:p>
    <w:p w:rsidR="00A84DDF" w:rsidRDefault="00A84DDF" w:rsidP="00DD72CE">
      <w:pPr>
        <w:jc w:val="both"/>
        <w:rPr>
          <w:rFonts w:eastAsia="Times New Roman" w:cs="Arial"/>
          <w:lang w:eastAsia="en-AU"/>
        </w:rPr>
      </w:pPr>
    </w:p>
    <w:p w:rsidR="00A84DDF" w:rsidRDefault="00A84DDF" w:rsidP="00DD72CE">
      <w:pPr>
        <w:jc w:val="both"/>
        <w:rPr>
          <w:rFonts w:eastAsia="Times New Roman" w:cs="Arial"/>
          <w:lang w:eastAsia="en-AU"/>
        </w:rPr>
      </w:pPr>
    </w:p>
    <w:p w:rsidR="00EE151F" w:rsidRDefault="00EE151F" w:rsidP="00DD72CE">
      <w:pPr>
        <w:jc w:val="both"/>
        <w:rPr>
          <w:rFonts w:eastAsia="Times New Roman" w:cs="Arial"/>
          <w:lang w:eastAsia="en-AU"/>
        </w:rPr>
      </w:pPr>
    </w:p>
    <w:p w:rsidR="00A84DDF" w:rsidRDefault="00A84DDF" w:rsidP="00DD72CE">
      <w:pPr>
        <w:jc w:val="both"/>
        <w:rPr>
          <w:rFonts w:eastAsia="Times New Roman" w:cs="Arial"/>
          <w:lang w:eastAsia="en-AU"/>
        </w:rPr>
      </w:pPr>
    </w:p>
    <w:p w:rsidR="00A84DDF" w:rsidRDefault="00A84DDF" w:rsidP="00DD72CE">
      <w:pPr>
        <w:jc w:val="both"/>
        <w:rPr>
          <w:rFonts w:eastAsia="Times New Roman" w:cs="Arial"/>
          <w:lang w:eastAsia="en-AU"/>
        </w:rPr>
      </w:pPr>
    </w:p>
    <w:p w:rsidR="00A84DDF" w:rsidRPr="002E4B33" w:rsidRDefault="00A84DDF" w:rsidP="00DD72CE">
      <w:pPr>
        <w:jc w:val="both"/>
        <w:rPr>
          <w:rFonts w:eastAsia="Times New Roman" w:cs="Arial"/>
          <w:lang w:eastAsia="en-AU"/>
        </w:rPr>
      </w:pPr>
    </w:p>
    <w:p w:rsidR="00DD72CE" w:rsidRDefault="00DD72CE" w:rsidP="00DD72CE">
      <w:pPr>
        <w:rPr>
          <w:rFonts w:eastAsia="Times New Roman" w:cs="Arial"/>
          <w:b/>
          <w:bCs/>
          <w:color w:val="C00000"/>
          <w:lang w:eastAsia="en-AU"/>
        </w:rPr>
      </w:pPr>
    </w:p>
    <w:p w:rsidR="00BB398E" w:rsidRPr="0029462D" w:rsidRDefault="00BB398E" w:rsidP="00BB398E">
      <w:pPr>
        <w:tabs>
          <w:tab w:val="left" w:pos="426"/>
        </w:tabs>
        <w:spacing w:after="200" w:line="276" w:lineRule="auto"/>
        <w:contextualSpacing/>
        <w:jc w:val="both"/>
        <w:rPr>
          <w:rFonts w:eastAsia="Times New Roman" w:cs="Arial"/>
          <w:szCs w:val="20"/>
        </w:rPr>
      </w:pPr>
      <w:r w:rsidRPr="007E3A0B">
        <w:rPr>
          <w:rFonts w:cs="Arial"/>
          <w:b/>
          <w:color w:val="4A66AC" w:themeColor="accent1"/>
          <w:lang w:eastAsia="en-AU"/>
        </w:rPr>
        <w:t>3.</w:t>
      </w:r>
      <w:r w:rsidR="00961BF7" w:rsidRPr="007E3A0B">
        <w:rPr>
          <w:rFonts w:cs="Arial"/>
          <w:b/>
          <w:color w:val="4A66AC" w:themeColor="accent1"/>
          <w:lang w:eastAsia="en-AU"/>
        </w:rPr>
        <w:t>4</w:t>
      </w:r>
      <w:r w:rsidRPr="007E3A0B">
        <w:rPr>
          <w:rFonts w:cs="Arial"/>
          <w:color w:val="4A66AC" w:themeColor="accent1"/>
          <w:lang w:eastAsia="en-AU"/>
        </w:rPr>
        <w:t xml:space="preserve"> </w:t>
      </w:r>
      <w:r w:rsidRPr="007E3A0B">
        <w:rPr>
          <w:rFonts w:cs="Arial"/>
          <w:b/>
          <w:bCs/>
          <w:color w:val="4A66AC" w:themeColor="accent1"/>
          <w:lang w:eastAsia="en-AU"/>
        </w:rPr>
        <w:t>Capital expenditure</w:t>
      </w:r>
    </w:p>
    <w:p w:rsidR="00BB398E" w:rsidRPr="0029462D" w:rsidRDefault="00BB398E" w:rsidP="00DD72CE">
      <w:pPr>
        <w:rPr>
          <w:rFonts w:eastAsia="Times New Roman" w:cs="Arial"/>
          <w:b/>
          <w:bCs/>
          <w:color w:val="C00000"/>
          <w:lang w:eastAsia="en-AU"/>
        </w:rPr>
      </w:pPr>
    </w:p>
    <w:p w:rsidR="00DD72CE" w:rsidRPr="0029462D" w:rsidRDefault="00DD72CE" w:rsidP="00DD72CE">
      <w:pPr>
        <w:jc w:val="both"/>
        <w:rPr>
          <w:rFonts w:eastAsia="Times New Roman" w:cs="Arial"/>
          <w:color w:val="FF0000"/>
          <w:szCs w:val="20"/>
        </w:rPr>
      </w:pPr>
      <w:r w:rsidRPr="0029462D">
        <w:rPr>
          <w:rFonts w:ascii="Book Antiqua" w:eastAsia="Times New Roman" w:hAnsi="Book Antiqua"/>
          <w:color w:val="FF0000"/>
          <w:szCs w:val="20"/>
        </w:rPr>
        <w:t xml:space="preserve"> </w:t>
      </w:r>
      <w:r w:rsidR="00E20C55">
        <w:rPr>
          <w:noProof/>
        </w:rPr>
        <w:drawing>
          <wp:inline distT="0" distB="0" distL="0" distR="0" wp14:anchorId="06CB6DFC" wp14:editId="438D18CE">
            <wp:extent cx="6356350" cy="2635250"/>
            <wp:effectExtent l="0" t="0" r="6350" b="0"/>
            <wp:docPr id="11" name="Chart 1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Pr="0011586B" w:rsidRDefault="00DD72CE" w:rsidP="00DD72CE">
      <w:pPr>
        <w:jc w:val="both"/>
        <w:rPr>
          <w:rFonts w:eastAsia="Times New Roman" w:cs="Arial"/>
          <w:lang w:eastAsia="en-AU"/>
        </w:rPr>
      </w:pPr>
      <w:r w:rsidRPr="0011586B">
        <w:rPr>
          <w:rFonts w:eastAsia="Times New Roman" w:cs="Arial"/>
          <w:lang w:eastAsia="en-AU"/>
        </w:rPr>
        <w:t>The capital works program for the 20</w:t>
      </w:r>
      <w:r w:rsidR="0015781D">
        <w:rPr>
          <w:rFonts w:eastAsia="Times New Roman" w:cs="Arial"/>
          <w:lang w:eastAsia="en-AU"/>
        </w:rPr>
        <w:t>20</w:t>
      </w:r>
      <w:r w:rsidRPr="0011586B">
        <w:rPr>
          <w:rFonts w:eastAsia="Times New Roman" w:cs="Arial"/>
          <w:lang w:eastAsia="en-AU"/>
        </w:rPr>
        <w:t>/</w:t>
      </w:r>
      <w:r w:rsidR="006048B0" w:rsidRPr="0011586B">
        <w:rPr>
          <w:rFonts w:eastAsia="Times New Roman" w:cs="Arial"/>
          <w:lang w:eastAsia="en-AU"/>
        </w:rPr>
        <w:t>2</w:t>
      </w:r>
      <w:r w:rsidR="0015781D">
        <w:rPr>
          <w:rFonts w:eastAsia="Times New Roman" w:cs="Arial"/>
          <w:lang w:eastAsia="en-AU"/>
        </w:rPr>
        <w:t>1</w:t>
      </w:r>
      <w:r w:rsidRPr="0011586B">
        <w:rPr>
          <w:rFonts w:eastAsia="Times New Roman" w:cs="Arial"/>
          <w:lang w:eastAsia="en-AU"/>
        </w:rPr>
        <w:t xml:space="preserve"> year is expected to </w:t>
      </w:r>
      <w:r w:rsidRPr="00E20C55">
        <w:rPr>
          <w:rFonts w:eastAsia="Times New Roman" w:cs="Arial"/>
          <w:lang w:eastAsia="en-AU"/>
        </w:rPr>
        <w:t>be $</w:t>
      </w:r>
      <w:r w:rsidR="00E20C55" w:rsidRPr="00E20C55">
        <w:rPr>
          <w:rFonts w:eastAsia="Times New Roman" w:cs="Arial"/>
          <w:lang w:eastAsia="en-AU"/>
        </w:rPr>
        <w:t>85</w:t>
      </w:r>
      <w:r w:rsidR="009B07FD" w:rsidRPr="00E20C55">
        <w:rPr>
          <w:rFonts w:eastAsia="Times New Roman" w:cs="Arial"/>
          <w:lang w:eastAsia="en-AU"/>
        </w:rPr>
        <w:t>.</w:t>
      </w:r>
      <w:r w:rsidR="00E20C55" w:rsidRPr="00E20C55">
        <w:rPr>
          <w:rFonts w:eastAsia="Times New Roman" w:cs="Arial"/>
          <w:lang w:eastAsia="en-AU"/>
        </w:rPr>
        <w:t>47</w:t>
      </w:r>
      <w:r w:rsidRPr="00E20C55">
        <w:rPr>
          <w:rFonts w:eastAsia="Times New Roman" w:cs="Arial"/>
          <w:lang w:eastAsia="en-AU"/>
        </w:rPr>
        <w:t xml:space="preserve"> million </w:t>
      </w:r>
      <w:r w:rsidRPr="0011586B">
        <w:rPr>
          <w:rFonts w:eastAsia="Times New Roman" w:cs="Arial"/>
          <w:lang w:eastAsia="en-AU"/>
        </w:rPr>
        <w:t xml:space="preserve">of </w:t>
      </w:r>
      <w:r w:rsidRPr="000413AB">
        <w:rPr>
          <w:rFonts w:eastAsia="Times New Roman" w:cs="Arial"/>
          <w:lang w:eastAsia="en-AU"/>
        </w:rPr>
        <w:t>which $</w:t>
      </w:r>
      <w:r w:rsidR="000413AB" w:rsidRPr="000413AB">
        <w:rPr>
          <w:rFonts w:eastAsia="Times New Roman" w:cs="Arial"/>
          <w:lang w:eastAsia="en-AU"/>
        </w:rPr>
        <w:t>26.56</w:t>
      </w:r>
      <w:r w:rsidRPr="000413AB">
        <w:rPr>
          <w:rFonts w:eastAsia="Times New Roman" w:cs="Arial"/>
          <w:lang w:eastAsia="en-AU"/>
        </w:rPr>
        <w:t xml:space="preserve"> million will come from external grants</w:t>
      </w:r>
      <w:r w:rsidR="008B577D" w:rsidRPr="000413AB">
        <w:rPr>
          <w:rFonts w:eastAsia="Times New Roman" w:cs="Arial"/>
          <w:lang w:eastAsia="en-AU"/>
        </w:rPr>
        <w:t>, contributions of $0.</w:t>
      </w:r>
      <w:r w:rsidR="000413AB" w:rsidRPr="000413AB">
        <w:rPr>
          <w:rFonts w:eastAsia="Times New Roman" w:cs="Arial"/>
          <w:lang w:eastAsia="en-AU"/>
        </w:rPr>
        <w:t>2</w:t>
      </w:r>
      <w:r w:rsidR="008B577D" w:rsidRPr="000413AB">
        <w:rPr>
          <w:rFonts w:eastAsia="Times New Roman" w:cs="Arial"/>
          <w:lang w:eastAsia="en-AU"/>
        </w:rPr>
        <w:t xml:space="preserve"> </w:t>
      </w:r>
      <w:r w:rsidR="00355806" w:rsidRPr="000413AB">
        <w:rPr>
          <w:rFonts w:eastAsia="Times New Roman" w:cs="Arial"/>
          <w:lang w:eastAsia="en-AU"/>
        </w:rPr>
        <w:t xml:space="preserve">million </w:t>
      </w:r>
      <w:r w:rsidR="008B577D" w:rsidRPr="000413AB">
        <w:rPr>
          <w:rFonts w:eastAsia="Times New Roman" w:cs="Arial"/>
          <w:lang w:eastAsia="en-AU"/>
        </w:rPr>
        <w:t xml:space="preserve">and </w:t>
      </w:r>
      <w:r w:rsidRPr="000413AB">
        <w:rPr>
          <w:rFonts w:eastAsia="Times New Roman" w:cs="Arial"/>
          <w:lang w:eastAsia="en-AU"/>
        </w:rPr>
        <w:t>$</w:t>
      </w:r>
      <w:r w:rsidR="00B26954" w:rsidRPr="000413AB">
        <w:rPr>
          <w:rFonts w:eastAsia="Times New Roman" w:cs="Arial"/>
          <w:lang w:eastAsia="en-AU"/>
        </w:rPr>
        <w:t>2</w:t>
      </w:r>
      <w:r w:rsidR="000413AB" w:rsidRPr="000413AB">
        <w:rPr>
          <w:rFonts w:eastAsia="Times New Roman" w:cs="Arial"/>
          <w:lang w:eastAsia="en-AU"/>
        </w:rPr>
        <w:t>0</w:t>
      </w:r>
      <w:r w:rsidR="00355806" w:rsidRPr="000413AB">
        <w:rPr>
          <w:rFonts w:eastAsia="Times New Roman" w:cs="Arial"/>
          <w:lang w:eastAsia="en-AU"/>
        </w:rPr>
        <w:t>.</w:t>
      </w:r>
      <w:r w:rsidR="000413AB" w:rsidRPr="000413AB">
        <w:rPr>
          <w:rFonts w:eastAsia="Times New Roman" w:cs="Arial"/>
          <w:lang w:eastAsia="en-AU"/>
        </w:rPr>
        <w:t>65</w:t>
      </w:r>
      <w:r w:rsidR="008B577D" w:rsidRPr="000413AB">
        <w:rPr>
          <w:rFonts w:eastAsia="Times New Roman" w:cs="Arial"/>
          <w:lang w:eastAsia="en-AU"/>
        </w:rPr>
        <w:t xml:space="preserve"> </w:t>
      </w:r>
      <w:r w:rsidR="00355806" w:rsidRPr="000413AB">
        <w:rPr>
          <w:rFonts w:eastAsia="Times New Roman" w:cs="Arial"/>
          <w:lang w:eastAsia="en-AU"/>
        </w:rPr>
        <w:t>million</w:t>
      </w:r>
      <w:r w:rsidRPr="000413AB">
        <w:rPr>
          <w:rFonts w:eastAsia="Times New Roman" w:cs="Arial"/>
          <w:lang w:eastAsia="en-AU"/>
        </w:rPr>
        <w:t xml:space="preserve"> will be funded by sale of </w:t>
      </w:r>
      <w:r w:rsidR="00B26954" w:rsidRPr="000413AB">
        <w:rPr>
          <w:rFonts w:eastAsia="Times New Roman" w:cs="Arial"/>
          <w:lang w:eastAsia="en-AU"/>
        </w:rPr>
        <w:t>assets</w:t>
      </w:r>
      <w:r w:rsidRPr="000413AB">
        <w:rPr>
          <w:rFonts w:eastAsia="Times New Roman" w:cs="Arial"/>
          <w:lang w:eastAsia="en-AU"/>
        </w:rPr>
        <w:t xml:space="preserve"> and the balance</w:t>
      </w:r>
      <w:r w:rsidR="001277DB" w:rsidRPr="000413AB">
        <w:rPr>
          <w:rFonts w:eastAsia="Times New Roman" w:cs="Arial"/>
          <w:lang w:eastAsia="en-AU"/>
        </w:rPr>
        <w:t xml:space="preserve"> $</w:t>
      </w:r>
      <w:r w:rsidR="009B07FD" w:rsidRPr="000413AB">
        <w:rPr>
          <w:rFonts w:eastAsia="Times New Roman" w:cs="Arial"/>
          <w:lang w:eastAsia="en-AU"/>
        </w:rPr>
        <w:t>3</w:t>
      </w:r>
      <w:r w:rsidR="000413AB" w:rsidRPr="000413AB">
        <w:rPr>
          <w:rFonts w:eastAsia="Times New Roman" w:cs="Arial"/>
          <w:lang w:eastAsia="en-AU"/>
        </w:rPr>
        <w:t>8</w:t>
      </w:r>
      <w:r w:rsidR="009B07FD" w:rsidRPr="000413AB">
        <w:rPr>
          <w:rFonts w:eastAsia="Times New Roman" w:cs="Arial"/>
          <w:lang w:eastAsia="en-AU"/>
        </w:rPr>
        <w:t>.</w:t>
      </w:r>
      <w:r w:rsidR="000413AB" w:rsidRPr="000413AB">
        <w:rPr>
          <w:rFonts w:eastAsia="Times New Roman" w:cs="Arial"/>
          <w:lang w:eastAsia="en-AU"/>
        </w:rPr>
        <w:t>06</w:t>
      </w:r>
      <w:r w:rsidR="001277DB" w:rsidRPr="000413AB">
        <w:rPr>
          <w:rFonts w:eastAsia="Times New Roman" w:cs="Arial"/>
          <w:lang w:eastAsia="en-AU"/>
        </w:rPr>
        <w:t xml:space="preserve"> million</w:t>
      </w:r>
      <w:r w:rsidRPr="000413AB">
        <w:rPr>
          <w:rFonts w:eastAsia="Times New Roman" w:cs="Arial"/>
          <w:lang w:eastAsia="en-AU"/>
        </w:rPr>
        <w:t xml:space="preserve"> internally through general rates and cash holdings.  The </w:t>
      </w:r>
      <w:r w:rsidRPr="001953D7">
        <w:rPr>
          <w:rFonts w:eastAsia="Times New Roman" w:cs="Arial"/>
          <w:lang w:eastAsia="en-AU"/>
        </w:rPr>
        <w:t>priorities for the capital expenditure program have been established through a rigorous process of consultation that has enabled Council to assess community needs and develop sound business cases for each project</w:t>
      </w:r>
      <w:r w:rsidRPr="0011586B">
        <w:rPr>
          <w:rFonts w:eastAsia="Times New Roman" w:cs="Arial"/>
          <w:lang w:eastAsia="en-AU"/>
        </w:rPr>
        <w:t>.</w:t>
      </w:r>
    </w:p>
    <w:p w:rsidR="00DD72CE" w:rsidRPr="008D1A4B" w:rsidRDefault="00DD72CE" w:rsidP="00DD72CE">
      <w:pPr>
        <w:jc w:val="both"/>
        <w:rPr>
          <w:rFonts w:eastAsia="Times New Roman" w:cs="Arial"/>
          <w:color w:val="4A66AC" w:themeColor="accent1"/>
          <w:lang w:eastAsia="en-AU"/>
        </w:rPr>
      </w:pPr>
    </w:p>
    <w:p w:rsidR="00DD72CE" w:rsidRPr="008D1A4B" w:rsidRDefault="00961BF7" w:rsidP="00DD72CE">
      <w:pPr>
        <w:jc w:val="both"/>
        <w:rPr>
          <w:rFonts w:eastAsia="Times New Roman" w:cs="Arial"/>
          <w:b/>
          <w:bCs/>
          <w:color w:val="4A66AC" w:themeColor="accent1"/>
          <w:lang w:eastAsia="en-AU"/>
        </w:rPr>
      </w:pPr>
      <w:r w:rsidRPr="007E3A0B">
        <w:rPr>
          <w:rFonts w:eastAsia="Times New Roman" w:cs="Arial"/>
          <w:b/>
          <w:bCs/>
          <w:color w:val="4A66AC" w:themeColor="accent1"/>
          <w:lang w:eastAsia="en-AU"/>
        </w:rPr>
        <w:t>3</w:t>
      </w:r>
      <w:r w:rsidR="00DD72CE" w:rsidRPr="007E3A0B">
        <w:rPr>
          <w:rFonts w:eastAsia="Times New Roman" w:cs="Arial"/>
          <w:b/>
          <w:bCs/>
          <w:color w:val="4A66AC" w:themeColor="accent1"/>
          <w:lang w:eastAsia="en-AU"/>
        </w:rPr>
        <w:t>.</w:t>
      </w:r>
      <w:r w:rsidRPr="007E3A0B">
        <w:rPr>
          <w:rFonts w:eastAsia="Times New Roman" w:cs="Arial"/>
          <w:b/>
          <w:bCs/>
          <w:color w:val="4A66AC" w:themeColor="accent1"/>
          <w:lang w:eastAsia="en-AU"/>
        </w:rPr>
        <w:t>5</w:t>
      </w:r>
      <w:r w:rsidR="00DD72CE" w:rsidRPr="007E3A0B">
        <w:rPr>
          <w:rFonts w:eastAsia="Times New Roman" w:cs="Arial"/>
          <w:b/>
          <w:bCs/>
          <w:color w:val="4A66AC" w:themeColor="accent1"/>
          <w:lang w:eastAsia="en-AU"/>
        </w:rPr>
        <w:t xml:space="preserve"> Financial Position (Working Capital)</w:t>
      </w:r>
    </w:p>
    <w:p w:rsidR="00DD72CE" w:rsidRPr="0029462D" w:rsidRDefault="00DD72CE" w:rsidP="00DD72CE">
      <w:pPr>
        <w:jc w:val="both"/>
        <w:rPr>
          <w:rFonts w:eastAsia="Times New Roman" w:cs="Arial"/>
          <w:szCs w:val="20"/>
        </w:rPr>
      </w:pPr>
    </w:p>
    <w:p w:rsidR="00DD72CE" w:rsidRPr="0029462D" w:rsidRDefault="00DD72CE" w:rsidP="00DD72CE">
      <w:pPr>
        <w:jc w:val="both"/>
        <w:rPr>
          <w:rFonts w:eastAsia="Times New Roman" w:cs="Arial"/>
          <w:szCs w:val="20"/>
        </w:rPr>
      </w:pPr>
    </w:p>
    <w:p w:rsidR="00DD72CE" w:rsidRPr="0029462D" w:rsidRDefault="00142293" w:rsidP="00DD72CE">
      <w:pPr>
        <w:jc w:val="both"/>
        <w:rPr>
          <w:rFonts w:eastAsia="Times New Roman" w:cs="Arial"/>
          <w:szCs w:val="20"/>
        </w:rPr>
      </w:pPr>
      <w:r>
        <w:rPr>
          <w:noProof/>
        </w:rPr>
        <w:drawing>
          <wp:inline distT="0" distB="0" distL="0" distR="0" wp14:anchorId="183F6EC9" wp14:editId="4662D192">
            <wp:extent cx="6318250" cy="2219325"/>
            <wp:effectExtent l="0" t="0" r="6350" b="0"/>
            <wp:docPr id="14" name="Chart 1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D72CE"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FA5411" w:rsidRDefault="00DD72CE" w:rsidP="00FA5411">
      <w:pPr>
        <w:jc w:val="both"/>
        <w:rPr>
          <w:rFonts w:eastAsia="Times New Roman" w:cs="Arial"/>
          <w:lang w:eastAsia="en-AU"/>
        </w:rPr>
      </w:pPr>
      <w:r w:rsidRPr="0029462D">
        <w:rPr>
          <w:rFonts w:eastAsia="Times New Roman" w:cs="Arial"/>
          <w:lang w:eastAsia="en-AU"/>
        </w:rPr>
        <w:t>The working capital ratio calculated as Current Assets divided by Current Liabilities is a key indicator to assess Council’s ability to meet current commitments. The expected working capital ratio for 20</w:t>
      </w:r>
      <w:r w:rsidR="00425322">
        <w:rPr>
          <w:rFonts w:eastAsia="Times New Roman" w:cs="Arial"/>
          <w:lang w:eastAsia="en-AU"/>
        </w:rPr>
        <w:t>20</w:t>
      </w:r>
      <w:r w:rsidRPr="0029462D">
        <w:rPr>
          <w:rFonts w:eastAsia="Times New Roman" w:cs="Arial"/>
          <w:lang w:eastAsia="en-AU"/>
        </w:rPr>
        <w:t>/</w:t>
      </w:r>
      <w:r w:rsidR="0028567A">
        <w:rPr>
          <w:rFonts w:eastAsia="Times New Roman" w:cs="Arial"/>
          <w:lang w:eastAsia="en-AU"/>
        </w:rPr>
        <w:t>2</w:t>
      </w:r>
      <w:r w:rsidR="00425322">
        <w:rPr>
          <w:rFonts w:eastAsia="Times New Roman" w:cs="Arial"/>
          <w:lang w:eastAsia="en-AU"/>
        </w:rPr>
        <w:t>1</w:t>
      </w:r>
      <w:r w:rsidRPr="0029462D">
        <w:rPr>
          <w:rFonts w:eastAsia="Times New Roman" w:cs="Arial"/>
          <w:lang w:eastAsia="en-AU"/>
        </w:rPr>
        <w:t xml:space="preserve"> </w:t>
      </w:r>
      <w:r w:rsidRPr="008136DF">
        <w:rPr>
          <w:rFonts w:eastAsia="Times New Roman" w:cs="Arial"/>
          <w:lang w:eastAsia="en-AU"/>
        </w:rPr>
        <w:t>is 1.</w:t>
      </w:r>
      <w:r w:rsidR="008136DF" w:rsidRPr="008136DF">
        <w:rPr>
          <w:rFonts w:eastAsia="Times New Roman" w:cs="Arial"/>
          <w:lang w:eastAsia="en-AU"/>
        </w:rPr>
        <w:t>13</w:t>
      </w:r>
      <w:r w:rsidRPr="008136DF">
        <w:rPr>
          <w:rFonts w:eastAsia="Times New Roman" w:cs="Arial"/>
          <w:lang w:eastAsia="en-AU"/>
        </w:rPr>
        <w:t xml:space="preserve"> </w:t>
      </w:r>
      <w:r w:rsidRPr="0029462D">
        <w:rPr>
          <w:rFonts w:eastAsia="Times New Roman" w:cs="Arial"/>
          <w:lang w:eastAsia="en-AU"/>
        </w:rPr>
        <w:t xml:space="preserve">which means that Council can meet its </w:t>
      </w:r>
      <w:proofErr w:type="gramStart"/>
      <w:r w:rsidRPr="0029462D">
        <w:rPr>
          <w:rFonts w:eastAsia="Times New Roman" w:cs="Arial"/>
          <w:lang w:eastAsia="en-AU"/>
        </w:rPr>
        <w:t>short term</w:t>
      </w:r>
      <w:proofErr w:type="gramEnd"/>
      <w:r w:rsidRPr="0029462D">
        <w:rPr>
          <w:rFonts w:eastAsia="Times New Roman" w:cs="Arial"/>
          <w:lang w:eastAsia="en-AU"/>
        </w:rPr>
        <w:t xml:space="preserve"> obligations and has sufficient cash or operating liquidity remaining to meet fluctuating cash levels during the year. </w:t>
      </w:r>
    </w:p>
    <w:p w:rsidR="00FA5411" w:rsidRDefault="00FA5411"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EE151F" w:rsidRDefault="00EE151F" w:rsidP="00FA5411">
      <w:pPr>
        <w:jc w:val="both"/>
        <w:rPr>
          <w:rFonts w:eastAsia="Times New Roman" w:cs="Arial"/>
          <w:b/>
          <w:bCs/>
          <w:color w:val="4A66AC" w:themeColor="accent1"/>
          <w:lang w:eastAsia="en-AU"/>
        </w:rPr>
      </w:pPr>
    </w:p>
    <w:p w:rsidR="00DD72CE" w:rsidRPr="0029462D" w:rsidRDefault="00961BF7" w:rsidP="00DD72CE">
      <w:pPr>
        <w:rPr>
          <w:rFonts w:eastAsia="Times New Roman" w:cs="Arial"/>
          <w:b/>
          <w:bCs/>
          <w:color w:val="C00000"/>
          <w:lang w:eastAsia="en-AU"/>
        </w:rPr>
      </w:pPr>
      <w:r w:rsidRPr="007E3A0B">
        <w:rPr>
          <w:rFonts w:eastAsia="Times New Roman" w:cs="Arial"/>
          <w:b/>
          <w:bCs/>
          <w:color w:val="4A66AC" w:themeColor="accent1"/>
          <w:lang w:eastAsia="en-AU"/>
        </w:rPr>
        <w:t>3</w:t>
      </w:r>
      <w:r w:rsidR="00DD72CE" w:rsidRPr="007E3A0B">
        <w:rPr>
          <w:rFonts w:eastAsia="Times New Roman" w:cs="Arial"/>
          <w:b/>
          <w:bCs/>
          <w:color w:val="4A66AC" w:themeColor="accent1"/>
          <w:lang w:eastAsia="en-AU"/>
        </w:rPr>
        <w:t>.6 Financial Sustainability</w:t>
      </w:r>
    </w:p>
    <w:p w:rsidR="00DD72CE" w:rsidRPr="0029462D" w:rsidRDefault="00DD72CE" w:rsidP="00DD72CE">
      <w:pPr>
        <w:jc w:val="both"/>
        <w:rPr>
          <w:rFonts w:eastAsia="Times New Roman" w:cs="Arial"/>
          <w:szCs w:val="20"/>
        </w:rPr>
      </w:pPr>
    </w:p>
    <w:p w:rsidR="00DD72CE" w:rsidRPr="0029462D" w:rsidRDefault="00DD72CE" w:rsidP="00DD72CE">
      <w:pPr>
        <w:jc w:val="both"/>
        <w:rPr>
          <w:rFonts w:eastAsia="Times New Roman" w:cs="Arial"/>
          <w:szCs w:val="20"/>
        </w:rPr>
      </w:pPr>
    </w:p>
    <w:p w:rsidR="00DD72CE" w:rsidRPr="0029462D" w:rsidRDefault="00CC0BFD" w:rsidP="00DD72CE">
      <w:pPr>
        <w:jc w:val="both"/>
        <w:rPr>
          <w:rFonts w:eastAsia="Times New Roman" w:cs="Arial"/>
          <w:szCs w:val="20"/>
        </w:rPr>
      </w:pPr>
      <w:r>
        <w:rPr>
          <w:noProof/>
        </w:rPr>
        <w:drawing>
          <wp:inline distT="0" distB="0" distL="0" distR="0" wp14:anchorId="57781544" wp14:editId="47F54675">
            <wp:extent cx="6299200" cy="2457450"/>
            <wp:effectExtent l="0" t="0" r="6350" b="0"/>
            <wp:docPr id="15" name="Chart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D72CE"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35757A" w:rsidRDefault="00DD72CE" w:rsidP="0035757A">
      <w:pPr>
        <w:jc w:val="both"/>
        <w:rPr>
          <w:rFonts w:eastAsia="Times New Roman" w:cs="Arial"/>
          <w:lang w:eastAsia="en-AU"/>
        </w:rPr>
      </w:pPr>
      <w:r w:rsidRPr="0029462D">
        <w:rPr>
          <w:rFonts w:eastAsia="Times New Roman" w:cs="Arial"/>
          <w:lang w:eastAsia="en-AU"/>
        </w:rPr>
        <w:t xml:space="preserve">A </w:t>
      </w:r>
      <w:proofErr w:type="gramStart"/>
      <w:r w:rsidRPr="0029462D">
        <w:rPr>
          <w:rFonts w:eastAsia="Times New Roman" w:cs="Arial"/>
          <w:lang w:eastAsia="en-AU"/>
        </w:rPr>
        <w:t>Long Term</w:t>
      </w:r>
      <w:proofErr w:type="gramEnd"/>
      <w:r w:rsidRPr="0029462D">
        <w:rPr>
          <w:rFonts w:eastAsia="Times New Roman" w:cs="Arial"/>
          <w:lang w:eastAsia="en-AU"/>
        </w:rPr>
        <w:t xml:space="preserve"> Financial Strategy for the years 20</w:t>
      </w:r>
      <w:r w:rsidR="00425322">
        <w:rPr>
          <w:rFonts w:eastAsia="Times New Roman" w:cs="Arial"/>
          <w:lang w:eastAsia="en-AU"/>
        </w:rPr>
        <w:t>20</w:t>
      </w:r>
      <w:r w:rsidRPr="0029462D">
        <w:rPr>
          <w:rFonts w:eastAsia="Times New Roman" w:cs="Arial"/>
          <w:lang w:eastAsia="en-AU"/>
        </w:rPr>
        <w:t>/</w:t>
      </w:r>
      <w:r w:rsidR="00341B2B">
        <w:rPr>
          <w:rFonts w:eastAsia="Times New Roman" w:cs="Arial"/>
          <w:lang w:eastAsia="en-AU"/>
        </w:rPr>
        <w:t>2</w:t>
      </w:r>
      <w:r w:rsidR="00425322">
        <w:rPr>
          <w:rFonts w:eastAsia="Times New Roman" w:cs="Arial"/>
          <w:lang w:eastAsia="en-AU"/>
        </w:rPr>
        <w:t>1</w:t>
      </w:r>
      <w:r w:rsidRPr="0029462D">
        <w:rPr>
          <w:rFonts w:eastAsia="Times New Roman" w:cs="Arial"/>
          <w:lang w:eastAsia="en-AU"/>
        </w:rPr>
        <w:t xml:space="preserve"> to 202</w:t>
      </w:r>
      <w:r w:rsidR="00425322">
        <w:rPr>
          <w:rFonts w:eastAsia="Times New Roman" w:cs="Arial"/>
          <w:lang w:eastAsia="en-AU"/>
        </w:rPr>
        <w:t>9</w:t>
      </w:r>
      <w:r w:rsidRPr="0029462D">
        <w:rPr>
          <w:rFonts w:eastAsia="Times New Roman" w:cs="Arial"/>
          <w:lang w:eastAsia="en-AU"/>
        </w:rPr>
        <w:t>/</w:t>
      </w:r>
      <w:r w:rsidR="00425322">
        <w:rPr>
          <w:rFonts w:eastAsia="Times New Roman" w:cs="Arial"/>
          <w:lang w:eastAsia="en-AU"/>
        </w:rPr>
        <w:t>30</w:t>
      </w:r>
      <w:r w:rsidRPr="0029462D">
        <w:rPr>
          <w:rFonts w:eastAsia="Times New Roman" w:cs="Arial"/>
          <w:lang w:eastAsia="en-AU"/>
        </w:rPr>
        <w:t xml:space="preserve"> has been developed to assist Council in adopting a budget within a longer term prudent financial framework. The key objective of the strategy is financial sustainability in the medium to longer term, while still achieving Council’s future outcome areas (strategic objectives) as specified in the Council Plan. The adjusted surplus result, which is a measure of financial sustainability, </w:t>
      </w:r>
      <w:r w:rsidR="00E32D35" w:rsidRPr="00E32D35">
        <w:rPr>
          <w:rFonts w:eastAsia="Times New Roman" w:cs="Arial"/>
          <w:lang w:eastAsia="en-AU"/>
        </w:rPr>
        <w:t>portrays positive outcomes in terms of net surplus comprehensive results for the entire ten-year period outlook (20</w:t>
      </w:r>
      <w:r w:rsidR="00425322">
        <w:rPr>
          <w:rFonts w:eastAsia="Times New Roman" w:cs="Arial"/>
          <w:lang w:eastAsia="en-AU"/>
        </w:rPr>
        <w:t>20</w:t>
      </w:r>
      <w:r w:rsidR="00E32D35" w:rsidRPr="00E32D35">
        <w:rPr>
          <w:rFonts w:eastAsia="Times New Roman" w:cs="Arial"/>
          <w:lang w:eastAsia="en-AU"/>
        </w:rPr>
        <w:t>/</w:t>
      </w:r>
      <w:r w:rsidR="00341B2B">
        <w:rPr>
          <w:rFonts w:eastAsia="Times New Roman" w:cs="Arial"/>
          <w:lang w:eastAsia="en-AU"/>
        </w:rPr>
        <w:t>2</w:t>
      </w:r>
      <w:r w:rsidR="00425322">
        <w:rPr>
          <w:rFonts w:eastAsia="Times New Roman" w:cs="Arial"/>
          <w:lang w:eastAsia="en-AU"/>
        </w:rPr>
        <w:t>1</w:t>
      </w:r>
      <w:r w:rsidR="00E32D35" w:rsidRPr="00E32D35">
        <w:rPr>
          <w:rFonts w:eastAsia="Times New Roman" w:cs="Arial"/>
          <w:lang w:eastAsia="en-AU"/>
        </w:rPr>
        <w:t xml:space="preserve"> to 202</w:t>
      </w:r>
      <w:r w:rsidR="00425322">
        <w:rPr>
          <w:rFonts w:eastAsia="Times New Roman" w:cs="Arial"/>
          <w:lang w:eastAsia="en-AU"/>
        </w:rPr>
        <w:t>9</w:t>
      </w:r>
      <w:r w:rsidR="00E32D35" w:rsidRPr="00E32D35">
        <w:rPr>
          <w:rFonts w:eastAsia="Times New Roman" w:cs="Arial"/>
          <w:lang w:eastAsia="en-AU"/>
        </w:rPr>
        <w:t>/</w:t>
      </w:r>
      <w:r w:rsidR="00425322">
        <w:rPr>
          <w:rFonts w:eastAsia="Times New Roman" w:cs="Arial"/>
          <w:lang w:eastAsia="en-AU"/>
        </w:rPr>
        <w:t>30</w:t>
      </w:r>
      <w:r w:rsidR="00E32D35" w:rsidRPr="00E32D35">
        <w:rPr>
          <w:rFonts w:eastAsia="Times New Roman" w:cs="Arial"/>
          <w:lang w:eastAsia="en-AU"/>
        </w:rPr>
        <w:t xml:space="preserve">). This can be achieved after absorbing the </w:t>
      </w:r>
      <w:r w:rsidR="00E32D35" w:rsidRPr="009F7AFB">
        <w:rPr>
          <w:rFonts w:eastAsia="Times New Roman" w:cs="Arial"/>
          <w:lang w:eastAsia="en-AU"/>
        </w:rPr>
        <w:t xml:space="preserve">impact of borrowing </w:t>
      </w:r>
      <w:r w:rsidR="00E32D35" w:rsidRPr="00E32D35">
        <w:rPr>
          <w:rFonts w:eastAsia="Times New Roman" w:cs="Arial"/>
          <w:lang w:eastAsia="en-AU"/>
        </w:rPr>
        <w:t>and the graduated increase in the superannuation guarantee by the Federal Government.</w:t>
      </w:r>
      <w:r w:rsidRPr="0029462D">
        <w:rPr>
          <w:rFonts w:eastAsia="Times New Roman" w:cs="Arial"/>
          <w:lang w:eastAsia="en-AU"/>
        </w:rPr>
        <w:t xml:space="preserve"> Notional provision has been made for potential Defined Benefits Superannuation call should international equity markets fall, as we</w:t>
      </w:r>
      <w:r w:rsidR="00265BCB">
        <w:rPr>
          <w:rFonts w:eastAsia="Times New Roman" w:cs="Arial"/>
          <w:lang w:eastAsia="en-AU"/>
        </w:rPr>
        <w:t>ll as provision of a cash backed general</w:t>
      </w:r>
      <w:r w:rsidRPr="0029462D">
        <w:rPr>
          <w:rFonts w:eastAsia="Times New Roman" w:cs="Arial"/>
          <w:lang w:eastAsia="en-AU"/>
        </w:rPr>
        <w:t xml:space="preserve"> reserve for new major capital projects </w:t>
      </w:r>
      <w:proofErr w:type="gramStart"/>
      <w:r w:rsidRPr="0029462D">
        <w:rPr>
          <w:rFonts w:eastAsia="Times New Roman" w:cs="Arial"/>
          <w:lang w:eastAsia="en-AU"/>
        </w:rPr>
        <w:t>as yet</w:t>
      </w:r>
      <w:proofErr w:type="gramEnd"/>
      <w:r w:rsidRPr="0029462D">
        <w:rPr>
          <w:rFonts w:eastAsia="Times New Roman" w:cs="Arial"/>
          <w:lang w:eastAsia="en-AU"/>
        </w:rPr>
        <w:t xml:space="preserve"> undefined.</w:t>
      </w:r>
    </w:p>
    <w:p w:rsidR="0035757A" w:rsidRDefault="0035757A" w:rsidP="0035757A">
      <w:pPr>
        <w:jc w:val="both"/>
        <w:rPr>
          <w:rFonts w:eastAsia="Times New Roman" w:cs="Arial"/>
          <w:lang w:eastAsia="en-AU"/>
        </w:rPr>
      </w:pPr>
    </w:p>
    <w:p w:rsidR="0035757A" w:rsidRDefault="0035757A" w:rsidP="0035757A">
      <w:pPr>
        <w:jc w:val="both"/>
        <w:rPr>
          <w:rFonts w:eastAsia="Times New Roman" w:cs="Arial"/>
          <w:lang w:eastAsia="en-AU"/>
        </w:rPr>
        <w:sectPr w:rsidR="0035757A" w:rsidSect="0035757A">
          <w:footerReference w:type="even" r:id="rId19"/>
          <w:footerReference w:type="default" r:id="rId20"/>
          <w:footerReference w:type="first" r:id="rId21"/>
          <w:pgSz w:w="11906" w:h="16838"/>
          <w:pgMar w:top="720" w:right="720" w:bottom="720" w:left="720" w:header="708" w:footer="708" w:gutter="0"/>
          <w:cols w:space="708"/>
          <w:titlePg/>
          <w:docGrid w:linePitch="360"/>
        </w:sectPr>
      </w:pPr>
    </w:p>
    <w:p w:rsidR="00B3387E" w:rsidRDefault="00B3387E" w:rsidP="00B3387E">
      <w:pPr>
        <w:ind w:left="426"/>
        <w:jc w:val="both"/>
        <w:rPr>
          <w:rFonts w:eastAsia="Times New Roman" w:cs="Arial"/>
        </w:rPr>
      </w:pPr>
    </w:p>
    <w:p w:rsidR="00E32D35" w:rsidRPr="00D53814" w:rsidRDefault="00E32D35" w:rsidP="00B3387E">
      <w:pPr>
        <w:ind w:left="426"/>
        <w:jc w:val="both"/>
        <w:rPr>
          <w:rFonts w:eastAsia="Times New Roman" w:cs="Arial"/>
        </w:rPr>
      </w:pPr>
    </w:p>
    <w:p w:rsidR="00B3387E" w:rsidRDefault="00B3387E" w:rsidP="00B3387E">
      <w:pPr>
        <w:ind w:left="426"/>
        <w:jc w:val="both"/>
        <w:rPr>
          <w:rFonts w:eastAsia="Times New Roman" w:cs="Arial"/>
          <w:szCs w:val="20"/>
        </w:rPr>
      </w:pPr>
      <w:r w:rsidRPr="007E3A0B">
        <w:rPr>
          <w:rFonts w:eastAsia="Times New Roman" w:cs="Arial"/>
          <w:szCs w:val="20"/>
        </w:rPr>
        <w:t xml:space="preserve">Further indicators of the </w:t>
      </w:r>
      <w:proofErr w:type="gramStart"/>
      <w:r w:rsidRPr="007E3A0B">
        <w:rPr>
          <w:rFonts w:eastAsia="Times New Roman" w:cs="Arial"/>
          <w:szCs w:val="20"/>
        </w:rPr>
        <w:t>long term</w:t>
      </w:r>
      <w:proofErr w:type="gramEnd"/>
      <w:r w:rsidRPr="007E3A0B">
        <w:rPr>
          <w:rFonts w:eastAsia="Times New Roman" w:cs="Arial"/>
          <w:szCs w:val="20"/>
        </w:rPr>
        <w:t xml:space="preserve"> financial sustainability of Councils are the financial sustainability risk indicators as defined by </w:t>
      </w:r>
      <w:r w:rsidR="00327ADB" w:rsidRPr="007E3A0B">
        <w:rPr>
          <w:rFonts w:eastAsia="Times New Roman" w:cs="Arial"/>
          <w:szCs w:val="20"/>
        </w:rPr>
        <w:t>Victorian Auditor General’s Office (</w:t>
      </w:r>
      <w:r w:rsidRPr="007E3A0B">
        <w:rPr>
          <w:rFonts w:eastAsia="Times New Roman" w:cs="Arial"/>
          <w:szCs w:val="20"/>
        </w:rPr>
        <w:t>VAGO</w:t>
      </w:r>
      <w:r w:rsidR="00327ADB" w:rsidRPr="007E3A0B">
        <w:rPr>
          <w:rFonts w:eastAsia="Times New Roman" w:cs="Arial"/>
          <w:szCs w:val="20"/>
        </w:rPr>
        <w:t>)</w:t>
      </w:r>
      <w:r w:rsidRPr="007E3A0B">
        <w:rPr>
          <w:rFonts w:eastAsia="Times New Roman" w:cs="Arial"/>
          <w:szCs w:val="20"/>
        </w:rPr>
        <w:t>. Council is in a sound position financially with all indicators showing results within acceptable low to medium risk levels. The following table show these indicators over the ten-year period, shading green for low risk and yellow for medium risk.</w:t>
      </w:r>
    </w:p>
    <w:p w:rsidR="00B3387E" w:rsidRPr="00D53814" w:rsidRDefault="00B3387E" w:rsidP="00B3387E">
      <w:pPr>
        <w:ind w:left="426"/>
        <w:jc w:val="both"/>
        <w:rPr>
          <w:rFonts w:eastAsia="Times New Roman" w:cs="Arial"/>
          <w:color w:val="000000" w:themeColor="text1"/>
          <w:szCs w:val="20"/>
        </w:rPr>
      </w:pPr>
    </w:p>
    <w:tbl>
      <w:tblPr>
        <w:tblW w:w="5000" w:type="pct"/>
        <w:tblLook w:val="04A0" w:firstRow="1" w:lastRow="0" w:firstColumn="1" w:lastColumn="0" w:noHBand="0" w:noVBand="1"/>
      </w:tblPr>
      <w:tblGrid>
        <w:gridCol w:w="3863"/>
        <w:gridCol w:w="1095"/>
        <w:gridCol w:w="1050"/>
        <w:gridCol w:w="939"/>
        <w:gridCol w:w="939"/>
        <w:gridCol w:w="939"/>
        <w:gridCol w:w="939"/>
        <w:gridCol w:w="939"/>
        <w:gridCol w:w="939"/>
        <w:gridCol w:w="939"/>
        <w:gridCol w:w="939"/>
        <w:gridCol w:w="939"/>
        <w:gridCol w:w="939"/>
      </w:tblGrid>
      <w:tr w:rsidR="00C53698" w:rsidRPr="00C53698" w:rsidTr="00C53698">
        <w:trPr>
          <w:trHeight w:val="300"/>
        </w:trPr>
        <w:tc>
          <w:tcPr>
            <w:tcW w:w="1282" w:type="pct"/>
            <w:vMerge w:val="restar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color w:val="FFFFFF"/>
                <w:sz w:val="20"/>
                <w:szCs w:val="20"/>
                <w:lang w:eastAsia="en-AU"/>
              </w:rPr>
            </w:pPr>
            <w:r w:rsidRPr="00C53698">
              <w:rPr>
                <w:rFonts w:eastAsia="Times New Roman" w:cs="Arial"/>
                <w:color w:val="FFFFFF"/>
                <w:sz w:val="20"/>
                <w:szCs w:val="20"/>
                <w:lang w:eastAsia="en-AU"/>
              </w:rPr>
              <w:t> </w:t>
            </w:r>
          </w:p>
        </w:tc>
        <w:tc>
          <w:tcPr>
            <w:tcW w:w="347" w:type="pc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color w:val="FFFFFF"/>
                <w:sz w:val="20"/>
                <w:szCs w:val="20"/>
                <w:lang w:eastAsia="en-AU"/>
              </w:rPr>
            </w:pPr>
            <w:r w:rsidRPr="00C53698">
              <w:rPr>
                <w:rFonts w:eastAsia="Times New Roman" w:cs="Arial"/>
                <w:color w:val="FFFFFF"/>
                <w:sz w:val="20"/>
                <w:szCs w:val="20"/>
                <w:lang w:eastAsia="en-AU"/>
              </w:rPr>
              <w:t> </w:t>
            </w:r>
          </w:p>
        </w:tc>
        <w:tc>
          <w:tcPr>
            <w:tcW w:w="333"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Forecast</w:t>
            </w:r>
          </w:p>
        </w:tc>
        <w:tc>
          <w:tcPr>
            <w:tcW w:w="304" w:type="pct"/>
            <w:vMerge w:val="restar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 xml:space="preserve">Budget </w:t>
            </w:r>
          </w:p>
        </w:tc>
        <w:tc>
          <w:tcPr>
            <w:tcW w:w="912" w:type="pct"/>
            <w:gridSpan w:val="3"/>
            <w:tcBorders>
              <w:top w:val="nil"/>
              <w:left w:val="nil"/>
              <w:bottom w:val="nil"/>
              <w:right w:val="nil"/>
            </w:tcBorders>
            <w:shd w:val="clear" w:color="000000" w:fill="629DD1"/>
            <w:vAlign w:val="center"/>
            <w:hideMark/>
          </w:tcPr>
          <w:p w:rsidR="00C53698" w:rsidRPr="00C53698" w:rsidRDefault="00C53698" w:rsidP="00C53698">
            <w:pPr>
              <w:jc w:val="center"/>
              <w:rPr>
                <w:rFonts w:eastAsia="Times New Roman" w:cs="Arial"/>
                <w:b/>
                <w:bCs/>
                <w:color w:val="FFFFFF"/>
                <w:sz w:val="20"/>
                <w:szCs w:val="20"/>
                <w:lang w:eastAsia="en-AU"/>
              </w:rPr>
            </w:pPr>
            <w:r w:rsidRPr="00C53698">
              <w:rPr>
                <w:rFonts w:eastAsia="Times New Roman" w:cs="Arial"/>
                <w:b/>
                <w:bCs/>
                <w:color w:val="FFFFFF"/>
                <w:sz w:val="20"/>
                <w:szCs w:val="20"/>
                <w:lang w:eastAsia="en-AU"/>
              </w:rPr>
              <w:t>Strategic Resource Plan</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1519" w:type="pct"/>
            <w:gridSpan w:val="5"/>
            <w:tcBorders>
              <w:top w:val="nil"/>
              <w:left w:val="nil"/>
              <w:bottom w:val="nil"/>
              <w:right w:val="nil"/>
            </w:tcBorders>
            <w:shd w:val="clear" w:color="000000" w:fill="629DD1"/>
            <w:vAlign w:val="center"/>
            <w:hideMark/>
          </w:tcPr>
          <w:p w:rsidR="00C53698" w:rsidRPr="00C53698" w:rsidRDefault="00C53698" w:rsidP="00C53698">
            <w:pPr>
              <w:jc w:val="center"/>
              <w:rPr>
                <w:rFonts w:eastAsia="Times New Roman" w:cs="Arial"/>
                <w:b/>
                <w:bCs/>
                <w:color w:val="FFFFFF"/>
                <w:sz w:val="20"/>
                <w:szCs w:val="20"/>
                <w:lang w:eastAsia="en-AU"/>
              </w:rPr>
            </w:pPr>
            <w:r w:rsidRPr="00C53698">
              <w:rPr>
                <w:rFonts w:eastAsia="Times New Roman" w:cs="Arial"/>
                <w:b/>
                <w:bCs/>
                <w:color w:val="FFFFFF"/>
                <w:sz w:val="20"/>
                <w:szCs w:val="20"/>
                <w:lang w:eastAsia="en-AU"/>
              </w:rPr>
              <w:t>Long Term Financial Plan</w:t>
            </w:r>
          </w:p>
        </w:tc>
      </w:tr>
      <w:tr w:rsidR="00C53698" w:rsidRPr="00C53698" w:rsidTr="00C53698">
        <w:trPr>
          <w:trHeight w:val="300"/>
        </w:trPr>
        <w:tc>
          <w:tcPr>
            <w:tcW w:w="1282" w:type="pct"/>
            <w:vMerge/>
            <w:tcBorders>
              <w:top w:val="nil"/>
              <w:left w:val="nil"/>
              <w:bottom w:val="nil"/>
              <w:right w:val="nil"/>
            </w:tcBorders>
            <w:vAlign w:val="center"/>
            <w:hideMark/>
          </w:tcPr>
          <w:p w:rsidR="00C53698" w:rsidRPr="00C53698" w:rsidRDefault="00C53698" w:rsidP="00C53698">
            <w:pPr>
              <w:rPr>
                <w:rFonts w:eastAsia="Times New Roman" w:cs="Arial"/>
                <w:color w:val="FFFFFF"/>
                <w:sz w:val="20"/>
                <w:szCs w:val="20"/>
                <w:lang w:eastAsia="en-AU"/>
              </w:rPr>
            </w:pPr>
          </w:p>
        </w:tc>
        <w:tc>
          <w:tcPr>
            <w:tcW w:w="347" w:type="pct"/>
            <w:tcBorders>
              <w:top w:val="nil"/>
              <w:left w:val="nil"/>
              <w:bottom w:val="nil"/>
              <w:right w:val="nil"/>
            </w:tcBorders>
            <w:shd w:val="clear" w:color="000000" w:fill="629DD1"/>
            <w:vAlign w:val="center"/>
            <w:hideMark/>
          </w:tcPr>
          <w:p w:rsidR="00C53698" w:rsidRPr="00C53698" w:rsidRDefault="00C53698" w:rsidP="00C53698">
            <w:pPr>
              <w:jc w:val="center"/>
              <w:rPr>
                <w:rFonts w:eastAsia="Times New Roman" w:cs="Arial"/>
                <w:color w:val="FFFFFF"/>
                <w:sz w:val="20"/>
                <w:szCs w:val="20"/>
                <w:lang w:eastAsia="en-AU"/>
              </w:rPr>
            </w:pPr>
            <w:r w:rsidRPr="00C53698">
              <w:rPr>
                <w:rFonts w:eastAsia="Times New Roman" w:cs="Arial"/>
                <w:color w:val="FFFFFF"/>
                <w:sz w:val="20"/>
                <w:szCs w:val="20"/>
                <w:lang w:eastAsia="en-AU"/>
              </w:rPr>
              <w:t>Measures</w:t>
            </w:r>
          </w:p>
        </w:tc>
        <w:tc>
          <w:tcPr>
            <w:tcW w:w="333"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Actual</w:t>
            </w:r>
          </w:p>
        </w:tc>
        <w:tc>
          <w:tcPr>
            <w:tcW w:w="304" w:type="pct"/>
            <w:vMerge/>
            <w:tcBorders>
              <w:top w:val="nil"/>
              <w:left w:val="nil"/>
              <w:bottom w:val="nil"/>
              <w:right w:val="nil"/>
            </w:tcBorders>
            <w:vAlign w:val="center"/>
            <w:hideMark/>
          </w:tcPr>
          <w:p w:rsidR="00C53698" w:rsidRPr="00C53698" w:rsidRDefault="00C53698" w:rsidP="00C53698">
            <w:pPr>
              <w:rPr>
                <w:rFonts w:eastAsia="Times New Roman" w:cs="Arial"/>
                <w:b/>
                <w:bCs/>
                <w:color w:val="FFFFFF"/>
                <w:sz w:val="20"/>
                <w:szCs w:val="20"/>
                <w:lang w:eastAsia="en-AU"/>
              </w:rPr>
            </w:pPr>
          </w:p>
        </w:tc>
        <w:tc>
          <w:tcPr>
            <w:tcW w:w="912" w:type="pct"/>
            <w:gridSpan w:val="3"/>
            <w:tcBorders>
              <w:top w:val="nil"/>
              <w:left w:val="nil"/>
              <w:bottom w:val="nil"/>
              <w:right w:val="nil"/>
            </w:tcBorders>
            <w:shd w:val="clear" w:color="000000" w:fill="629DD1"/>
            <w:vAlign w:val="center"/>
            <w:hideMark/>
          </w:tcPr>
          <w:p w:rsidR="00C53698" w:rsidRPr="00C53698" w:rsidRDefault="00C53698" w:rsidP="00C53698">
            <w:pPr>
              <w:jc w:val="center"/>
              <w:rPr>
                <w:rFonts w:eastAsia="Times New Roman" w:cs="Arial"/>
                <w:b/>
                <w:bCs/>
                <w:color w:val="FFFFFF"/>
                <w:sz w:val="20"/>
                <w:szCs w:val="20"/>
                <w:lang w:eastAsia="en-AU"/>
              </w:rPr>
            </w:pPr>
            <w:r w:rsidRPr="00C53698">
              <w:rPr>
                <w:rFonts w:eastAsia="Times New Roman" w:cs="Arial"/>
                <w:b/>
                <w:bCs/>
                <w:color w:val="FFFFFF"/>
                <w:sz w:val="20"/>
                <w:szCs w:val="20"/>
                <w:lang w:eastAsia="en-AU"/>
              </w:rPr>
              <w:t>Projections</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04" w:type="pct"/>
            <w:tcBorders>
              <w:top w:val="nil"/>
              <w:left w:val="nil"/>
              <w:bottom w:val="nil"/>
              <w:right w:val="nil"/>
            </w:tcBorders>
            <w:shd w:val="clear" w:color="000000" w:fill="629DD1"/>
            <w:vAlign w:val="center"/>
            <w:hideMark/>
          </w:tcPr>
          <w:p w:rsidR="00C53698" w:rsidRPr="00C53698" w:rsidRDefault="00C53698" w:rsidP="00C53698">
            <w:pPr>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r>
      <w:tr w:rsidR="00C53698" w:rsidRPr="00C53698" w:rsidTr="00C53698">
        <w:trPr>
          <w:trHeight w:val="403"/>
        </w:trPr>
        <w:tc>
          <w:tcPr>
            <w:tcW w:w="1282" w:type="pc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b/>
                <w:bCs/>
                <w:color w:val="FFFFFF"/>
                <w:sz w:val="20"/>
                <w:szCs w:val="20"/>
                <w:lang w:eastAsia="en-AU"/>
              </w:rPr>
            </w:pPr>
            <w:r w:rsidRPr="00C53698">
              <w:rPr>
                <w:rFonts w:eastAsia="Times New Roman" w:cs="Arial"/>
                <w:b/>
                <w:bCs/>
                <w:color w:val="FFFFFF"/>
                <w:sz w:val="20"/>
                <w:szCs w:val="20"/>
                <w:lang w:eastAsia="en-AU"/>
              </w:rPr>
              <w:t>Indicator</w:t>
            </w:r>
          </w:p>
        </w:tc>
        <w:tc>
          <w:tcPr>
            <w:tcW w:w="347" w:type="pc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b/>
                <w:bCs/>
                <w:color w:val="FFFFFF"/>
                <w:sz w:val="20"/>
                <w:szCs w:val="20"/>
                <w:lang w:eastAsia="en-AU"/>
              </w:rPr>
            </w:pPr>
            <w:r w:rsidRPr="00C53698">
              <w:rPr>
                <w:rFonts w:eastAsia="Times New Roman" w:cs="Arial"/>
                <w:b/>
                <w:bCs/>
                <w:color w:val="FFFFFF"/>
                <w:sz w:val="20"/>
                <w:szCs w:val="20"/>
                <w:lang w:eastAsia="en-AU"/>
              </w:rPr>
              <w:t> </w:t>
            </w:r>
          </w:p>
        </w:tc>
        <w:tc>
          <w:tcPr>
            <w:tcW w:w="333"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2019/20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2020/21</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2021/22</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2022/23</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2023/24</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2024/25</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2025/26</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2026/27</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2027/28</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2028/29</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2029/30</w:t>
            </w:r>
          </w:p>
        </w:tc>
      </w:tr>
      <w:tr w:rsidR="00C53698" w:rsidRPr="00C53698" w:rsidTr="00C53698">
        <w:trPr>
          <w:trHeight w:val="403"/>
        </w:trPr>
        <w:tc>
          <w:tcPr>
            <w:tcW w:w="1282" w:type="pc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b/>
                <w:bCs/>
                <w:i/>
                <w:iCs/>
                <w:color w:val="FFFFFF"/>
                <w:sz w:val="20"/>
                <w:szCs w:val="20"/>
                <w:lang w:eastAsia="en-AU"/>
              </w:rPr>
            </w:pPr>
            <w:r w:rsidRPr="00C53698">
              <w:rPr>
                <w:rFonts w:eastAsia="Times New Roman" w:cs="Arial"/>
                <w:b/>
                <w:bCs/>
                <w:i/>
                <w:iCs/>
                <w:color w:val="FFFFFF"/>
                <w:sz w:val="20"/>
                <w:szCs w:val="20"/>
                <w:lang w:eastAsia="en-AU"/>
              </w:rPr>
              <w:t> </w:t>
            </w:r>
          </w:p>
        </w:tc>
        <w:tc>
          <w:tcPr>
            <w:tcW w:w="347" w:type="pct"/>
            <w:tcBorders>
              <w:top w:val="nil"/>
              <w:left w:val="nil"/>
              <w:bottom w:val="nil"/>
              <w:right w:val="nil"/>
            </w:tcBorders>
            <w:shd w:val="clear" w:color="000000" w:fill="629DD1"/>
            <w:vAlign w:val="center"/>
            <w:hideMark/>
          </w:tcPr>
          <w:p w:rsidR="00C53698" w:rsidRPr="00C53698" w:rsidRDefault="00C53698" w:rsidP="00C53698">
            <w:pPr>
              <w:jc w:val="both"/>
              <w:rPr>
                <w:rFonts w:eastAsia="Times New Roman" w:cs="Arial"/>
                <w:b/>
                <w:bCs/>
                <w:i/>
                <w:iCs/>
                <w:color w:val="FFFFFF"/>
                <w:sz w:val="20"/>
                <w:szCs w:val="20"/>
                <w:lang w:eastAsia="en-AU"/>
              </w:rPr>
            </w:pPr>
            <w:r w:rsidRPr="00C53698">
              <w:rPr>
                <w:rFonts w:eastAsia="Times New Roman" w:cs="Arial"/>
                <w:b/>
                <w:bCs/>
                <w:i/>
                <w:iCs/>
                <w:color w:val="FFFFFF"/>
                <w:sz w:val="20"/>
                <w:szCs w:val="20"/>
                <w:lang w:eastAsia="en-AU"/>
              </w:rPr>
              <w:t> </w:t>
            </w:r>
          </w:p>
        </w:tc>
        <w:tc>
          <w:tcPr>
            <w:tcW w:w="333"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c>
          <w:tcPr>
            <w:tcW w:w="304" w:type="pct"/>
            <w:tcBorders>
              <w:top w:val="nil"/>
              <w:left w:val="nil"/>
              <w:bottom w:val="nil"/>
              <w:right w:val="nil"/>
            </w:tcBorders>
            <w:shd w:val="clear" w:color="000000" w:fill="629DD1"/>
            <w:vAlign w:val="center"/>
            <w:hideMark/>
          </w:tcPr>
          <w:p w:rsidR="00C53698" w:rsidRPr="00C53698" w:rsidRDefault="00C53698" w:rsidP="00C53698">
            <w:pPr>
              <w:jc w:val="right"/>
              <w:rPr>
                <w:rFonts w:eastAsia="Times New Roman" w:cs="Arial"/>
                <w:b/>
                <w:bCs/>
                <w:color w:val="FFFFFF"/>
                <w:sz w:val="20"/>
                <w:szCs w:val="20"/>
                <w:lang w:eastAsia="en-AU"/>
              </w:rPr>
            </w:pPr>
            <w:r w:rsidRPr="00C53698">
              <w:rPr>
                <w:rFonts w:eastAsia="Times New Roman" w:cs="Arial"/>
                <w:b/>
                <w:bCs/>
                <w:color w:val="FFFFFF"/>
                <w:sz w:val="20"/>
                <w:szCs w:val="20"/>
                <w:lang w:eastAsia="en-AU"/>
              </w:rPr>
              <w:t>$’000</w:t>
            </w:r>
          </w:p>
        </w:tc>
      </w:tr>
      <w:tr w:rsidR="00C53698" w:rsidRPr="00C53698" w:rsidTr="00C53698">
        <w:trPr>
          <w:trHeight w:val="403"/>
        </w:trPr>
        <w:tc>
          <w:tcPr>
            <w:tcW w:w="1282" w:type="pct"/>
            <w:tcBorders>
              <w:top w:val="nil"/>
              <w:left w:val="nil"/>
              <w:bottom w:val="nil"/>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Net Result %</w:t>
            </w:r>
          </w:p>
        </w:tc>
        <w:tc>
          <w:tcPr>
            <w:tcW w:w="347" w:type="pct"/>
            <w:tcBorders>
              <w:top w:val="nil"/>
              <w:left w:val="nil"/>
              <w:bottom w:val="nil"/>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&gt; 0%</w:t>
            </w:r>
          </w:p>
        </w:tc>
        <w:tc>
          <w:tcPr>
            <w:tcW w:w="333"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7.1%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b/>
                <w:bCs/>
                <w:sz w:val="20"/>
                <w:szCs w:val="20"/>
                <w:lang w:eastAsia="en-AU"/>
              </w:rPr>
            </w:pPr>
            <w:r w:rsidRPr="00EA3843">
              <w:rPr>
                <w:rFonts w:eastAsia="Times New Roman" w:cs="Arial"/>
                <w:b/>
                <w:bCs/>
                <w:sz w:val="20"/>
                <w:szCs w:val="20"/>
                <w:lang w:eastAsia="en-AU"/>
              </w:rPr>
              <w:t>25.7%</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19.9%</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6.3%</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6.0%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6.1%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6.5%</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7.1%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7.3%</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7.7%</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8.5%</w:t>
            </w:r>
          </w:p>
        </w:tc>
      </w:tr>
      <w:tr w:rsidR="00C53698" w:rsidRPr="00C53698" w:rsidTr="00C53698">
        <w:trPr>
          <w:trHeight w:val="403"/>
        </w:trPr>
        <w:tc>
          <w:tcPr>
            <w:tcW w:w="1282" w:type="pct"/>
            <w:tcBorders>
              <w:top w:val="nil"/>
              <w:left w:val="nil"/>
              <w:bottom w:val="nil"/>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Liquidity Ratio</w:t>
            </w:r>
          </w:p>
        </w:tc>
        <w:tc>
          <w:tcPr>
            <w:tcW w:w="347" w:type="pct"/>
            <w:tcBorders>
              <w:top w:val="nil"/>
              <w:left w:val="nil"/>
              <w:bottom w:val="nil"/>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&gt; 1.0%</w:t>
            </w:r>
          </w:p>
        </w:tc>
        <w:tc>
          <w:tcPr>
            <w:tcW w:w="333"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1.60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b/>
                <w:bCs/>
                <w:sz w:val="20"/>
                <w:szCs w:val="20"/>
                <w:lang w:eastAsia="en-AU"/>
              </w:rPr>
            </w:pPr>
            <w:r w:rsidRPr="00EA3843">
              <w:rPr>
                <w:rFonts w:eastAsia="Times New Roman" w:cs="Arial"/>
                <w:b/>
                <w:bCs/>
                <w:sz w:val="20"/>
                <w:szCs w:val="20"/>
                <w:lang w:eastAsia="en-AU"/>
              </w:rPr>
              <w:t>1.14</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1.10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1.13</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1.00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1.04</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1.18</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1.31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1.49</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1.66</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1.96</w:t>
            </w:r>
          </w:p>
        </w:tc>
      </w:tr>
      <w:tr w:rsidR="00C53698" w:rsidRPr="00C53698" w:rsidTr="00C53698">
        <w:trPr>
          <w:trHeight w:val="403"/>
        </w:trPr>
        <w:tc>
          <w:tcPr>
            <w:tcW w:w="1282" w:type="pct"/>
            <w:tcBorders>
              <w:top w:val="nil"/>
              <w:left w:val="nil"/>
              <w:bottom w:val="nil"/>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Internal financing %</w:t>
            </w:r>
          </w:p>
        </w:tc>
        <w:tc>
          <w:tcPr>
            <w:tcW w:w="347" w:type="pct"/>
            <w:tcBorders>
              <w:top w:val="nil"/>
              <w:left w:val="nil"/>
              <w:bottom w:val="nil"/>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&gt; 100%</w:t>
            </w:r>
          </w:p>
        </w:tc>
        <w:tc>
          <w:tcPr>
            <w:tcW w:w="333" w:type="pct"/>
            <w:tcBorders>
              <w:top w:val="nil"/>
              <w:left w:val="nil"/>
              <w:bottom w:val="nil"/>
              <w:right w:val="nil"/>
            </w:tcBorders>
            <w:shd w:val="clear" w:color="000000" w:fill="FFFF0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86.7%</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eastAsia="Times New Roman" w:cs="Arial"/>
                <w:b/>
                <w:bCs/>
                <w:sz w:val="20"/>
                <w:szCs w:val="20"/>
                <w:lang w:eastAsia="en-AU"/>
              </w:rPr>
            </w:pPr>
            <w:r w:rsidRPr="00EA3843">
              <w:rPr>
                <w:rFonts w:eastAsia="Times New Roman" w:cs="Arial"/>
                <w:b/>
                <w:bCs/>
                <w:sz w:val="20"/>
                <w:szCs w:val="20"/>
                <w:lang w:eastAsia="en-AU"/>
              </w:rPr>
              <w:t>99.6%</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128.7%</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102.1%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100.1%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112.4%</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125.4%</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125.2%</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126.9%</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124.3%</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135.8%</w:t>
            </w:r>
          </w:p>
        </w:tc>
      </w:tr>
      <w:tr w:rsidR="00C53698" w:rsidRPr="00C53698" w:rsidTr="00C53698">
        <w:trPr>
          <w:trHeight w:val="403"/>
        </w:trPr>
        <w:tc>
          <w:tcPr>
            <w:tcW w:w="1282" w:type="pct"/>
            <w:tcBorders>
              <w:top w:val="nil"/>
              <w:left w:val="nil"/>
              <w:bottom w:val="nil"/>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Indebtedness %</w:t>
            </w:r>
          </w:p>
        </w:tc>
        <w:tc>
          <w:tcPr>
            <w:tcW w:w="347" w:type="pct"/>
            <w:tcBorders>
              <w:top w:val="nil"/>
              <w:left w:val="nil"/>
              <w:bottom w:val="nil"/>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 40%</w:t>
            </w:r>
          </w:p>
        </w:tc>
        <w:tc>
          <w:tcPr>
            <w:tcW w:w="333"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15.0%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b/>
                <w:bCs/>
                <w:sz w:val="20"/>
                <w:szCs w:val="20"/>
                <w:lang w:eastAsia="en-AU"/>
              </w:rPr>
            </w:pPr>
            <w:r w:rsidRPr="00EA3843">
              <w:rPr>
                <w:rFonts w:eastAsia="Times New Roman" w:cs="Arial"/>
                <w:b/>
                <w:bCs/>
                <w:sz w:val="20"/>
                <w:szCs w:val="20"/>
                <w:lang w:eastAsia="en-AU"/>
              </w:rPr>
              <w:t>12.0%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17.3%</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14.9%</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12.4%</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10.1%</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8.0%</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5.8%</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4.5%</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3.2%</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2.6%</w:t>
            </w:r>
          </w:p>
        </w:tc>
      </w:tr>
      <w:tr w:rsidR="00C53698" w:rsidRPr="00C53698" w:rsidTr="00C53698">
        <w:trPr>
          <w:trHeight w:val="403"/>
        </w:trPr>
        <w:tc>
          <w:tcPr>
            <w:tcW w:w="1282" w:type="pct"/>
            <w:tcBorders>
              <w:top w:val="nil"/>
              <w:left w:val="nil"/>
              <w:bottom w:val="nil"/>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Capital replacement ratio</w:t>
            </w:r>
          </w:p>
        </w:tc>
        <w:tc>
          <w:tcPr>
            <w:tcW w:w="347" w:type="pct"/>
            <w:tcBorders>
              <w:top w:val="nil"/>
              <w:left w:val="nil"/>
              <w:bottom w:val="nil"/>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&gt; 1.5%</w:t>
            </w:r>
          </w:p>
        </w:tc>
        <w:tc>
          <w:tcPr>
            <w:tcW w:w="333" w:type="pct"/>
            <w:tcBorders>
              <w:top w:val="nil"/>
              <w:left w:val="nil"/>
              <w:bottom w:val="nil"/>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2.07</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ascii="Calibri" w:eastAsia="Times New Roman" w:hAnsi="Calibri" w:cs="Calibri"/>
                <w:b/>
                <w:bCs/>
                <w:lang w:eastAsia="en-AU"/>
              </w:rPr>
            </w:pPr>
            <w:r w:rsidRPr="00EA3843">
              <w:rPr>
                <w:rFonts w:ascii="Calibri" w:eastAsia="Times New Roman" w:hAnsi="Calibri" w:cs="Calibri"/>
                <w:b/>
                <w:bCs/>
                <w:lang w:eastAsia="en-AU"/>
              </w:rPr>
              <w:t>3.49</w:t>
            </w:r>
          </w:p>
        </w:tc>
        <w:tc>
          <w:tcPr>
            <w:tcW w:w="304" w:type="pct"/>
            <w:tcBorders>
              <w:top w:val="nil"/>
              <w:left w:val="nil"/>
              <w:bottom w:val="nil"/>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2.54</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eastAsia="Times New Roman" w:cs="Arial"/>
                <w:sz w:val="20"/>
                <w:szCs w:val="20"/>
                <w:lang w:eastAsia="en-AU"/>
              </w:rPr>
            </w:pPr>
            <w:r w:rsidRPr="00EA3843">
              <w:rPr>
                <w:rFonts w:eastAsia="Times New Roman" w:cs="Arial"/>
                <w:sz w:val="20"/>
                <w:szCs w:val="20"/>
                <w:lang w:eastAsia="en-AU"/>
              </w:rPr>
              <w:t>1.28</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1.45</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1.27</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1.15</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1.20</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1.19</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1.23</w:t>
            </w:r>
          </w:p>
        </w:tc>
        <w:tc>
          <w:tcPr>
            <w:tcW w:w="304" w:type="pct"/>
            <w:tcBorders>
              <w:top w:val="nil"/>
              <w:left w:val="nil"/>
              <w:bottom w:val="nil"/>
              <w:right w:val="nil"/>
            </w:tcBorders>
            <w:shd w:val="clear" w:color="000000" w:fill="FFFF0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1.15</w:t>
            </w:r>
          </w:p>
        </w:tc>
      </w:tr>
      <w:tr w:rsidR="00C53698" w:rsidRPr="00C53698" w:rsidTr="00C53698">
        <w:trPr>
          <w:trHeight w:val="403"/>
        </w:trPr>
        <w:tc>
          <w:tcPr>
            <w:tcW w:w="1282" w:type="pct"/>
            <w:tcBorders>
              <w:top w:val="nil"/>
              <w:left w:val="nil"/>
              <w:bottom w:val="single" w:sz="8" w:space="0" w:color="auto"/>
              <w:right w:val="nil"/>
            </w:tcBorders>
            <w:shd w:val="clear" w:color="auto" w:fill="auto"/>
            <w:vAlign w:val="center"/>
            <w:hideMark/>
          </w:tcPr>
          <w:p w:rsidR="00C53698" w:rsidRPr="00C53698" w:rsidRDefault="00C53698" w:rsidP="00C53698">
            <w:pPr>
              <w:rPr>
                <w:rFonts w:eastAsia="Times New Roman" w:cs="Arial"/>
                <w:color w:val="000000"/>
                <w:sz w:val="20"/>
                <w:szCs w:val="20"/>
                <w:lang w:eastAsia="en-AU"/>
              </w:rPr>
            </w:pPr>
            <w:r w:rsidRPr="00C53698">
              <w:rPr>
                <w:rFonts w:eastAsia="Times New Roman" w:cs="Arial"/>
                <w:color w:val="000000"/>
                <w:sz w:val="20"/>
                <w:szCs w:val="20"/>
                <w:lang w:eastAsia="en-AU"/>
              </w:rPr>
              <w:t>Renewal gap ratio</w:t>
            </w:r>
          </w:p>
        </w:tc>
        <w:tc>
          <w:tcPr>
            <w:tcW w:w="347" w:type="pct"/>
            <w:tcBorders>
              <w:top w:val="nil"/>
              <w:left w:val="nil"/>
              <w:bottom w:val="single" w:sz="8" w:space="0" w:color="auto"/>
              <w:right w:val="nil"/>
            </w:tcBorders>
            <w:shd w:val="clear" w:color="auto" w:fill="auto"/>
            <w:vAlign w:val="center"/>
            <w:hideMark/>
          </w:tcPr>
          <w:p w:rsidR="00C53698" w:rsidRPr="00C53698" w:rsidRDefault="00C53698" w:rsidP="00C53698">
            <w:pPr>
              <w:jc w:val="center"/>
              <w:rPr>
                <w:rFonts w:eastAsia="Times New Roman" w:cs="Arial"/>
                <w:b/>
                <w:bCs/>
                <w:color w:val="000000"/>
                <w:sz w:val="20"/>
                <w:szCs w:val="20"/>
                <w:lang w:eastAsia="en-AU"/>
              </w:rPr>
            </w:pPr>
            <w:r w:rsidRPr="00C53698">
              <w:rPr>
                <w:rFonts w:eastAsia="Times New Roman" w:cs="Arial"/>
                <w:b/>
                <w:bCs/>
                <w:color w:val="000000"/>
                <w:sz w:val="20"/>
                <w:szCs w:val="20"/>
                <w:lang w:eastAsia="en-AU"/>
              </w:rPr>
              <w:t>&gt; 1.0%</w:t>
            </w:r>
          </w:p>
        </w:tc>
        <w:tc>
          <w:tcPr>
            <w:tcW w:w="333"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1.3</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b/>
                <w:bCs/>
                <w:lang w:eastAsia="en-AU"/>
              </w:rPr>
            </w:pPr>
            <w:r w:rsidRPr="00EA3843">
              <w:rPr>
                <w:rFonts w:ascii="Calibri" w:eastAsia="Times New Roman" w:hAnsi="Calibri" w:cs="Calibri"/>
                <w:b/>
                <w:bCs/>
                <w:lang w:eastAsia="en-AU"/>
              </w:rPr>
              <w:t>1.3</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1.6</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1.2</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1.2</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1.0</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1.1</w:t>
            </w:r>
          </w:p>
        </w:tc>
        <w:tc>
          <w:tcPr>
            <w:tcW w:w="304" w:type="pct"/>
            <w:tcBorders>
              <w:top w:val="nil"/>
              <w:left w:val="nil"/>
              <w:bottom w:val="single" w:sz="8" w:space="0" w:color="auto"/>
              <w:right w:val="nil"/>
            </w:tcBorders>
            <w:shd w:val="clear" w:color="000000" w:fill="92D050"/>
            <w:vAlign w:val="center"/>
            <w:hideMark/>
          </w:tcPr>
          <w:p w:rsidR="00C53698" w:rsidRPr="00EA3843" w:rsidRDefault="00C53698" w:rsidP="00C53698">
            <w:pPr>
              <w:jc w:val="right"/>
              <w:rPr>
                <w:rFonts w:ascii="Calibri" w:eastAsia="Times New Roman" w:hAnsi="Calibri" w:cs="Calibri"/>
                <w:lang w:eastAsia="en-AU"/>
              </w:rPr>
            </w:pPr>
            <w:r w:rsidRPr="00EA3843">
              <w:rPr>
                <w:rFonts w:ascii="Calibri" w:eastAsia="Times New Roman" w:hAnsi="Calibri" w:cs="Calibri"/>
                <w:lang w:eastAsia="en-AU"/>
              </w:rPr>
              <w:t>1.0</w:t>
            </w:r>
          </w:p>
        </w:tc>
      </w:tr>
    </w:tbl>
    <w:p w:rsidR="00B3387E" w:rsidRPr="00D53814" w:rsidRDefault="00B3387E" w:rsidP="00B3387E">
      <w:pPr>
        <w:ind w:left="426"/>
        <w:jc w:val="both"/>
        <w:rPr>
          <w:rFonts w:eastAsia="Times New Roman" w:cs="Arial"/>
          <w:color w:val="FF0000"/>
          <w:szCs w:val="24"/>
        </w:rPr>
      </w:pPr>
    </w:p>
    <w:p w:rsidR="00B3387E" w:rsidRPr="00955864" w:rsidRDefault="00B3387E" w:rsidP="00B3387E">
      <w:pPr>
        <w:ind w:left="426"/>
        <w:jc w:val="both"/>
        <w:rPr>
          <w:rFonts w:eastAsia="Times New Roman" w:cs="Arial"/>
          <w:iCs/>
        </w:rPr>
      </w:pPr>
    </w:p>
    <w:p w:rsidR="00B3387E" w:rsidRDefault="00AC36D6" w:rsidP="00B3387E">
      <w:pPr>
        <w:ind w:left="426"/>
        <w:jc w:val="both"/>
        <w:rPr>
          <w:rFonts w:eastAsia="Times New Roman" w:cs="Arial"/>
          <w:szCs w:val="20"/>
        </w:rPr>
      </w:pPr>
      <w:r>
        <w:rPr>
          <w:rFonts w:eastAsia="Times New Roman" w:cs="Arial"/>
          <w:szCs w:val="20"/>
        </w:rPr>
        <w:t xml:space="preserve">The ratios are benchmarked against </w:t>
      </w:r>
      <w:r w:rsidR="00EA3843">
        <w:rPr>
          <w:rFonts w:eastAsia="Times New Roman" w:cs="Arial"/>
          <w:szCs w:val="20"/>
        </w:rPr>
        <w:t xml:space="preserve">the VAGO indicators and even though the medium (yellow) level risks can be identified in the table, those levels as noted above are still at acceptable levels, given the impacts that COVID-19 has had on some of the ratios. </w:t>
      </w:r>
      <w:proofErr w:type="gramStart"/>
      <w:r w:rsidR="00EA3843">
        <w:rPr>
          <w:rFonts w:eastAsia="Times New Roman" w:cs="Arial"/>
          <w:szCs w:val="20"/>
        </w:rPr>
        <w:t>So</w:t>
      </w:r>
      <w:proofErr w:type="gramEnd"/>
      <w:r w:rsidR="00EA3843">
        <w:rPr>
          <w:rFonts w:eastAsia="Times New Roman" w:cs="Arial"/>
          <w:szCs w:val="20"/>
        </w:rPr>
        <w:t xml:space="preserve"> although the impact of COVID-19 has been significant, Council has still been able to maintain levels of risk in low and medium risk ratings once benchmarked against the VAGO </w:t>
      </w:r>
      <w:proofErr w:type="spellStart"/>
      <w:r w:rsidR="00EA3843">
        <w:rPr>
          <w:rFonts w:eastAsia="Times New Roman" w:cs="Arial"/>
          <w:szCs w:val="20"/>
        </w:rPr>
        <w:t>meaure</w:t>
      </w:r>
      <w:proofErr w:type="spellEnd"/>
      <w:r w:rsidR="00EA3843">
        <w:rPr>
          <w:rFonts w:eastAsia="Times New Roman" w:cs="Arial"/>
          <w:szCs w:val="20"/>
        </w:rPr>
        <w:t>.</w:t>
      </w:r>
    </w:p>
    <w:p w:rsidR="00961BF7" w:rsidRDefault="00961BF7">
      <w:pPr>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sectPr w:rsidR="0035757A" w:rsidSect="0035757A">
          <w:footerReference w:type="first" r:id="rId22"/>
          <w:pgSz w:w="16838" w:h="11906" w:orient="landscape"/>
          <w:pgMar w:top="720" w:right="720" w:bottom="720" w:left="720" w:header="708" w:footer="708" w:gutter="0"/>
          <w:cols w:space="708"/>
          <w:titlePg/>
          <w:docGrid w:linePitch="360"/>
        </w:sectPr>
      </w:pPr>
    </w:p>
    <w:p w:rsidR="00DD72CE" w:rsidRPr="0029462D" w:rsidRDefault="00DD72CE" w:rsidP="00DD72CE">
      <w:pPr>
        <w:jc w:val="both"/>
        <w:rPr>
          <w:rFonts w:eastAsia="Times New Roman" w:cs="Arial"/>
          <w:lang w:eastAsia="en-AU"/>
        </w:rPr>
      </w:pPr>
    </w:p>
    <w:p w:rsidR="00DD72CE" w:rsidRPr="00DA19ED" w:rsidRDefault="00961BF7" w:rsidP="00DD72CE">
      <w:pPr>
        <w:rPr>
          <w:rFonts w:eastAsia="Times New Roman" w:cs="Arial"/>
          <w:noProof/>
          <w:color w:val="4A66AC" w:themeColor="accent1"/>
          <w:szCs w:val="20"/>
          <w:lang w:eastAsia="en-AU"/>
        </w:rPr>
      </w:pPr>
      <w:r w:rsidRPr="007E3A0B">
        <w:rPr>
          <w:rFonts w:eastAsia="Times New Roman" w:cs="Arial"/>
          <w:b/>
          <w:bCs/>
          <w:color w:val="4A66AC" w:themeColor="accent1"/>
          <w:lang w:eastAsia="en-AU"/>
        </w:rPr>
        <w:t>3</w:t>
      </w:r>
      <w:r w:rsidR="00DD72CE" w:rsidRPr="007E3A0B">
        <w:rPr>
          <w:rFonts w:eastAsia="Times New Roman" w:cs="Arial"/>
          <w:b/>
          <w:bCs/>
          <w:color w:val="4A66AC" w:themeColor="accent1"/>
          <w:lang w:eastAsia="en-AU"/>
        </w:rPr>
        <w:t>.7 Strategic objectives</w:t>
      </w:r>
      <w:r w:rsidR="00DD72CE" w:rsidRPr="00DA19ED">
        <w:rPr>
          <w:rFonts w:eastAsia="Times New Roman" w:cs="Arial"/>
          <w:noProof/>
          <w:color w:val="4A66AC" w:themeColor="accent1"/>
          <w:szCs w:val="20"/>
          <w:lang w:eastAsia="en-AU"/>
        </w:rPr>
        <w:t xml:space="preserve"> </w:t>
      </w:r>
    </w:p>
    <w:p w:rsidR="00DD72CE" w:rsidRPr="0029462D" w:rsidRDefault="00597BAB" w:rsidP="00DD72CE">
      <w:pPr>
        <w:jc w:val="both"/>
        <w:rPr>
          <w:rFonts w:eastAsia="Times New Roman" w:cs="Arial"/>
          <w:szCs w:val="20"/>
        </w:rPr>
      </w:pPr>
      <w:r>
        <w:rPr>
          <w:noProof/>
        </w:rPr>
        <w:drawing>
          <wp:inline distT="0" distB="0" distL="0" distR="0" wp14:anchorId="2C5D6424" wp14:editId="17EDFFE8">
            <wp:extent cx="6645910" cy="4527550"/>
            <wp:effectExtent l="0" t="0" r="2540" b="6350"/>
            <wp:docPr id="3" name="Chart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D72CE"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Source: Section 2</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r w:rsidRPr="0029462D">
        <w:rPr>
          <w:rFonts w:eastAsia="Times New Roman" w:cs="Arial"/>
          <w:lang w:eastAsia="en-AU"/>
        </w:rPr>
        <w:t>The Annual Budget includes a range of services and initiatives to be funded that will contribute to achieving the strategic objectives specified in the Council Plan. The above graph shows the level of funding allocated in the budget to achieve the strategic objectives as set out in the Council Plan for the 20</w:t>
      </w:r>
      <w:r w:rsidR="00BF5920">
        <w:rPr>
          <w:rFonts w:eastAsia="Times New Roman" w:cs="Arial"/>
          <w:lang w:eastAsia="en-AU"/>
        </w:rPr>
        <w:t>20</w:t>
      </w:r>
      <w:r w:rsidRPr="0029462D">
        <w:rPr>
          <w:rFonts w:eastAsia="Times New Roman" w:cs="Arial"/>
          <w:lang w:eastAsia="en-AU"/>
        </w:rPr>
        <w:t>/</w:t>
      </w:r>
      <w:r w:rsidR="004416E4">
        <w:rPr>
          <w:rFonts w:eastAsia="Times New Roman" w:cs="Arial"/>
          <w:lang w:eastAsia="en-AU"/>
        </w:rPr>
        <w:t>2</w:t>
      </w:r>
      <w:r w:rsidR="00BF5920">
        <w:rPr>
          <w:rFonts w:eastAsia="Times New Roman" w:cs="Arial"/>
          <w:lang w:eastAsia="en-AU"/>
        </w:rPr>
        <w:t>1</w:t>
      </w:r>
      <w:r w:rsidRPr="0029462D">
        <w:rPr>
          <w:rFonts w:eastAsia="Times New Roman" w:cs="Arial"/>
          <w:lang w:eastAsia="en-AU"/>
        </w:rPr>
        <w:t xml:space="preserve"> year.</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Default="00DD72CE" w:rsidP="00DD72CE">
      <w:pPr>
        <w:rPr>
          <w:rFonts w:eastAsia="Times New Roman" w:cs="Arial"/>
          <w:lang w:eastAsia="en-AU"/>
        </w:rPr>
      </w:pPr>
      <w:r>
        <w:rPr>
          <w:rFonts w:eastAsia="Times New Roman" w:cs="Arial"/>
          <w:lang w:eastAsia="en-AU"/>
        </w:rPr>
        <w:br w:type="page"/>
      </w:r>
    </w:p>
    <w:p w:rsidR="00DD72CE" w:rsidRPr="00EB48F2" w:rsidRDefault="00327B31" w:rsidP="00DD72CE">
      <w:pPr>
        <w:jc w:val="both"/>
        <w:rPr>
          <w:rFonts w:eastAsia="Times New Roman" w:cs="Arial"/>
          <w:b/>
          <w:bCs/>
          <w:color w:val="4A66AC" w:themeColor="accent1"/>
          <w:lang w:eastAsia="en-AU"/>
        </w:rPr>
      </w:pPr>
      <w:r w:rsidRPr="007E3A0B">
        <w:rPr>
          <w:rFonts w:eastAsia="Times New Roman" w:cs="Arial"/>
          <w:b/>
          <w:bCs/>
          <w:color w:val="4A66AC" w:themeColor="accent1"/>
          <w:lang w:eastAsia="en-AU"/>
        </w:rPr>
        <w:lastRenderedPageBreak/>
        <w:t>3</w:t>
      </w:r>
      <w:r w:rsidR="00DD72CE" w:rsidRPr="007E3A0B">
        <w:rPr>
          <w:rFonts w:eastAsia="Times New Roman" w:cs="Arial"/>
          <w:b/>
          <w:bCs/>
          <w:color w:val="4A66AC" w:themeColor="accent1"/>
          <w:lang w:eastAsia="en-AU"/>
        </w:rPr>
        <w:t>.8 Council net expenditure allocations per $100</w:t>
      </w:r>
    </w:p>
    <w:p w:rsidR="00DD72CE" w:rsidRPr="0029462D" w:rsidRDefault="00DD72CE" w:rsidP="00DD72CE">
      <w:pPr>
        <w:ind w:firstLine="720"/>
        <w:jc w:val="both"/>
        <w:rPr>
          <w:rFonts w:eastAsia="Times New Roman" w:cs="Arial"/>
          <w:b/>
          <w:bCs/>
          <w:color w:val="C00000"/>
          <w:lang w:eastAsia="en-AU"/>
        </w:rPr>
      </w:pPr>
    </w:p>
    <w:p w:rsidR="00DD72CE" w:rsidRPr="0029462D" w:rsidRDefault="00DD72CE" w:rsidP="00DD72CE">
      <w:pPr>
        <w:jc w:val="both"/>
        <w:rPr>
          <w:rFonts w:eastAsia="Times New Roman" w:cs="Arial"/>
          <w:sz w:val="20"/>
          <w:szCs w:val="20"/>
          <w:lang w:eastAsia="en-AU"/>
        </w:rPr>
      </w:pPr>
    </w:p>
    <w:p w:rsidR="00DD72CE" w:rsidRPr="0029462D" w:rsidRDefault="00BE1381" w:rsidP="00DD72CE">
      <w:pPr>
        <w:jc w:val="center"/>
        <w:rPr>
          <w:rFonts w:eastAsia="Times New Roman" w:cs="Arial"/>
          <w:sz w:val="20"/>
          <w:szCs w:val="20"/>
          <w:lang w:eastAsia="en-AU"/>
        </w:rPr>
      </w:pPr>
      <w:r>
        <w:rPr>
          <w:noProof/>
        </w:rPr>
        <w:drawing>
          <wp:inline distT="0" distB="0" distL="0" distR="0" wp14:anchorId="7F3CE453" wp14:editId="5E102ED9">
            <wp:extent cx="5975350" cy="4140200"/>
            <wp:effectExtent l="0" t="0" r="6350" b="0"/>
            <wp:docPr id="2" name="Chart 2">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72CE" w:rsidRPr="0029462D" w:rsidRDefault="00DD72CE" w:rsidP="00DD72CE">
      <w:pPr>
        <w:jc w:val="both"/>
        <w:rPr>
          <w:rFonts w:eastAsia="Times New Roman" w:cs="Arial"/>
          <w:sz w:val="20"/>
          <w:szCs w:val="20"/>
          <w:lang w:eastAsia="en-AU"/>
        </w:rPr>
      </w:pPr>
      <w:r w:rsidRPr="0029462D">
        <w:rPr>
          <w:rFonts w:ascii="Book Antiqua" w:eastAsia="Times New Roman" w:hAnsi="Book Antiqua"/>
          <w:szCs w:val="20"/>
        </w:rPr>
        <w:t xml:space="preserve"> </w:t>
      </w:r>
    </w:p>
    <w:p w:rsidR="00DD72CE" w:rsidRPr="0029462D" w:rsidRDefault="00DD72CE" w:rsidP="00DD72CE">
      <w:pPr>
        <w:jc w:val="both"/>
        <w:rPr>
          <w:rFonts w:eastAsia="Times New Roman" w:cs="Arial"/>
          <w:color w:val="FF0000"/>
          <w:sz w:val="20"/>
          <w:szCs w:val="20"/>
          <w:lang w:eastAsia="en-AU"/>
        </w:rPr>
      </w:pPr>
    </w:p>
    <w:p w:rsidR="00DD72CE" w:rsidRPr="0029462D" w:rsidRDefault="00DD72CE" w:rsidP="00DD72CE">
      <w:pPr>
        <w:jc w:val="both"/>
        <w:rPr>
          <w:rFonts w:eastAsia="Times New Roman" w:cs="Arial"/>
          <w:lang w:eastAsia="en-AU"/>
        </w:rPr>
      </w:pPr>
      <w:r w:rsidRPr="0029462D">
        <w:rPr>
          <w:rFonts w:eastAsia="Times New Roman" w:cs="Arial"/>
          <w:lang w:eastAsia="en-AU"/>
        </w:rPr>
        <w:t xml:space="preserve">The above chart provides an indication of how Council allocates its expenditure across the main services that it delivers.  It shows how much is allocated to each service for every $100 that Council spends. </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b/>
          <w:color w:val="C00000"/>
          <w:sz w:val="28"/>
          <w:szCs w:val="28"/>
        </w:rPr>
      </w:pPr>
      <w:r w:rsidRPr="0029462D">
        <w:rPr>
          <w:rFonts w:eastAsia="Times New Roman" w:cs="Arial"/>
        </w:rPr>
        <w:t>This budget has been developed through a rigorous process of consultation and review and management endorses it as financially responsible.</w:t>
      </w:r>
      <w:r w:rsidRPr="0029462D">
        <w:rPr>
          <w:rFonts w:eastAsia="Times New Roman" w:cs="Arial"/>
          <w:lang w:eastAsia="en-AU"/>
        </w:rPr>
        <w:t xml:space="preserve"> More detailed budget information is available throughout this document.</w:t>
      </w:r>
    </w:p>
    <w:p w:rsidR="00F82EC1" w:rsidRDefault="00F82EC1">
      <w:pPr>
        <w:rPr>
          <w:rFonts w:eastAsia="Times New Roman" w:cs="Arial"/>
          <w:b/>
          <w:color w:val="C00000"/>
          <w:sz w:val="28"/>
          <w:szCs w:val="28"/>
        </w:rPr>
      </w:pPr>
      <w:r>
        <w:rPr>
          <w:rFonts w:eastAsia="Times New Roman" w:cs="Arial"/>
          <w:b/>
          <w:color w:val="C00000"/>
          <w:sz w:val="28"/>
          <w:szCs w:val="28"/>
        </w:rPr>
        <w:br w:type="page"/>
      </w:r>
    </w:p>
    <w:p w:rsidR="00DD72CE" w:rsidRPr="0029462D" w:rsidRDefault="00DD72CE" w:rsidP="00DD72CE">
      <w:pPr>
        <w:rPr>
          <w:rFonts w:eastAsia="Times New Roman" w:cs="Arial"/>
          <w:b/>
          <w:color w:val="C00000"/>
          <w:sz w:val="28"/>
          <w:szCs w:val="28"/>
        </w:rPr>
      </w:pPr>
    </w:p>
    <w:p w:rsidR="007308C5" w:rsidRPr="00F071A8" w:rsidRDefault="00F071A8" w:rsidP="007308C5">
      <w:pPr>
        <w:pStyle w:val="Heading3"/>
        <w:rPr>
          <w:i w:val="0"/>
          <w:lang w:eastAsia="en-AU"/>
        </w:rPr>
      </w:pPr>
      <w:bookmarkStart w:id="127" w:name="_Toc4056376"/>
      <w:r w:rsidRPr="007E3A0B">
        <w:rPr>
          <w:i w:val="0"/>
          <w:lang w:eastAsia="en-AU"/>
        </w:rPr>
        <w:t>4</w:t>
      </w:r>
      <w:r w:rsidR="007308C5" w:rsidRPr="007E3A0B">
        <w:rPr>
          <w:i w:val="0"/>
          <w:lang w:eastAsia="en-AU"/>
        </w:rPr>
        <w:t>. Budget influences</w:t>
      </w:r>
      <w:bookmarkEnd w:id="127"/>
    </w:p>
    <w:p w:rsidR="007308C5" w:rsidRPr="0029462D" w:rsidRDefault="007308C5" w:rsidP="007308C5">
      <w:pPr>
        <w:rPr>
          <w:rFonts w:eastAsia="Arial" w:cs="Arial"/>
          <w:color w:val="000000" w:themeColor="text1"/>
          <w:spacing w:val="2"/>
          <w:szCs w:val="20"/>
        </w:rPr>
      </w:pPr>
    </w:p>
    <w:p w:rsidR="007308C5" w:rsidRPr="0029462D" w:rsidRDefault="007308C5" w:rsidP="007308C5">
      <w:pPr>
        <w:jc w:val="both"/>
        <w:rPr>
          <w:rFonts w:eastAsia="Times New Roman" w:cs="Arial"/>
          <w:b/>
          <w:bCs/>
          <w:color w:val="CC0000"/>
          <w:sz w:val="26"/>
          <w:szCs w:val="26"/>
          <w:lang w:eastAsia="en-AU"/>
        </w:rPr>
      </w:pPr>
      <w:r w:rsidRPr="0029462D">
        <w:rPr>
          <w:rFonts w:eastAsia="Arial" w:cs="Arial"/>
          <w:color w:val="000000" w:themeColor="text1"/>
          <w:spacing w:val="2"/>
          <w:szCs w:val="20"/>
        </w:rPr>
        <w:t>T</w:t>
      </w:r>
      <w:r w:rsidRPr="0029462D">
        <w:rPr>
          <w:rFonts w:eastAsia="Arial" w:cs="Arial"/>
          <w:color w:val="000000" w:themeColor="text1"/>
          <w:szCs w:val="20"/>
        </w:rPr>
        <w:t>his section sets out the key budget influences arising from the internal and external environment within</w:t>
      </w:r>
      <w:r w:rsidR="005906E7">
        <w:rPr>
          <w:rFonts w:eastAsia="Arial" w:cs="Arial"/>
          <w:color w:val="000000" w:themeColor="text1"/>
          <w:szCs w:val="20"/>
        </w:rPr>
        <w:t xml:space="preserve"> which</w:t>
      </w:r>
      <w:r w:rsidRPr="0029462D">
        <w:rPr>
          <w:rFonts w:eastAsia="Arial" w:cs="Arial"/>
          <w:color w:val="000000" w:themeColor="text1"/>
          <w:szCs w:val="20"/>
        </w:rPr>
        <w:t xml:space="preserve"> the Council operate</w:t>
      </w:r>
      <w:r w:rsidR="00287137">
        <w:rPr>
          <w:rFonts w:eastAsia="Arial" w:cs="Arial"/>
          <w:color w:val="000000" w:themeColor="text1"/>
          <w:szCs w:val="20"/>
        </w:rPr>
        <w:t>s</w:t>
      </w:r>
      <w:r w:rsidRPr="0029462D">
        <w:rPr>
          <w:rFonts w:eastAsia="Arial" w:cs="Arial"/>
          <w:color w:val="000000" w:themeColor="text1"/>
          <w:szCs w:val="20"/>
        </w:rPr>
        <w:t>.</w:t>
      </w:r>
    </w:p>
    <w:p w:rsidR="007308C5" w:rsidRPr="0029462D" w:rsidRDefault="007308C5" w:rsidP="007308C5">
      <w:pPr>
        <w:rPr>
          <w:rFonts w:eastAsia="Times New Roman" w:cs="Arial"/>
          <w:b/>
          <w:bCs/>
          <w:color w:val="CC0000"/>
          <w:sz w:val="26"/>
          <w:szCs w:val="26"/>
          <w:lang w:eastAsia="en-AU"/>
        </w:rPr>
      </w:pPr>
    </w:p>
    <w:p w:rsidR="007308C5" w:rsidRPr="005329AE" w:rsidRDefault="00F071A8" w:rsidP="007308C5">
      <w:pPr>
        <w:rPr>
          <w:rFonts w:eastAsia="Times New Roman" w:cs="Arial"/>
          <w:color w:val="4A66AC" w:themeColor="accent1"/>
          <w:szCs w:val="20"/>
        </w:rPr>
      </w:pPr>
      <w:r>
        <w:rPr>
          <w:rFonts w:eastAsia="Times New Roman" w:cs="Arial"/>
          <w:b/>
          <w:color w:val="4A66AC" w:themeColor="accent1"/>
        </w:rPr>
        <w:t>4</w:t>
      </w:r>
      <w:r w:rsidR="007308C5" w:rsidRPr="005329AE">
        <w:rPr>
          <w:rFonts w:eastAsia="Times New Roman" w:cs="Arial"/>
          <w:b/>
          <w:color w:val="4A66AC" w:themeColor="accent1"/>
        </w:rPr>
        <w:t xml:space="preserve">.1 </w:t>
      </w:r>
      <w:r>
        <w:rPr>
          <w:rFonts w:eastAsia="Times New Roman" w:cs="Arial"/>
          <w:b/>
          <w:color w:val="4A66AC" w:themeColor="accent1"/>
        </w:rPr>
        <w:t>Budget implications</w:t>
      </w:r>
      <w:r w:rsidR="007308C5" w:rsidRPr="005329AE">
        <w:rPr>
          <w:rFonts w:eastAsia="Times New Roman" w:cs="Arial"/>
          <w:color w:val="4A66AC" w:themeColor="accent1"/>
          <w:szCs w:val="20"/>
        </w:rPr>
        <w:t xml:space="preserve"> </w:t>
      </w:r>
    </w:p>
    <w:p w:rsidR="007308C5" w:rsidRPr="0029462D" w:rsidRDefault="007308C5" w:rsidP="007308C5">
      <w:pPr>
        <w:rPr>
          <w:rFonts w:eastAsia="Times New Roman" w:cs="Arial"/>
          <w:b/>
          <w:bCs/>
          <w:color w:val="CC0000"/>
          <w:sz w:val="26"/>
          <w:szCs w:val="26"/>
          <w:lang w:eastAsia="en-AU"/>
        </w:rPr>
      </w:pPr>
    </w:p>
    <w:p w:rsidR="007308C5" w:rsidRPr="0029462D" w:rsidRDefault="007308C5" w:rsidP="007308C5">
      <w:pPr>
        <w:spacing w:after="120"/>
        <w:jc w:val="both"/>
        <w:rPr>
          <w:rFonts w:eastAsia="Times New Roman" w:cs="Arial"/>
          <w:szCs w:val="20"/>
        </w:rPr>
      </w:pPr>
      <w:r w:rsidRPr="0029462D">
        <w:rPr>
          <w:rFonts w:eastAsia="Times New Roman" w:cs="Arial"/>
          <w:szCs w:val="20"/>
        </w:rPr>
        <w:t>In framing the 20</w:t>
      </w:r>
      <w:r w:rsidR="008D5326">
        <w:rPr>
          <w:rFonts w:eastAsia="Times New Roman" w:cs="Arial"/>
          <w:szCs w:val="20"/>
        </w:rPr>
        <w:t>20</w:t>
      </w:r>
      <w:r w:rsidRPr="0029462D">
        <w:rPr>
          <w:rFonts w:eastAsia="Times New Roman" w:cs="Arial"/>
          <w:szCs w:val="20"/>
        </w:rPr>
        <w:t>/</w:t>
      </w:r>
      <w:r w:rsidR="00CA63F2">
        <w:rPr>
          <w:rFonts w:eastAsia="Times New Roman" w:cs="Arial"/>
          <w:szCs w:val="20"/>
        </w:rPr>
        <w:t>2</w:t>
      </w:r>
      <w:r w:rsidR="008D5326">
        <w:rPr>
          <w:rFonts w:eastAsia="Times New Roman" w:cs="Arial"/>
          <w:szCs w:val="20"/>
        </w:rPr>
        <w:t>1</w:t>
      </w:r>
      <w:r w:rsidRPr="0029462D">
        <w:rPr>
          <w:rFonts w:eastAsia="Times New Roman" w:cs="Arial"/>
          <w:szCs w:val="20"/>
        </w:rPr>
        <w:t xml:space="preserve"> Budget Council</w:t>
      </w:r>
      <w:r>
        <w:rPr>
          <w:rFonts w:eastAsia="Times New Roman" w:cs="Arial"/>
          <w:szCs w:val="20"/>
        </w:rPr>
        <w:t xml:space="preserve"> has</w:t>
      </w:r>
      <w:r w:rsidRPr="0029462D">
        <w:rPr>
          <w:rFonts w:eastAsia="Times New Roman" w:cs="Arial"/>
          <w:szCs w:val="20"/>
        </w:rPr>
        <w:t xml:space="preserve"> not only focus</w:t>
      </w:r>
      <w:r>
        <w:rPr>
          <w:rFonts w:eastAsia="Times New Roman" w:cs="Arial"/>
          <w:szCs w:val="20"/>
        </w:rPr>
        <w:t>sed</w:t>
      </w:r>
      <w:r w:rsidRPr="0029462D">
        <w:rPr>
          <w:rFonts w:eastAsia="Times New Roman" w:cs="Arial"/>
          <w:szCs w:val="20"/>
        </w:rPr>
        <w:t xml:space="preserve"> on its key directions (strategies) and priority actions (major initiatives</w:t>
      </w:r>
      <w:r>
        <w:rPr>
          <w:rFonts w:eastAsia="Times New Roman" w:cs="Arial"/>
          <w:szCs w:val="20"/>
        </w:rPr>
        <w:t xml:space="preserve"> and initiatives</w:t>
      </w:r>
      <w:r w:rsidRPr="0029462D">
        <w:rPr>
          <w:rFonts w:eastAsia="Times New Roman" w:cs="Arial"/>
          <w:szCs w:val="20"/>
        </w:rPr>
        <w:t>) as contained in the Council Plan but</w:t>
      </w:r>
      <w:r>
        <w:rPr>
          <w:rFonts w:eastAsia="Times New Roman" w:cs="Arial"/>
          <w:szCs w:val="20"/>
        </w:rPr>
        <w:t xml:space="preserve"> has</w:t>
      </w:r>
      <w:r w:rsidRPr="0029462D">
        <w:rPr>
          <w:rFonts w:eastAsia="Times New Roman" w:cs="Arial"/>
          <w:szCs w:val="20"/>
        </w:rPr>
        <w:t xml:space="preserve"> also accommodate</w:t>
      </w:r>
      <w:r>
        <w:rPr>
          <w:rFonts w:eastAsia="Times New Roman" w:cs="Arial"/>
          <w:szCs w:val="20"/>
        </w:rPr>
        <w:t>d</w:t>
      </w:r>
      <w:r w:rsidRPr="0029462D">
        <w:rPr>
          <w:rFonts w:eastAsia="Times New Roman" w:cs="Arial"/>
          <w:szCs w:val="20"/>
        </w:rPr>
        <w:t xml:space="preserve"> significant external influences on its planned levels of revenue and expenditure.  </w:t>
      </w:r>
      <w:proofErr w:type="gramStart"/>
      <w:r w:rsidRPr="0029462D">
        <w:rPr>
          <w:rFonts w:eastAsia="Times New Roman" w:cs="Arial"/>
          <w:szCs w:val="20"/>
        </w:rPr>
        <w:t>In particular, Council</w:t>
      </w:r>
      <w:proofErr w:type="gramEnd"/>
      <w:r w:rsidRPr="0029462D">
        <w:rPr>
          <w:rFonts w:eastAsia="Times New Roman" w:cs="Arial"/>
          <w:szCs w:val="20"/>
        </w:rPr>
        <w:t xml:space="preserve"> operates in a highly regulated environment and decisions by other levels of government and the private sector can have major impacts locally. </w:t>
      </w:r>
    </w:p>
    <w:p w:rsidR="007308C5" w:rsidRDefault="007308C5" w:rsidP="007308C5">
      <w:pPr>
        <w:spacing w:after="120"/>
        <w:jc w:val="both"/>
        <w:rPr>
          <w:rFonts w:eastAsia="Times New Roman" w:cs="Arial"/>
          <w:szCs w:val="20"/>
        </w:rPr>
      </w:pPr>
      <w:r w:rsidRPr="0029462D">
        <w:rPr>
          <w:rFonts w:eastAsia="Times New Roman" w:cs="Arial"/>
          <w:szCs w:val="20"/>
        </w:rPr>
        <w:t xml:space="preserve">Whilst such influences are outside the control of Council, others arise </w:t>
      </w:r>
      <w:proofErr w:type="gramStart"/>
      <w:r w:rsidRPr="0029462D">
        <w:rPr>
          <w:rFonts w:eastAsia="Times New Roman" w:cs="Arial"/>
          <w:szCs w:val="20"/>
        </w:rPr>
        <w:t>as a result of</w:t>
      </w:r>
      <w:proofErr w:type="gramEnd"/>
      <w:r w:rsidRPr="0029462D">
        <w:rPr>
          <w:rFonts w:eastAsia="Times New Roman" w:cs="Arial"/>
          <w:szCs w:val="20"/>
        </w:rPr>
        <w:t xml:space="preserve"> decisions taken and policies adopted in response to community priorities, the drive for continuous improvement, innovation and the requirement for ongoing sound financial management.  The major influences are listed on the next few pages.</w:t>
      </w:r>
    </w:p>
    <w:p w:rsidR="007308C5" w:rsidRPr="0029462D" w:rsidRDefault="007308C5" w:rsidP="007308C5">
      <w:pPr>
        <w:spacing w:after="120"/>
        <w:jc w:val="both"/>
        <w:rPr>
          <w:rFonts w:eastAsia="Times New Roman" w:cs="Arial"/>
          <w:szCs w:val="20"/>
        </w:rPr>
      </w:pPr>
      <w:r w:rsidRPr="0029462D">
        <w:rPr>
          <w:rFonts w:eastAsia="Times New Roman" w:cs="Arial"/>
          <w:szCs w:val="20"/>
        </w:rPr>
        <w:t>Notwithstanding their effect, Council’s Budget will deliver outcomes that:</w:t>
      </w:r>
    </w:p>
    <w:p w:rsidR="007308C5"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P</w:t>
      </w:r>
      <w:r w:rsidR="007308C5" w:rsidRPr="0029462D">
        <w:rPr>
          <w:rFonts w:eastAsia="Times New Roman" w:cs="Arial"/>
          <w:szCs w:val="20"/>
        </w:rPr>
        <w:t>rovide for the ongoing maintenance of its wide range of quality services to the community;</w:t>
      </w:r>
    </w:p>
    <w:p w:rsidR="007308C5" w:rsidRPr="0029462D"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B</w:t>
      </w:r>
      <w:r w:rsidR="007308C5" w:rsidRPr="0029462D">
        <w:rPr>
          <w:rFonts w:eastAsia="Times New Roman" w:cs="Arial"/>
          <w:szCs w:val="20"/>
        </w:rPr>
        <w:t xml:space="preserve">uild on its existing firm financial base to continue its strategy to improve its </w:t>
      </w:r>
      <w:proofErr w:type="gramStart"/>
      <w:r w:rsidR="007308C5" w:rsidRPr="0029462D">
        <w:rPr>
          <w:rFonts w:eastAsia="Times New Roman" w:cs="Arial"/>
          <w:szCs w:val="20"/>
        </w:rPr>
        <w:t>long term</w:t>
      </w:r>
      <w:proofErr w:type="gramEnd"/>
      <w:r w:rsidR="007308C5" w:rsidRPr="0029462D">
        <w:rPr>
          <w:rFonts w:eastAsia="Times New Roman" w:cs="Arial"/>
          <w:szCs w:val="20"/>
        </w:rPr>
        <w:t xml:space="preserve"> financial viability;</w:t>
      </w:r>
    </w:p>
    <w:p w:rsidR="007308C5" w:rsidRPr="0029462D"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S</w:t>
      </w:r>
      <w:r w:rsidR="007308C5" w:rsidRPr="0029462D">
        <w:rPr>
          <w:rFonts w:eastAsia="Times New Roman" w:cs="Arial"/>
          <w:szCs w:val="20"/>
        </w:rPr>
        <w:t xml:space="preserve">trike an appropriate balance between today’s and future generations in respect of the funding of its operations and the development and maintenance of its </w:t>
      </w:r>
      <w:proofErr w:type="gramStart"/>
      <w:r w:rsidR="007308C5" w:rsidRPr="0029462D">
        <w:rPr>
          <w:rFonts w:eastAsia="Times New Roman" w:cs="Arial"/>
          <w:szCs w:val="20"/>
        </w:rPr>
        <w:t>long term</w:t>
      </w:r>
      <w:proofErr w:type="gramEnd"/>
      <w:r w:rsidR="007308C5" w:rsidRPr="0029462D">
        <w:rPr>
          <w:rFonts w:eastAsia="Times New Roman" w:cs="Arial"/>
          <w:szCs w:val="20"/>
        </w:rPr>
        <w:t xml:space="preserve"> assets; and</w:t>
      </w:r>
    </w:p>
    <w:p w:rsidR="007308C5" w:rsidRDefault="003B44DE" w:rsidP="00274DF7">
      <w:pPr>
        <w:numPr>
          <w:ilvl w:val="0"/>
          <w:numId w:val="8"/>
        </w:numPr>
        <w:tabs>
          <w:tab w:val="num" w:pos="426"/>
        </w:tabs>
        <w:spacing w:after="200" w:line="276" w:lineRule="auto"/>
        <w:ind w:left="426" w:hanging="426"/>
        <w:contextualSpacing/>
        <w:jc w:val="both"/>
        <w:rPr>
          <w:rFonts w:cs="Arial"/>
        </w:rPr>
      </w:pPr>
      <w:r>
        <w:rPr>
          <w:rFonts w:cs="Arial"/>
        </w:rPr>
        <w:t>S</w:t>
      </w:r>
      <w:r w:rsidR="007308C5" w:rsidRPr="0029462D">
        <w:rPr>
          <w:rFonts w:cs="Arial"/>
        </w:rPr>
        <w:t>upport</w:t>
      </w:r>
      <w:r w:rsidR="007308C5" w:rsidRPr="0029462D">
        <w:rPr>
          <w:rFonts w:cs="Arial"/>
          <w:color w:val="FF0000"/>
        </w:rPr>
        <w:t xml:space="preserve"> </w:t>
      </w:r>
      <w:r w:rsidR="007308C5" w:rsidRPr="0029462D">
        <w:rPr>
          <w:rFonts w:cs="Arial"/>
        </w:rPr>
        <w:t>an organisational and administrative framework that will assist in ensuring the provision of continued good governance.</w:t>
      </w:r>
    </w:p>
    <w:p w:rsidR="007308C5" w:rsidRPr="0029462D" w:rsidRDefault="007308C5" w:rsidP="007308C5">
      <w:pPr>
        <w:spacing w:after="200" w:line="276" w:lineRule="auto"/>
        <w:ind w:left="426"/>
        <w:contextualSpacing/>
        <w:jc w:val="both"/>
        <w:rPr>
          <w:rFonts w:cs="Arial"/>
        </w:rPr>
      </w:pPr>
    </w:p>
    <w:p w:rsidR="007308C5" w:rsidRPr="008F1692" w:rsidRDefault="00F071A8" w:rsidP="007308C5">
      <w:pPr>
        <w:rPr>
          <w:rFonts w:eastAsia="Times New Roman" w:cs="Arial"/>
          <w:b/>
          <w:bCs/>
          <w:color w:val="4A66AC" w:themeColor="accent1"/>
          <w:sz w:val="26"/>
          <w:szCs w:val="26"/>
          <w:lang w:eastAsia="en-AU"/>
        </w:rPr>
      </w:pPr>
      <w:r>
        <w:rPr>
          <w:rFonts w:eastAsia="Times New Roman" w:cs="Arial"/>
          <w:b/>
          <w:color w:val="4A66AC" w:themeColor="accent1"/>
        </w:rPr>
        <w:t>4</w:t>
      </w:r>
      <w:r w:rsidR="007308C5" w:rsidRPr="008F1692">
        <w:rPr>
          <w:rFonts w:eastAsia="Times New Roman" w:cs="Arial"/>
          <w:b/>
          <w:color w:val="4A66AC" w:themeColor="accent1"/>
        </w:rPr>
        <w:t>.2 External Influences</w:t>
      </w:r>
    </w:p>
    <w:p w:rsidR="007308C5" w:rsidRPr="0029462D" w:rsidRDefault="007308C5" w:rsidP="007308C5">
      <w:pPr>
        <w:rPr>
          <w:rFonts w:eastAsia="Times New Roman" w:cs="Arial"/>
          <w:szCs w:val="20"/>
          <w:highlight w:val="green"/>
        </w:rPr>
      </w:pPr>
    </w:p>
    <w:p w:rsidR="007308C5" w:rsidRPr="0029462D" w:rsidRDefault="007308C5" w:rsidP="007308C5">
      <w:pPr>
        <w:jc w:val="both"/>
        <w:rPr>
          <w:rFonts w:eastAsia="Times New Roman" w:cs="Arial"/>
        </w:rPr>
      </w:pPr>
      <w:r w:rsidRPr="0029462D">
        <w:rPr>
          <w:rFonts w:eastAsia="Times New Roman" w:cs="Arial"/>
        </w:rPr>
        <w:t>In preparing the 20</w:t>
      </w:r>
      <w:r w:rsidR="00A0268C">
        <w:rPr>
          <w:rFonts w:eastAsia="Times New Roman" w:cs="Arial"/>
        </w:rPr>
        <w:t>20</w:t>
      </w:r>
      <w:r w:rsidRPr="0029462D">
        <w:rPr>
          <w:rFonts w:eastAsia="Times New Roman" w:cs="Arial"/>
        </w:rPr>
        <w:t>/</w:t>
      </w:r>
      <w:r w:rsidR="00CA63F2">
        <w:rPr>
          <w:rFonts w:eastAsia="Times New Roman" w:cs="Arial"/>
        </w:rPr>
        <w:t>2</w:t>
      </w:r>
      <w:r w:rsidR="00A0268C">
        <w:rPr>
          <w:rFonts w:eastAsia="Times New Roman" w:cs="Arial"/>
        </w:rPr>
        <w:t>1</w:t>
      </w:r>
      <w:r w:rsidRPr="0029462D">
        <w:rPr>
          <w:rFonts w:eastAsia="Times New Roman" w:cs="Arial"/>
        </w:rPr>
        <w:t xml:space="preserve"> budget, </w:t>
      </w:r>
      <w:proofErr w:type="gramStart"/>
      <w:r w:rsidRPr="0029462D">
        <w:rPr>
          <w:rFonts w:eastAsia="Times New Roman" w:cs="Arial"/>
        </w:rPr>
        <w:t>a number of</w:t>
      </w:r>
      <w:proofErr w:type="gramEnd"/>
      <w:r w:rsidRPr="0029462D">
        <w:rPr>
          <w:rFonts w:eastAsia="Times New Roman" w:cs="Arial"/>
        </w:rPr>
        <w:t xml:space="preserve"> external influences have been taken into consideration, because they will impact significantly on the services delivered by Council in the budget period</w:t>
      </w:r>
      <w:r w:rsidRPr="0029462D">
        <w:rPr>
          <w:rFonts w:eastAsia="Times New Roman" w:cs="Arial"/>
          <w:szCs w:val="20"/>
        </w:rPr>
        <w:t xml:space="preserve"> when compared to the 201</w:t>
      </w:r>
      <w:r w:rsidR="00A0268C">
        <w:rPr>
          <w:rFonts w:eastAsia="Times New Roman" w:cs="Arial"/>
          <w:szCs w:val="20"/>
        </w:rPr>
        <w:t>9</w:t>
      </w:r>
      <w:r w:rsidRPr="0029462D">
        <w:rPr>
          <w:rFonts w:eastAsia="Times New Roman" w:cs="Arial"/>
          <w:szCs w:val="20"/>
        </w:rPr>
        <w:t>/</w:t>
      </w:r>
      <w:r w:rsidR="00A0268C">
        <w:rPr>
          <w:rFonts w:eastAsia="Times New Roman" w:cs="Arial"/>
          <w:szCs w:val="20"/>
        </w:rPr>
        <w:t>20</w:t>
      </w:r>
      <w:r w:rsidRPr="0029462D">
        <w:rPr>
          <w:rFonts w:eastAsia="Times New Roman" w:cs="Arial"/>
          <w:szCs w:val="20"/>
        </w:rPr>
        <w:t xml:space="preserve"> budget</w:t>
      </w:r>
      <w:r w:rsidRPr="0029462D">
        <w:rPr>
          <w:rFonts w:eastAsia="Times New Roman" w:cs="Arial"/>
        </w:rPr>
        <w:t>. These include:</w:t>
      </w:r>
    </w:p>
    <w:p w:rsidR="007308C5" w:rsidRPr="0029462D" w:rsidRDefault="007308C5" w:rsidP="007308C5">
      <w:pPr>
        <w:jc w:val="both"/>
        <w:rPr>
          <w:rFonts w:eastAsia="Times New Roman" w:cs="Arial"/>
        </w:rPr>
      </w:pPr>
    </w:p>
    <w:p w:rsidR="007308C5" w:rsidRDefault="007308C5" w:rsidP="00274DF7">
      <w:pPr>
        <w:numPr>
          <w:ilvl w:val="0"/>
          <w:numId w:val="1"/>
        </w:numPr>
        <w:spacing w:after="200" w:line="276" w:lineRule="auto"/>
        <w:contextualSpacing/>
        <w:jc w:val="both"/>
        <w:rPr>
          <w:rFonts w:cs="Arial"/>
        </w:rPr>
      </w:pPr>
      <w:r>
        <w:rPr>
          <w:lang w:val="en-US"/>
        </w:rPr>
        <w:t>T</w:t>
      </w:r>
      <w:r w:rsidRPr="00EA32A0">
        <w:rPr>
          <w:lang w:val="en-US"/>
        </w:rPr>
        <w:t xml:space="preserve">he Victorian State Government cap on </w:t>
      </w:r>
      <w:r>
        <w:rPr>
          <w:lang w:val="en-US"/>
        </w:rPr>
        <w:t xml:space="preserve">the average property </w:t>
      </w:r>
      <w:r w:rsidRPr="00EA32A0">
        <w:rPr>
          <w:lang w:val="en-US"/>
        </w:rPr>
        <w:t xml:space="preserve">rate increase </w:t>
      </w:r>
      <w:r>
        <w:rPr>
          <w:lang w:val="en-US"/>
        </w:rPr>
        <w:t>for</w:t>
      </w:r>
      <w:r w:rsidRPr="00EA32A0">
        <w:rPr>
          <w:lang w:val="en-US"/>
        </w:rPr>
        <w:t xml:space="preserve"> 20</w:t>
      </w:r>
      <w:r w:rsidR="00A0268C">
        <w:rPr>
          <w:lang w:val="en-US"/>
        </w:rPr>
        <w:t>20</w:t>
      </w:r>
      <w:r w:rsidRPr="00EA32A0">
        <w:rPr>
          <w:lang w:val="en-US"/>
        </w:rPr>
        <w:t>/</w:t>
      </w:r>
      <w:r w:rsidR="00CA63F2">
        <w:rPr>
          <w:lang w:val="en-US"/>
        </w:rPr>
        <w:t>2</w:t>
      </w:r>
      <w:r w:rsidR="00A0268C">
        <w:rPr>
          <w:lang w:val="en-US"/>
        </w:rPr>
        <w:t>1</w:t>
      </w:r>
      <w:r w:rsidRPr="00EA32A0">
        <w:rPr>
          <w:lang w:val="en-US"/>
        </w:rPr>
        <w:t xml:space="preserve"> has been set at 2.</w:t>
      </w:r>
      <w:r w:rsidR="00A0268C">
        <w:rPr>
          <w:lang w:val="en-US"/>
        </w:rPr>
        <w:t>0</w:t>
      </w:r>
      <w:r w:rsidRPr="00EA32A0">
        <w:rPr>
          <w:lang w:val="en-US"/>
        </w:rPr>
        <w:t>%</w:t>
      </w:r>
      <w:r w:rsidR="00F071A8">
        <w:rPr>
          <w:lang w:val="en-US"/>
        </w:rPr>
        <w:t xml:space="preserve"> (201</w:t>
      </w:r>
      <w:r w:rsidR="00A0268C">
        <w:rPr>
          <w:lang w:val="en-US"/>
        </w:rPr>
        <w:t>9</w:t>
      </w:r>
      <w:r w:rsidR="00F071A8">
        <w:rPr>
          <w:lang w:val="en-US"/>
        </w:rPr>
        <w:t>/</w:t>
      </w:r>
      <w:r w:rsidR="00A0268C">
        <w:rPr>
          <w:lang w:val="en-US"/>
        </w:rPr>
        <w:t>20</w:t>
      </w:r>
      <w:r w:rsidR="00F071A8">
        <w:rPr>
          <w:lang w:val="en-US"/>
        </w:rPr>
        <w:t xml:space="preserve"> 2.</w:t>
      </w:r>
      <w:r w:rsidR="00841240">
        <w:rPr>
          <w:lang w:val="en-US"/>
        </w:rPr>
        <w:t>5</w:t>
      </w:r>
      <w:r w:rsidR="00F071A8">
        <w:rPr>
          <w:lang w:val="en-US"/>
        </w:rPr>
        <w:t>%)</w:t>
      </w:r>
      <w:r w:rsidRPr="0029462D">
        <w:rPr>
          <w:rFonts w:cs="Arial"/>
        </w:rPr>
        <w:t>;</w:t>
      </w:r>
    </w:p>
    <w:p w:rsidR="002D0FB3" w:rsidRPr="005F3626" w:rsidRDefault="002D0FB3" w:rsidP="002D0FB3">
      <w:pPr>
        <w:spacing w:after="200" w:line="276" w:lineRule="auto"/>
        <w:ind w:left="720"/>
        <w:contextualSpacing/>
        <w:jc w:val="both"/>
        <w:rPr>
          <w:rFonts w:cs="Arial"/>
        </w:rPr>
      </w:pPr>
    </w:p>
    <w:p w:rsidR="007308C5" w:rsidRPr="00144937" w:rsidRDefault="007308C5" w:rsidP="00274DF7">
      <w:pPr>
        <w:numPr>
          <w:ilvl w:val="0"/>
          <w:numId w:val="1"/>
        </w:numPr>
        <w:spacing w:after="200" w:line="276" w:lineRule="auto"/>
        <w:contextualSpacing/>
        <w:jc w:val="both"/>
        <w:rPr>
          <w:rFonts w:cs="Arial"/>
        </w:rPr>
      </w:pPr>
      <w:r w:rsidRPr="005F3626">
        <w:rPr>
          <w:rFonts w:cs="Arial"/>
        </w:rPr>
        <w:t>Consumer Price Index</w:t>
      </w:r>
      <w:r w:rsidR="0014674C" w:rsidRPr="005F3626">
        <w:rPr>
          <w:rFonts w:cs="Arial"/>
        </w:rPr>
        <w:t xml:space="preserve"> – Melbourne All </w:t>
      </w:r>
      <w:r w:rsidR="003B44DE" w:rsidRPr="005F3626">
        <w:rPr>
          <w:rFonts w:cs="Arial"/>
        </w:rPr>
        <w:t>G</w:t>
      </w:r>
      <w:r w:rsidR="0014674C" w:rsidRPr="005F3626">
        <w:rPr>
          <w:rFonts w:cs="Arial"/>
        </w:rPr>
        <w:t>roups</w:t>
      </w:r>
      <w:r w:rsidRPr="005F3626">
        <w:rPr>
          <w:rFonts w:cs="Arial"/>
        </w:rPr>
        <w:t xml:space="preserve"> (CPI) increases on goods and services of </w:t>
      </w:r>
      <w:r w:rsidR="0014674C" w:rsidRPr="00144937">
        <w:rPr>
          <w:rFonts w:cs="Arial"/>
        </w:rPr>
        <w:t>2.</w:t>
      </w:r>
      <w:r w:rsidR="00E60380" w:rsidRPr="00144937">
        <w:rPr>
          <w:rFonts w:cs="Arial"/>
        </w:rPr>
        <w:t>0</w:t>
      </w:r>
      <w:r w:rsidRPr="00144937">
        <w:rPr>
          <w:rFonts w:cs="Arial"/>
        </w:rPr>
        <w:t xml:space="preserve">% through the year to the </w:t>
      </w:r>
      <w:r w:rsidR="0014674C" w:rsidRPr="00144937">
        <w:rPr>
          <w:rFonts w:cs="Arial"/>
        </w:rPr>
        <w:t>December</w:t>
      </w:r>
      <w:r w:rsidRPr="00144937">
        <w:rPr>
          <w:rFonts w:cs="Arial"/>
        </w:rPr>
        <w:t xml:space="preserve"> quarter 201</w:t>
      </w:r>
      <w:r w:rsidR="00144937" w:rsidRPr="00144937">
        <w:rPr>
          <w:rFonts w:cs="Arial"/>
        </w:rPr>
        <w:t>9</w:t>
      </w:r>
      <w:r w:rsidRPr="00144937">
        <w:rPr>
          <w:rFonts w:cs="Arial"/>
        </w:rPr>
        <w:t xml:space="preserve"> (ABS). State-wide CPI is forecast to be 2.</w:t>
      </w:r>
      <w:r w:rsidR="00144937" w:rsidRPr="00144937">
        <w:rPr>
          <w:rFonts w:cs="Arial"/>
        </w:rPr>
        <w:t>2</w:t>
      </w:r>
      <w:r w:rsidR="00E062F5" w:rsidRPr="00144937">
        <w:rPr>
          <w:rFonts w:cs="Arial"/>
        </w:rPr>
        <w:t>5</w:t>
      </w:r>
      <w:r w:rsidRPr="00144937">
        <w:rPr>
          <w:rFonts w:cs="Arial"/>
        </w:rPr>
        <w:t>% for the 20</w:t>
      </w:r>
      <w:r w:rsidR="00144937" w:rsidRPr="00144937">
        <w:rPr>
          <w:rFonts w:cs="Arial"/>
        </w:rPr>
        <w:t>20</w:t>
      </w:r>
      <w:r w:rsidRPr="00144937">
        <w:rPr>
          <w:rFonts w:cs="Arial"/>
        </w:rPr>
        <w:t>/</w:t>
      </w:r>
      <w:r w:rsidR="005F3626" w:rsidRPr="00144937">
        <w:rPr>
          <w:rFonts w:cs="Arial"/>
        </w:rPr>
        <w:t>2</w:t>
      </w:r>
      <w:r w:rsidR="00144937" w:rsidRPr="00144937">
        <w:rPr>
          <w:rFonts w:cs="Arial"/>
        </w:rPr>
        <w:t>1</w:t>
      </w:r>
      <w:r w:rsidRPr="00144937">
        <w:rPr>
          <w:rFonts w:cs="Arial"/>
        </w:rPr>
        <w:t xml:space="preserve"> year (Victorian Budget Papers 201</w:t>
      </w:r>
      <w:r w:rsidR="00144937" w:rsidRPr="00144937">
        <w:rPr>
          <w:rFonts w:cs="Arial"/>
        </w:rPr>
        <w:t>9</w:t>
      </w:r>
      <w:r w:rsidRPr="00144937">
        <w:rPr>
          <w:rFonts w:cs="Arial"/>
        </w:rPr>
        <w:t>/</w:t>
      </w:r>
      <w:r w:rsidR="00144937" w:rsidRPr="00144937">
        <w:rPr>
          <w:rFonts w:cs="Arial"/>
        </w:rPr>
        <w:t>20</w:t>
      </w:r>
      <w:r w:rsidRPr="00144937">
        <w:rPr>
          <w:rFonts w:cs="Arial"/>
        </w:rPr>
        <w:t>);</w:t>
      </w:r>
    </w:p>
    <w:p w:rsidR="002D0FB3" w:rsidRPr="00CB0541" w:rsidRDefault="002D0FB3" w:rsidP="002D0FB3">
      <w:pPr>
        <w:spacing w:after="200" w:line="276" w:lineRule="auto"/>
        <w:ind w:left="720"/>
        <w:contextualSpacing/>
        <w:jc w:val="both"/>
        <w:rPr>
          <w:rFonts w:cs="Arial"/>
        </w:rPr>
      </w:pPr>
    </w:p>
    <w:p w:rsidR="00FD0CD9" w:rsidRPr="00742F74" w:rsidRDefault="007308C5" w:rsidP="00742F74">
      <w:pPr>
        <w:numPr>
          <w:ilvl w:val="0"/>
          <w:numId w:val="1"/>
        </w:numPr>
        <w:spacing w:after="200" w:line="276" w:lineRule="auto"/>
        <w:contextualSpacing/>
        <w:jc w:val="both"/>
        <w:rPr>
          <w:lang w:val="en-US"/>
        </w:rPr>
      </w:pPr>
      <w:r w:rsidRPr="00742F74">
        <w:rPr>
          <w:lang w:val="en-US"/>
        </w:rPr>
        <w:t xml:space="preserve">The Victorian Wage Price index is projected to be </w:t>
      </w:r>
      <w:r w:rsidR="00AD14CF" w:rsidRPr="00742F74">
        <w:rPr>
          <w:lang w:val="en-US"/>
        </w:rPr>
        <w:t>3.25</w:t>
      </w:r>
      <w:r w:rsidRPr="00742F74">
        <w:rPr>
          <w:lang w:val="en-US"/>
        </w:rPr>
        <w:t>% in 20</w:t>
      </w:r>
      <w:r w:rsidR="005D735C" w:rsidRPr="00742F74">
        <w:rPr>
          <w:lang w:val="en-US"/>
        </w:rPr>
        <w:t>20</w:t>
      </w:r>
      <w:r w:rsidRPr="00742F74">
        <w:rPr>
          <w:lang w:val="en-US"/>
        </w:rPr>
        <w:t>/</w:t>
      </w:r>
      <w:r w:rsidR="00CB0541" w:rsidRPr="00742F74">
        <w:rPr>
          <w:lang w:val="en-US"/>
        </w:rPr>
        <w:t>2</w:t>
      </w:r>
      <w:r w:rsidR="005D735C" w:rsidRPr="00742F74">
        <w:rPr>
          <w:lang w:val="en-US"/>
        </w:rPr>
        <w:t>1</w:t>
      </w:r>
      <w:r w:rsidRPr="00742F74">
        <w:rPr>
          <w:lang w:val="en-US"/>
        </w:rPr>
        <w:t xml:space="preserve"> increasing to 3.</w:t>
      </w:r>
      <w:r w:rsidR="00AD14CF" w:rsidRPr="00742F74">
        <w:rPr>
          <w:lang w:val="en-US"/>
        </w:rPr>
        <w:t>5</w:t>
      </w:r>
      <w:r w:rsidRPr="00742F74">
        <w:rPr>
          <w:lang w:val="en-US"/>
        </w:rPr>
        <w:t xml:space="preserve">% in </w:t>
      </w:r>
      <w:r w:rsidR="00AD14CF" w:rsidRPr="00742F74">
        <w:rPr>
          <w:lang w:val="en-US"/>
        </w:rPr>
        <w:t xml:space="preserve">the </w:t>
      </w:r>
      <w:r w:rsidRPr="00742F74">
        <w:rPr>
          <w:lang w:val="en-US"/>
        </w:rPr>
        <w:t>subsequent two years (Victorian Budget papers 201</w:t>
      </w:r>
      <w:r w:rsidR="005D735C" w:rsidRPr="00742F74">
        <w:rPr>
          <w:lang w:val="en-US"/>
        </w:rPr>
        <w:t>9</w:t>
      </w:r>
      <w:r w:rsidRPr="00742F74">
        <w:rPr>
          <w:lang w:val="en-US"/>
        </w:rPr>
        <w:t>/</w:t>
      </w:r>
      <w:r w:rsidR="005D735C" w:rsidRPr="00742F74">
        <w:rPr>
          <w:lang w:val="en-US"/>
        </w:rPr>
        <w:t>20</w:t>
      </w:r>
      <w:r w:rsidRPr="00742F74">
        <w:rPr>
          <w:lang w:val="en-US"/>
        </w:rPr>
        <w:t>);</w:t>
      </w:r>
    </w:p>
    <w:p w:rsidR="00924368" w:rsidRPr="00742F74" w:rsidRDefault="00924368" w:rsidP="00742F74">
      <w:pPr>
        <w:spacing w:after="200" w:line="276" w:lineRule="auto"/>
        <w:ind w:left="720"/>
        <w:contextualSpacing/>
        <w:jc w:val="both"/>
        <w:rPr>
          <w:lang w:val="en-US"/>
        </w:rPr>
      </w:pPr>
    </w:p>
    <w:p w:rsidR="00924368" w:rsidRDefault="00924368" w:rsidP="00742F74">
      <w:pPr>
        <w:numPr>
          <w:ilvl w:val="0"/>
          <w:numId w:val="1"/>
        </w:numPr>
        <w:spacing w:after="200" w:line="276" w:lineRule="auto"/>
        <w:contextualSpacing/>
        <w:jc w:val="both"/>
        <w:rPr>
          <w:lang w:val="en-US"/>
        </w:rPr>
      </w:pPr>
      <w:r w:rsidRPr="00742F74">
        <w:rPr>
          <w:lang w:val="en-US"/>
        </w:rPr>
        <w:t>2020/21 is a Council general election year with a net cost of $0.39 million;</w:t>
      </w:r>
    </w:p>
    <w:p w:rsidR="00353597" w:rsidRDefault="00353597" w:rsidP="00427FF3">
      <w:pPr>
        <w:spacing w:after="200" w:line="276" w:lineRule="auto"/>
        <w:ind w:left="360"/>
        <w:contextualSpacing/>
        <w:jc w:val="both"/>
        <w:rPr>
          <w:lang w:val="en-US"/>
        </w:rPr>
      </w:pPr>
    </w:p>
    <w:p w:rsidR="00353597" w:rsidRPr="00427FF3" w:rsidRDefault="00353597" w:rsidP="00517008">
      <w:pPr>
        <w:numPr>
          <w:ilvl w:val="0"/>
          <w:numId w:val="1"/>
        </w:numPr>
        <w:pBdr>
          <w:top w:val="nil"/>
          <w:left w:val="nil"/>
          <w:bottom w:val="nil"/>
          <w:right w:val="nil"/>
          <w:between w:val="nil"/>
          <w:bar w:val="nil"/>
        </w:pBdr>
        <w:spacing w:after="200" w:line="276" w:lineRule="auto"/>
        <w:jc w:val="both"/>
        <w:rPr>
          <w:lang w:val="en-US"/>
        </w:rPr>
      </w:pPr>
      <w:r w:rsidRPr="00427FF3">
        <w:rPr>
          <w:lang w:val="en-US"/>
        </w:rPr>
        <w:t xml:space="preserve">Significant loss of revenue and overall impacts on financial position directly </w:t>
      </w:r>
      <w:proofErr w:type="gramStart"/>
      <w:r w:rsidRPr="00427FF3">
        <w:rPr>
          <w:lang w:val="en-US"/>
        </w:rPr>
        <w:t>as a result of</w:t>
      </w:r>
      <w:proofErr w:type="gramEnd"/>
      <w:r w:rsidRPr="00427FF3">
        <w:rPr>
          <w:lang w:val="en-US"/>
        </w:rPr>
        <w:t xml:space="preserve"> COVID19</w:t>
      </w:r>
      <w:r w:rsidR="00427FF3" w:rsidRPr="00427FF3">
        <w:rPr>
          <w:lang w:val="en-US"/>
        </w:rPr>
        <w:t xml:space="preserve"> including </w:t>
      </w:r>
      <w:r w:rsidR="00427FF3">
        <w:rPr>
          <w:lang w:val="en-US"/>
        </w:rPr>
        <w:t>f</w:t>
      </w:r>
      <w:r w:rsidRPr="00427FF3">
        <w:rPr>
          <w:lang w:val="en-US"/>
        </w:rPr>
        <w:t>unding the renewal of infrastructure and community assets in a COVID19 envi</w:t>
      </w:r>
      <w:r w:rsidR="00427FF3">
        <w:rPr>
          <w:lang w:val="en-US"/>
        </w:rPr>
        <w:t>r</w:t>
      </w:r>
      <w:r w:rsidRPr="00427FF3">
        <w:rPr>
          <w:lang w:val="en-US"/>
        </w:rPr>
        <w:t>onment;</w:t>
      </w:r>
    </w:p>
    <w:p w:rsidR="00427FF3" w:rsidRDefault="00427FF3" w:rsidP="00A11A09">
      <w:pPr>
        <w:pStyle w:val="Bullet1"/>
        <w:numPr>
          <w:ilvl w:val="0"/>
          <w:numId w:val="1"/>
        </w:numPr>
        <w:tabs>
          <w:tab w:val="left" w:pos="720"/>
        </w:tabs>
        <w:spacing w:after="0"/>
        <w:jc w:val="both"/>
        <w:rPr>
          <w:color w:val="auto"/>
          <w:sz w:val="22"/>
          <w:szCs w:val="22"/>
        </w:rPr>
      </w:pPr>
      <w:r w:rsidRPr="00E44311">
        <w:rPr>
          <w:color w:val="auto"/>
          <w:sz w:val="22"/>
          <w:szCs w:val="22"/>
        </w:rPr>
        <w:t xml:space="preserve">Over the last 30 years, recycling has been considered a critical service experienced by all and one that should be an expected service. As documented in the past two years, the recycling industry has been through some challenging moments and events that are disrupters on a global scale. These challenging events are still foreseeable into the </w:t>
      </w:r>
      <w:proofErr w:type="gramStart"/>
      <w:r w:rsidRPr="00E44311">
        <w:rPr>
          <w:color w:val="auto"/>
          <w:sz w:val="22"/>
          <w:szCs w:val="22"/>
        </w:rPr>
        <w:t>future,</w:t>
      </w:r>
      <w:proofErr w:type="gramEnd"/>
      <w:r w:rsidRPr="00E44311">
        <w:rPr>
          <w:color w:val="auto"/>
          <w:sz w:val="22"/>
          <w:szCs w:val="22"/>
        </w:rPr>
        <w:t xml:space="preserve"> however, Maroondah will be working towards a pathway that results in an efficient and resilient recycling system. Maroondah will continue to work closely with the State and Federal Governments to make inroads in the recycling sector. On the 6 March 2020, the State Government issued a paper and Policy to </w:t>
      </w:r>
      <w:proofErr w:type="spellStart"/>
      <w:r w:rsidRPr="00E44311">
        <w:rPr>
          <w:color w:val="auto"/>
          <w:sz w:val="22"/>
          <w:szCs w:val="22"/>
        </w:rPr>
        <w:t>Tranform</w:t>
      </w:r>
      <w:proofErr w:type="spellEnd"/>
      <w:r w:rsidRPr="00E44311">
        <w:rPr>
          <w:color w:val="auto"/>
          <w:sz w:val="22"/>
          <w:szCs w:val="22"/>
        </w:rPr>
        <w:t xml:space="preserve"> Recycling in Victoria. It is </w:t>
      </w:r>
      <w:r w:rsidRPr="00E44311">
        <w:rPr>
          <w:color w:val="auto"/>
          <w:sz w:val="22"/>
          <w:szCs w:val="22"/>
        </w:rPr>
        <w:lastRenderedPageBreak/>
        <w:t xml:space="preserve">a circular economy policy with a </w:t>
      </w:r>
      <w:proofErr w:type="gramStart"/>
      <w:r w:rsidRPr="00E44311">
        <w:rPr>
          <w:color w:val="auto"/>
          <w:sz w:val="22"/>
          <w:szCs w:val="22"/>
        </w:rPr>
        <w:t>10 year</w:t>
      </w:r>
      <w:proofErr w:type="gramEnd"/>
      <w:r w:rsidRPr="00E44311">
        <w:rPr>
          <w:color w:val="auto"/>
          <w:sz w:val="22"/>
          <w:szCs w:val="22"/>
        </w:rPr>
        <w:t xml:space="preserve"> action plan. The State Government will look to invest more than $300 million to help transform the recycling sector and reduce waste. Maroondah will look to align its </w:t>
      </w:r>
      <w:proofErr w:type="gramStart"/>
      <w:r w:rsidRPr="00E44311">
        <w:rPr>
          <w:color w:val="auto"/>
          <w:sz w:val="22"/>
          <w:szCs w:val="22"/>
        </w:rPr>
        <w:t>10 year</w:t>
      </w:r>
      <w:proofErr w:type="gramEnd"/>
      <w:r w:rsidRPr="00E44311">
        <w:rPr>
          <w:color w:val="auto"/>
          <w:sz w:val="22"/>
          <w:szCs w:val="22"/>
        </w:rPr>
        <w:t xml:space="preserve"> waste strategy, with the State Government Policy and pending funding announcements, will look to undertake such initiatives.</w:t>
      </w:r>
      <w:r w:rsidR="00E44311">
        <w:rPr>
          <w:color w:val="auto"/>
          <w:sz w:val="22"/>
          <w:szCs w:val="22"/>
        </w:rPr>
        <w:t xml:space="preserve"> </w:t>
      </w:r>
      <w:r w:rsidRPr="00427FF3">
        <w:rPr>
          <w:color w:val="auto"/>
          <w:sz w:val="22"/>
          <w:szCs w:val="22"/>
        </w:rPr>
        <w:t xml:space="preserve">Additionally, Maroondah has also had to manage its recycling processing during times of great uncertainty, however, </w:t>
      </w:r>
      <w:proofErr w:type="spellStart"/>
      <w:r w:rsidRPr="00427FF3">
        <w:rPr>
          <w:color w:val="auto"/>
          <w:sz w:val="22"/>
          <w:szCs w:val="22"/>
        </w:rPr>
        <w:t>allthesame</w:t>
      </w:r>
      <w:proofErr w:type="spellEnd"/>
      <w:r w:rsidRPr="00427FF3">
        <w:rPr>
          <w:color w:val="auto"/>
          <w:sz w:val="22"/>
          <w:szCs w:val="22"/>
        </w:rPr>
        <w:t>, ensure recycling lives strong in the municipality.</w:t>
      </w:r>
      <w:r w:rsidR="00E44311">
        <w:rPr>
          <w:color w:val="auto"/>
          <w:sz w:val="22"/>
          <w:szCs w:val="22"/>
        </w:rPr>
        <w:t xml:space="preserve"> </w:t>
      </w:r>
      <w:r w:rsidRPr="00E44311">
        <w:rPr>
          <w:color w:val="auto"/>
          <w:sz w:val="22"/>
          <w:szCs w:val="22"/>
        </w:rPr>
        <w:t xml:space="preserve">To ensure waste services and </w:t>
      </w:r>
      <w:proofErr w:type="gramStart"/>
      <w:r w:rsidRPr="00E44311">
        <w:rPr>
          <w:color w:val="auto"/>
          <w:sz w:val="22"/>
          <w:szCs w:val="22"/>
        </w:rPr>
        <w:t>in particular recycling</w:t>
      </w:r>
      <w:proofErr w:type="gramEnd"/>
      <w:r w:rsidRPr="00E44311">
        <w:rPr>
          <w:color w:val="auto"/>
          <w:sz w:val="22"/>
          <w:szCs w:val="22"/>
        </w:rPr>
        <w:t xml:space="preserve"> can continue, the charge for 2020/21, incorporating kerbside collection, green waste and recycling, will increase by just over 6% from the 2019/20 level. This increase in price, assists the municipality in maintaining its contractual relationship with its recycling contractor and ensure a reliable and environmentally friendly waste processing service is delivered;</w:t>
      </w:r>
    </w:p>
    <w:p w:rsidR="00E44311" w:rsidRPr="00E44311" w:rsidRDefault="00E44311" w:rsidP="00E44311">
      <w:pPr>
        <w:pStyle w:val="Bullet1"/>
        <w:numPr>
          <w:ilvl w:val="0"/>
          <w:numId w:val="0"/>
        </w:numPr>
        <w:tabs>
          <w:tab w:val="left" w:pos="720"/>
        </w:tabs>
        <w:spacing w:after="0"/>
        <w:ind w:left="720"/>
        <w:jc w:val="both"/>
        <w:rPr>
          <w:color w:val="auto"/>
          <w:sz w:val="22"/>
          <w:szCs w:val="22"/>
        </w:rPr>
      </w:pPr>
    </w:p>
    <w:p w:rsidR="00AF694B" w:rsidRPr="003048D3" w:rsidRDefault="00AF694B" w:rsidP="00274DF7">
      <w:pPr>
        <w:numPr>
          <w:ilvl w:val="0"/>
          <w:numId w:val="1"/>
        </w:numPr>
        <w:spacing w:after="200" w:line="276" w:lineRule="auto"/>
        <w:contextualSpacing/>
        <w:jc w:val="both"/>
        <w:rPr>
          <w:rFonts w:cs="Arial"/>
        </w:rPr>
      </w:pPr>
      <w:proofErr w:type="gramStart"/>
      <w:r w:rsidRPr="003048D3">
        <w:rPr>
          <w:rFonts w:cs="Arial"/>
        </w:rPr>
        <w:t>An</w:t>
      </w:r>
      <w:proofErr w:type="gramEnd"/>
      <w:r w:rsidRPr="003048D3">
        <w:rPr>
          <w:rFonts w:cs="Arial"/>
        </w:rPr>
        <w:t xml:space="preserve"> </w:t>
      </w:r>
      <w:r w:rsidR="003048D3" w:rsidRPr="003048D3">
        <w:rPr>
          <w:rFonts w:cs="Arial"/>
        </w:rPr>
        <w:t>de</w:t>
      </w:r>
      <w:r w:rsidRPr="003048D3">
        <w:rPr>
          <w:rFonts w:cs="Arial"/>
        </w:rPr>
        <w:t>crease of $0.</w:t>
      </w:r>
      <w:r w:rsidR="003048D3" w:rsidRPr="003048D3">
        <w:rPr>
          <w:rFonts w:cs="Arial"/>
        </w:rPr>
        <w:t>19</w:t>
      </w:r>
      <w:r w:rsidRPr="003048D3">
        <w:rPr>
          <w:rFonts w:cs="Arial"/>
        </w:rPr>
        <w:t xml:space="preserve"> million in the Federal Government Funding Assistance Grants fun</w:t>
      </w:r>
      <w:r w:rsidR="001627C3" w:rsidRPr="003048D3">
        <w:rPr>
          <w:rFonts w:cs="Arial"/>
        </w:rPr>
        <w:t>ding compared to the prior year;</w:t>
      </w:r>
    </w:p>
    <w:p w:rsidR="002D0FB3" w:rsidRPr="00D0052E" w:rsidRDefault="002D0FB3" w:rsidP="002D0FB3">
      <w:pPr>
        <w:spacing w:after="200" w:line="276" w:lineRule="auto"/>
        <w:ind w:left="720"/>
        <w:contextualSpacing/>
        <w:jc w:val="both"/>
        <w:rPr>
          <w:rFonts w:cs="Arial"/>
        </w:rPr>
      </w:pPr>
    </w:p>
    <w:p w:rsidR="007308C5" w:rsidRPr="001E267D" w:rsidRDefault="007308C5" w:rsidP="00274DF7">
      <w:pPr>
        <w:numPr>
          <w:ilvl w:val="0"/>
          <w:numId w:val="1"/>
        </w:numPr>
        <w:spacing w:after="200" w:line="276" w:lineRule="auto"/>
        <w:contextualSpacing/>
        <w:jc w:val="both"/>
        <w:rPr>
          <w:rFonts w:cs="Arial"/>
        </w:rPr>
      </w:pPr>
      <w:r w:rsidRPr="000C066B">
        <w:rPr>
          <w:rFonts w:cs="Arial"/>
        </w:rPr>
        <w:t xml:space="preserve">The </w:t>
      </w:r>
      <w:r w:rsidRPr="001E267D">
        <w:rPr>
          <w:rFonts w:cs="Arial"/>
        </w:rPr>
        <w:t>Fire Services Property Levy will continue to be collected by Council on behalf of the State Government with the introduction of the Fire Services Levy Act 2012 which is not included in Council’s budget;</w:t>
      </w:r>
    </w:p>
    <w:p w:rsidR="002D0FB3" w:rsidRPr="00E67538" w:rsidRDefault="002D0FB3" w:rsidP="002D0FB3">
      <w:pPr>
        <w:spacing w:after="200" w:line="276" w:lineRule="auto"/>
        <w:ind w:left="720"/>
        <w:contextualSpacing/>
        <w:jc w:val="both"/>
        <w:rPr>
          <w:rFonts w:cs="Arial"/>
        </w:rPr>
      </w:pPr>
    </w:p>
    <w:p w:rsidR="00AB0B50" w:rsidRPr="00E67538" w:rsidRDefault="007308C5" w:rsidP="00274DF7">
      <w:pPr>
        <w:numPr>
          <w:ilvl w:val="0"/>
          <w:numId w:val="1"/>
        </w:numPr>
        <w:spacing w:after="200" w:line="276" w:lineRule="auto"/>
        <w:contextualSpacing/>
        <w:jc w:val="both"/>
        <w:rPr>
          <w:rFonts w:cs="Arial"/>
        </w:rPr>
      </w:pPr>
      <w:r w:rsidRPr="00E67538">
        <w:rPr>
          <w:rFonts w:cs="Arial"/>
        </w:rPr>
        <w:t xml:space="preserve">An overall </w:t>
      </w:r>
      <w:r w:rsidR="005C42F7" w:rsidRPr="00E67538">
        <w:rPr>
          <w:rFonts w:cs="Arial"/>
        </w:rPr>
        <w:t>in</w:t>
      </w:r>
      <w:r w:rsidRPr="00E67538">
        <w:rPr>
          <w:rFonts w:cs="Arial"/>
        </w:rPr>
        <w:t xml:space="preserve">crease </w:t>
      </w:r>
      <w:r w:rsidR="0082012D" w:rsidRPr="00E67538">
        <w:rPr>
          <w:rFonts w:cs="Arial"/>
        </w:rPr>
        <w:t>of $</w:t>
      </w:r>
      <w:r w:rsidR="003935B3" w:rsidRPr="00E67538">
        <w:rPr>
          <w:rFonts w:cs="Arial"/>
        </w:rPr>
        <w:t>1</w:t>
      </w:r>
      <w:r w:rsidR="005C42F7" w:rsidRPr="00E67538">
        <w:rPr>
          <w:rFonts w:cs="Arial"/>
        </w:rPr>
        <w:t>8</w:t>
      </w:r>
      <w:r w:rsidR="003935B3" w:rsidRPr="00E67538">
        <w:rPr>
          <w:rFonts w:cs="Arial"/>
        </w:rPr>
        <w:t>.</w:t>
      </w:r>
      <w:r w:rsidR="005C42F7" w:rsidRPr="00E67538">
        <w:rPr>
          <w:rFonts w:cs="Arial"/>
        </w:rPr>
        <w:t>78</w:t>
      </w:r>
      <w:r w:rsidR="0082012D" w:rsidRPr="00E67538">
        <w:rPr>
          <w:rFonts w:cs="Arial"/>
        </w:rPr>
        <w:t xml:space="preserve"> million i</w:t>
      </w:r>
      <w:r w:rsidRPr="00E67538">
        <w:rPr>
          <w:rFonts w:cs="Arial"/>
        </w:rPr>
        <w:t>n total capital grants</w:t>
      </w:r>
      <w:r w:rsidR="00CE3320" w:rsidRPr="00E67538">
        <w:rPr>
          <w:rFonts w:cs="Arial"/>
        </w:rPr>
        <w:t xml:space="preserve"> </w:t>
      </w:r>
      <w:r w:rsidRPr="00E67538">
        <w:rPr>
          <w:rFonts w:cs="Arial"/>
        </w:rPr>
        <w:t xml:space="preserve">to be received </w:t>
      </w:r>
      <w:r w:rsidR="00E67538" w:rsidRPr="00E67538">
        <w:rPr>
          <w:rFonts w:cs="Arial"/>
        </w:rPr>
        <w:t>in</w:t>
      </w:r>
      <w:r w:rsidR="00AB0B50" w:rsidRPr="00E67538">
        <w:rPr>
          <w:rFonts w:cs="Arial"/>
        </w:rPr>
        <w:t xml:space="preserve"> 20</w:t>
      </w:r>
      <w:r w:rsidR="005C42F7" w:rsidRPr="00E67538">
        <w:rPr>
          <w:rFonts w:cs="Arial"/>
        </w:rPr>
        <w:t>20/21</w:t>
      </w:r>
      <w:r w:rsidR="00E67538" w:rsidRPr="00E67538">
        <w:rPr>
          <w:rFonts w:cs="Arial"/>
        </w:rPr>
        <w:t xml:space="preserve"> as specific funding </w:t>
      </w:r>
      <w:r w:rsidR="00E67538">
        <w:rPr>
          <w:rFonts w:cs="Arial"/>
        </w:rPr>
        <w:t xml:space="preserve">for </w:t>
      </w:r>
      <w:r w:rsidRPr="001E267D">
        <w:rPr>
          <w:rFonts w:cs="Arial"/>
        </w:rPr>
        <w:t>Multi</w:t>
      </w:r>
      <w:r w:rsidR="005C42F7">
        <w:rPr>
          <w:rFonts w:cs="Arial"/>
        </w:rPr>
        <w:t xml:space="preserve">level Carpark Development Program </w:t>
      </w:r>
      <w:r w:rsidR="00AB0B50" w:rsidRPr="001E267D">
        <w:rPr>
          <w:rFonts w:cs="Arial"/>
        </w:rPr>
        <w:t>$</w:t>
      </w:r>
      <w:r w:rsidR="005C42F7">
        <w:rPr>
          <w:rFonts w:cs="Arial"/>
        </w:rPr>
        <w:t>23.</w:t>
      </w:r>
      <w:r w:rsidR="00E67538">
        <w:rPr>
          <w:rFonts w:cs="Arial"/>
        </w:rPr>
        <w:t>15</w:t>
      </w:r>
      <w:r w:rsidR="00AB0B50" w:rsidRPr="001E267D">
        <w:rPr>
          <w:rFonts w:cs="Arial"/>
        </w:rPr>
        <w:t xml:space="preserve"> million</w:t>
      </w:r>
      <w:r w:rsidR="001E267D" w:rsidRPr="001E267D">
        <w:rPr>
          <w:rFonts w:cs="Arial"/>
        </w:rPr>
        <w:t xml:space="preserve">, </w:t>
      </w:r>
      <w:r w:rsidR="00E67538">
        <w:rPr>
          <w:rFonts w:cs="Arial"/>
        </w:rPr>
        <w:t xml:space="preserve">Dorset </w:t>
      </w:r>
      <w:proofErr w:type="spellStart"/>
      <w:r w:rsidR="00E67538">
        <w:rPr>
          <w:rFonts w:cs="Arial"/>
        </w:rPr>
        <w:t>Mulitpurpose</w:t>
      </w:r>
      <w:proofErr w:type="spellEnd"/>
      <w:r w:rsidR="00E67538">
        <w:rPr>
          <w:rFonts w:cs="Arial"/>
        </w:rPr>
        <w:t xml:space="preserve"> Pavilion redevelopment </w:t>
      </w:r>
      <w:r w:rsidR="001E267D" w:rsidRPr="001E267D">
        <w:rPr>
          <w:rFonts w:cs="Arial"/>
        </w:rPr>
        <w:t>$2.0 million</w:t>
      </w:r>
      <w:r w:rsidR="00E67538">
        <w:rPr>
          <w:rFonts w:cs="Arial"/>
        </w:rPr>
        <w:t xml:space="preserve">, Ainslie Multipurpose Pavilion redevelopment $0.5 million and Springfield Sporting Pavilion redevelopment is anticipated. </w:t>
      </w:r>
      <w:proofErr w:type="gramStart"/>
      <w:r w:rsidR="00AB0B50" w:rsidRPr="00E67538">
        <w:rPr>
          <w:rFonts w:cs="Arial"/>
        </w:rPr>
        <w:t>A</w:t>
      </w:r>
      <w:r w:rsidR="00E67538" w:rsidRPr="00E67538">
        <w:rPr>
          <w:rFonts w:cs="Arial"/>
        </w:rPr>
        <w:t>n</w:t>
      </w:r>
      <w:proofErr w:type="gramEnd"/>
      <w:r w:rsidR="00AB0B50" w:rsidRPr="00E67538">
        <w:rPr>
          <w:rFonts w:cs="Arial"/>
        </w:rPr>
        <w:t xml:space="preserve"> </w:t>
      </w:r>
      <w:r w:rsidR="00E67538" w:rsidRPr="00E67538">
        <w:rPr>
          <w:rFonts w:cs="Arial"/>
        </w:rPr>
        <w:t>de</w:t>
      </w:r>
      <w:r w:rsidR="00AB0B50" w:rsidRPr="00E67538">
        <w:rPr>
          <w:rFonts w:cs="Arial"/>
        </w:rPr>
        <w:t xml:space="preserve">crease in the </w:t>
      </w:r>
      <w:r w:rsidRPr="00E67538">
        <w:rPr>
          <w:rFonts w:cs="Arial"/>
        </w:rPr>
        <w:t>Roads to Recovery program $0.</w:t>
      </w:r>
      <w:r w:rsidR="00E67538" w:rsidRPr="00E67538">
        <w:rPr>
          <w:rFonts w:cs="Arial"/>
        </w:rPr>
        <w:t>18</w:t>
      </w:r>
      <w:r w:rsidRPr="00E67538">
        <w:rPr>
          <w:rFonts w:cs="Arial"/>
        </w:rPr>
        <w:t xml:space="preserve"> million is </w:t>
      </w:r>
      <w:r w:rsidR="00AB0B50" w:rsidRPr="00E67538">
        <w:rPr>
          <w:rFonts w:cs="Arial"/>
        </w:rPr>
        <w:t xml:space="preserve">also </w:t>
      </w:r>
      <w:r w:rsidRPr="00E67538">
        <w:rPr>
          <w:rFonts w:cs="Arial"/>
        </w:rPr>
        <w:t>anticipated;</w:t>
      </w:r>
      <w:r w:rsidR="00E64BB3" w:rsidRPr="00E67538">
        <w:rPr>
          <w:rFonts w:cs="Arial"/>
        </w:rPr>
        <w:t xml:space="preserve"> and</w:t>
      </w:r>
    </w:p>
    <w:p w:rsidR="00AB0B50" w:rsidRPr="001E267D" w:rsidRDefault="00AB0B50" w:rsidP="00AB0B50">
      <w:pPr>
        <w:spacing w:after="200" w:line="276" w:lineRule="auto"/>
        <w:ind w:left="720"/>
        <w:contextualSpacing/>
        <w:jc w:val="both"/>
        <w:rPr>
          <w:rFonts w:cs="Arial"/>
        </w:rPr>
      </w:pPr>
    </w:p>
    <w:p w:rsidR="007308C5" w:rsidRPr="00B04243" w:rsidRDefault="007308C5" w:rsidP="00274DF7">
      <w:pPr>
        <w:numPr>
          <w:ilvl w:val="0"/>
          <w:numId w:val="1"/>
        </w:numPr>
        <w:spacing w:after="200" w:line="276" w:lineRule="auto"/>
        <w:contextualSpacing/>
        <w:jc w:val="both"/>
        <w:rPr>
          <w:rFonts w:cs="Arial"/>
        </w:rPr>
      </w:pPr>
      <w:r w:rsidRPr="00D0052E">
        <w:rPr>
          <w:rFonts w:cs="Arial"/>
        </w:rPr>
        <w:t xml:space="preserve">Public Open Space contributions are forecast </w:t>
      </w:r>
      <w:r w:rsidRPr="00B04243">
        <w:rPr>
          <w:rFonts w:cs="Arial"/>
        </w:rPr>
        <w:t xml:space="preserve">to </w:t>
      </w:r>
      <w:r w:rsidR="00E67538">
        <w:rPr>
          <w:rFonts w:cs="Arial"/>
        </w:rPr>
        <w:t>de</w:t>
      </w:r>
      <w:r w:rsidR="00A81E18" w:rsidRPr="00B04243">
        <w:rPr>
          <w:rFonts w:cs="Arial"/>
        </w:rPr>
        <w:t xml:space="preserve">crease to </w:t>
      </w:r>
      <w:r w:rsidR="00A81E18" w:rsidRPr="00E67538">
        <w:rPr>
          <w:rFonts w:cs="Arial"/>
        </w:rPr>
        <w:t>$</w:t>
      </w:r>
      <w:r w:rsidR="00B04243" w:rsidRPr="00E67538">
        <w:rPr>
          <w:rFonts w:cs="Arial"/>
        </w:rPr>
        <w:t>3.</w:t>
      </w:r>
      <w:r w:rsidR="00E67538" w:rsidRPr="00E67538">
        <w:rPr>
          <w:rFonts w:cs="Arial"/>
        </w:rPr>
        <w:t>1</w:t>
      </w:r>
      <w:r w:rsidR="00A81E18" w:rsidRPr="00E67538">
        <w:rPr>
          <w:rFonts w:cs="Arial"/>
        </w:rPr>
        <w:t xml:space="preserve"> million </w:t>
      </w:r>
      <w:r w:rsidR="00A81E18" w:rsidRPr="00B04243">
        <w:rPr>
          <w:rFonts w:cs="Arial"/>
        </w:rPr>
        <w:t xml:space="preserve">compared with </w:t>
      </w:r>
      <w:r w:rsidRPr="00B04243">
        <w:rPr>
          <w:rFonts w:cs="Arial"/>
        </w:rPr>
        <w:t>201</w:t>
      </w:r>
      <w:r w:rsidR="006F4C18" w:rsidRPr="00B04243">
        <w:rPr>
          <w:rFonts w:cs="Arial"/>
        </w:rPr>
        <w:t>9</w:t>
      </w:r>
      <w:r w:rsidRPr="00B04243">
        <w:rPr>
          <w:rFonts w:cs="Arial"/>
        </w:rPr>
        <w:t>/</w:t>
      </w:r>
      <w:r w:rsidR="006F4C18" w:rsidRPr="00B04243">
        <w:rPr>
          <w:rFonts w:cs="Arial"/>
        </w:rPr>
        <w:t>20</w:t>
      </w:r>
      <w:r w:rsidRPr="00B04243">
        <w:rPr>
          <w:rFonts w:cs="Arial"/>
        </w:rPr>
        <w:t xml:space="preserve"> levels of $</w:t>
      </w:r>
      <w:r w:rsidR="00E67538">
        <w:rPr>
          <w:rFonts w:cs="Arial"/>
        </w:rPr>
        <w:t>3.4</w:t>
      </w:r>
      <w:r w:rsidRPr="00B04243">
        <w:rPr>
          <w:rFonts w:cs="Arial"/>
        </w:rPr>
        <w:t xml:space="preserve"> million.</w:t>
      </w:r>
    </w:p>
    <w:p w:rsidR="007308C5" w:rsidRPr="00E062F5" w:rsidRDefault="007308C5" w:rsidP="007308C5">
      <w:pPr>
        <w:spacing w:after="200" w:line="276" w:lineRule="auto"/>
        <w:ind w:left="720"/>
        <w:contextualSpacing/>
        <w:jc w:val="both"/>
        <w:rPr>
          <w:rFonts w:cs="Arial"/>
          <w:color w:val="FF0000"/>
        </w:rPr>
      </w:pPr>
    </w:p>
    <w:p w:rsidR="007308C5" w:rsidRPr="00E062F5" w:rsidRDefault="001B3847" w:rsidP="007308C5">
      <w:pPr>
        <w:rPr>
          <w:rFonts w:eastAsia="Times New Roman" w:cs="Arial"/>
          <w:b/>
          <w:bCs/>
          <w:color w:val="FF0000"/>
          <w:sz w:val="26"/>
          <w:szCs w:val="26"/>
          <w:lang w:eastAsia="en-AU"/>
        </w:rPr>
      </w:pPr>
      <w:r w:rsidRPr="001B3847">
        <w:rPr>
          <w:rFonts w:eastAsia="Times New Roman" w:cs="Arial"/>
          <w:b/>
          <w:color w:val="4A66AC" w:themeColor="accent1"/>
        </w:rPr>
        <w:t>4</w:t>
      </w:r>
      <w:r w:rsidR="007308C5" w:rsidRPr="001B3847">
        <w:rPr>
          <w:rFonts w:eastAsia="Times New Roman" w:cs="Arial"/>
          <w:b/>
          <w:color w:val="4A66AC" w:themeColor="accent1"/>
        </w:rPr>
        <w:t>.3 Internal Influences</w:t>
      </w:r>
    </w:p>
    <w:p w:rsidR="007308C5" w:rsidRPr="00E062F5" w:rsidRDefault="007308C5" w:rsidP="007308C5">
      <w:pPr>
        <w:rPr>
          <w:rFonts w:eastAsia="Times New Roman" w:cs="Arial"/>
          <w:color w:val="FF0000"/>
          <w:szCs w:val="20"/>
        </w:rPr>
      </w:pPr>
    </w:p>
    <w:p w:rsidR="007308C5" w:rsidRPr="007644CB" w:rsidRDefault="007308C5" w:rsidP="007308C5">
      <w:pPr>
        <w:jc w:val="both"/>
        <w:rPr>
          <w:rFonts w:eastAsia="Times New Roman" w:cs="Arial"/>
        </w:rPr>
      </w:pPr>
      <w:r w:rsidRPr="007644CB">
        <w:rPr>
          <w:rFonts w:eastAsia="Times New Roman" w:cs="Arial"/>
        </w:rPr>
        <w:t xml:space="preserve">As well as external influences, there are also </w:t>
      </w:r>
      <w:proofErr w:type="gramStart"/>
      <w:r w:rsidRPr="007644CB">
        <w:rPr>
          <w:rFonts w:eastAsia="Times New Roman" w:cs="Arial"/>
        </w:rPr>
        <w:t>a number of</w:t>
      </w:r>
      <w:proofErr w:type="gramEnd"/>
      <w:r w:rsidRPr="007644CB">
        <w:rPr>
          <w:rFonts w:eastAsia="Times New Roman" w:cs="Arial"/>
        </w:rPr>
        <w:t xml:space="preserve"> internal influences which are expected to have a significant impact on the 20</w:t>
      </w:r>
      <w:r w:rsidR="00716591">
        <w:rPr>
          <w:rFonts w:eastAsia="Times New Roman" w:cs="Arial"/>
        </w:rPr>
        <w:t>20</w:t>
      </w:r>
      <w:r w:rsidRPr="007644CB">
        <w:rPr>
          <w:rFonts w:eastAsia="Times New Roman" w:cs="Arial"/>
        </w:rPr>
        <w:t>/</w:t>
      </w:r>
      <w:r w:rsidR="00841240">
        <w:rPr>
          <w:rFonts w:eastAsia="Times New Roman" w:cs="Arial"/>
        </w:rPr>
        <w:t>2</w:t>
      </w:r>
      <w:r w:rsidR="00716591">
        <w:rPr>
          <w:rFonts w:eastAsia="Times New Roman" w:cs="Arial"/>
        </w:rPr>
        <w:t>1</w:t>
      </w:r>
      <w:r w:rsidRPr="007644CB">
        <w:rPr>
          <w:rFonts w:eastAsia="Times New Roman" w:cs="Arial"/>
        </w:rPr>
        <w:t xml:space="preserve"> budget.  These matters and their financial impact when compared to the 201</w:t>
      </w:r>
      <w:r w:rsidR="00716591">
        <w:rPr>
          <w:rFonts w:eastAsia="Times New Roman" w:cs="Arial"/>
        </w:rPr>
        <w:t>9</w:t>
      </w:r>
      <w:r w:rsidRPr="007644CB">
        <w:rPr>
          <w:rFonts w:eastAsia="Times New Roman" w:cs="Arial"/>
        </w:rPr>
        <w:t>/</w:t>
      </w:r>
      <w:r w:rsidR="00716591">
        <w:rPr>
          <w:rFonts w:eastAsia="Times New Roman" w:cs="Arial"/>
        </w:rPr>
        <w:t>20</w:t>
      </w:r>
      <w:r w:rsidRPr="007644CB">
        <w:rPr>
          <w:rFonts w:eastAsia="Times New Roman" w:cs="Arial"/>
        </w:rPr>
        <w:t xml:space="preserve"> budget are set out below:</w:t>
      </w:r>
    </w:p>
    <w:p w:rsidR="007308C5" w:rsidRPr="00B82D88" w:rsidRDefault="007308C5" w:rsidP="007308C5">
      <w:pPr>
        <w:jc w:val="both"/>
        <w:rPr>
          <w:rFonts w:eastAsia="Times New Roman" w:cs="Arial"/>
          <w:szCs w:val="20"/>
        </w:rPr>
      </w:pPr>
    </w:p>
    <w:p w:rsidR="007308C5" w:rsidRPr="00FA6E10" w:rsidRDefault="007308C5" w:rsidP="00274DF7">
      <w:pPr>
        <w:numPr>
          <w:ilvl w:val="0"/>
          <w:numId w:val="12"/>
        </w:numPr>
        <w:spacing w:after="200" w:line="276" w:lineRule="auto"/>
        <w:contextualSpacing/>
        <w:jc w:val="both"/>
        <w:rPr>
          <w:rFonts w:cs="Arial"/>
        </w:rPr>
      </w:pPr>
      <w:r w:rsidRPr="00B82D88">
        <w:rPr>
          <w:rFonts w:cs="Arial"/>
        </w:rPr>
        <w:t>Depreciation is a major influence on the budget as it appears as a cost against the Comprehensive Income Statement. Depreciation for 20</w:t>
      </w:r>
      <w:r w:rsidR="00716591">
        <w:rPr>
          <w:rFonts w:cs="Arial"/>
        </w:rPr>
        <w:t>20</w:t>
      </w:r>
      <w:r w:rsidRPr="0086598F">
        <w:rPr>
          <w:rFonts w:cs="Arial"/>
        </w:rPr>
        <w:t>/</w:t>
      </w:r>
      <w:r w:rsidR="00841240" w:rsidRPr="0086598F">
        <w:rPr>
          <w:rFonts w:cs="Arial"/>
        </w:rPr>
        <w:t>2</w:t>
      </w:r>
      <w:r w:rsidR="00716591" w:rsidRPr="0086598F">
        <w:rPr>
          <w:rFonts w:cs="Arial"/>
        </w:rPr>
        <w:t>1</w:t>
      </w:r>
      <w:r w:rsidRPr="0086598F">
        <w:rPr>
          <w:rFonts w:cs="Arial"/>
        </w:rPr>
        <w:t xml:space="preserve"> is $</w:t>
      </w:r>
      <w:r w:rsidR="00841240" w:rsidRPr="0086598F">
        <w:rPr>
          <w:rFonts w:cs="Arial"/>
        </w:rPr>
        <w:t>2</w:t>
      </w:r>
      <w:r w:rsidR="006805A0" w:rsidRPr="0086598F">
        <w:rPr>
          <w:rFonts w:cs="Arial"/>
        </w:rPr>
        <w:t>4</w:t>
      </w:r>
      <w:r w:rsidR="00841240" w:rsidRPr="0086598F">
        <w:rPr>
          <w:rFonts w:cs="Arial"/>
        </w:rPr>
        <w:t>.</w:t>
      </w:r>
      <w:r w:rsidR="0086598F" w:rsidRPr="0086598F">
        <w:rPr>
          <w:rFonts w:cs="Arial"/>
        </w:rPr>
        <w:t>4</w:t>
      </w:r>
      <w:r w:rsidRPr="0086598F">
        <w:rPr>
          <w:rFonts w:cs="Arial"/>
        </w:rPr>
        <w:t xml:space="preserve"> million</w:t>
      </w:r>
      <w:r w:rsidRPr="006805A0">
        <w:rPr>
          <w:rFonts w:cs="Arial"/>
        </w:rPr>
        <w:t xml:space="preserve">. </w:t>
      </w:r>
      <w:r w:rsidRPr="00B82D88">
        <w:rPr>
          <w:rFonts w:cs="Arial"/>
        </w:rPr>
        <w:t xml:space="preserve">Council must ensure its capital renewal program at minimum keeps pace with this figure to ensure adequate maintenance </w:t>
      </w:r>
      <w:r w:rsidRPr="00FA6E10">
        <w:rPr>
          <w:rFonts w:cs="Arial"/>
        </w:rPr>
        <w:t xml:space="preserve">of </w:t>
      </w:r>
      <w:r w:rsidRPr="0086598F">
        <w:rPr>
          <w:rFonts w:cs="Arial"/>
        </w:rPr>
        <w:t>Council’s $1.</w:t>
      </w:r>
      <w:r w:rsidR="00FA6E10" w:rsidRPr="0086598F">
        <w:rPr>
          <w:rFonts w:cs="Arial"/>
        </w:rPr>
        <w:t>9</w:t>
      </w:r>
      <w:r w:rsidR="0086598F" w:rsidRPr="0086598F">
        <w:rPr>
          <w:rFonts w:cs="Arial"/>
        </w:rPr>
        <w:t>2</w:t>
      </w:r>
      <w:r w:rsidR="00FA6E10" w:rsidRPr="0086598F">
        <w:rPr>
          <w:rFonts w:cs="Arial"/>
        </w:rPr>
        <w:t xml:space="preserve"> </w:t>
      </w:r>
      <w:r w:rsidR="00D44F86" w:rsidRPr="00FA6E10">
        <w:rPr>
          <w:rFonts w:cs="Arial"/>
        </w:rPr>
        <w:t>billion i</w:t>
      </w:r>
      <w:r w:rsidRPr="00FA6E10">
        <w:rPr>
          <w:rFonts w:cs="Arial"/>
        </w:rPr>
        <w:t>nfrastructure;</w:t>
      </w:r>
    </w:p>
    <w:p w:rsidR="00282EBF" w:rsidRDefault="00282EBF" w:rsidP="00282EBF">
      <w:pPr>
        <w:spacing w:after="200" w:line="276" w:lineRule="auto"/>
        <w:ind w:left="720"/>
        <w:contextualSpacing/>
        <w:jc w:val="both"/>
        <w:rPr>
          <w:rFonts w:cs="Arial"/>
        </w:rPr>
      </w:pPr>
    </w:p>
    <w:p w:rsidR="007308C5" w:rsidRPr="00D65B57" w:rsidRDefault="007308C5" w:rsidP="00274DF7">
      <w:pPr>
        <w:numPr>
          <w:ilvl w:val="0"/>
          <w:numId w:val="12"/>
        </w:numPr>
        <w:spacing w:after="200" w:line="276" w:lineRule="auto"/>
        <w:contextualSpacing/>
        <w:jc w:val="both"/>
        <w:rPr>
          <w:rFonts w:cs="Arial"/>
        </w:rPr>
      </w:pPr>
      <w:r w:rsidRPr="008D0DCA">
        <w:rPr>
          <w:rFonts w:cs="Arial"/>
        </w:rPr>
        <w:t xml:space="preserve">The inclusion of </w:t>
      </w:r>
      <w:r w:rsidR="002D6B9B" w:rsidRPr="000C7E46">
        <w:rPr>
          <w:rFonts w:cs="Arial"/>
        </w:rPr>
        <w:t>65</w:t>
      </w:r>
      <w:r w:rsidRPr="000C7E46">
        <w:rPr>
          <w:rFonts w:cs="Arial"/>
        </w:rPr>
        <w:t xml:space="preserve"> Council Plan Priority Actions (Major initiatives and initiatives)</w:t>
      </w:r>
      <w:r w:rsidR="008D0DCA" w:rsidRPr="008D0DCA">
        <w:rPr>
          <w:rFonts w:cs="Arial"/>
        </w:rPr>
        <w:t xml:space="preserve"> that will be undertaken by Council in 20</w:t>
      </w:r>
      <w:r w:rsidR="00273644">
        <w:rPr>
          <w:rFonts w:cs="Arial"/>
        </w:rPr>
        <w:t>20</w:t>
      </w:r>
      <w:r w:rsidR="008D0DCA" w:rsidRPr="008D0DCA">
        <w:rPr>
          <w:rFonts w:cs="Arial"/>
        </w:rPr>
        <w:t>/</w:t>
      </w:r>
      <w:r w:rsidR="00801AD3">
        <w:rPr>
          <w:rFonts w:cs="Arial"/>
        </w:rPr>
        <w:t>2</w:t>
      </w:r>
      <w:r w:rsidR="00273644">
        <w:rPr>
          <w:rFonts w:cs="Arial"/>
        </w:rPr>
        <w:t>1</w:t>
      </w:r>
      <w:r w:rsidR="008D0DCA" w:rsidRPr="008D0DCA">
        <w:rPr>
          <w:rFonts w:cs="Arial"/>
        </w:rPr>
        <w:t xml:space="preserve"> that will contribute</w:t>
      </w:r>
      <w:r w:rsidR="007E505C">
        <w:rPr>
          <w:rFonts w:cs="Arial"/>
        </w:rPr>
        <w:t xml:space="preserve"> </w:t>
      </w:r>
      <w:r w:rsidR="008D0DCA" w:rsidRPr="008D0DCA">
        <w:rPr>
          <w:rFonts w:cs="Arial"/>
        </w:rPr>
        <w:t xml:space="preserve">to the achievement of preferred community outcomes outlined in Maroondah 2040: </w:t>
      </w:r>
      <w:r w:rsidR="008D0DCA" w:rsidRPr="008D0DCA">
        <w:rPr>
          <w:rFonts w:cs="Arial"/>
          <w:i/>
        </w:rPr>
        <w:t>Our future together</w:t>
      </w:r>
      <w:r w:rsidR="008D0DCA" w:rsidRPr="008D0DCA">
        <w:rPr>
          <w:rFonts w:cs="Arial"/>
        </w:rPr>
        <w:t>.</w:t>
      </w:r>
      <w:r w:rsidRPr="008D0DCA">
        <w:rPr>
          <w:rFonts w:cs="Arial"/>
        </w:rPr>
        <w:t xml:space="preserve"> </w:t>
      </w:r>
      <w:r w:rsidRPr="00C95E77">
        <w:rPr>
          <w:rFonts w:cs="Arial"/>
        </w:rPr>
        <w:t xml:space="preserve">Some of the initiatives </w:t>
      </w:r>
      <w:r w:rsidR="00735377" w:rsidRPr="00C95E77">
        <w:rPr>
          <w:rFonts w:cs="Arial"/>
        </w:rPr>
        <w:t xml:space="preserve">are included below, for a </w:t>
      </w:r>
      <w:r w:rsidR="00735377" w:rsidRPr="00D65B57">
        <w:rPr>
          <w:rFonts w:cs="Arial"/>
        </w:rPr>
        <w:t>full list of all initiatives refer to Section 2</w:t>
      </w:r>
      <w:r w:rsidRPr="00D65B57">
        <w:rPr>
          <w:rFonts w:cs="Arial"/>
        </w:rPr>
        <w:t>:</w:t>
      </w:r>
    </w:p>
    <w:p w:rsidR="00D65B57" w:rsidRDefault="00D65B57" w:rsidP="00D65B57">
      <w:pPr>
        <w:pStyle w:val="ListParagraph"/>
        <w:numPr>
          <w:ilvl w:val="1"/>
          <w:numId w:val="12"/>
        </w:numPr>
        <w:jc w:val="both"/>
        <w:rPr>
          <w:rFonts w:ascii="Arial" w:hAnsi="Arial" w:cs="Arial"/>
        </w:rPr>
      </w:pPr>
      <w:r w:rsidRPr="00D65B57">
        <w:rPr>
          <w:rFonts w:ascii="Arial" w:hAnsi="Arial" w:cs="Arial"/>
        </w:rPr>
        <w:t>Design and construct multi-level commuter carparks in Croydon; Ringwood; Heathmont; and Heatherdale station;</w:t>
      </w:r>
    </w:p>
    <w:p w:rsidR="00D65B57" w:rsidRPr="00D65B57" w:rsidRDefault="00D65B57" w:rsidP="00D65B57">
      <w:pPr>
        <w:pStyle w:val="ListParagraph"/>
        <w:ind w:left="1440"/>
        <w:jc w:val="both"/>
        <w:rPr>
          <w:rFonts w:ascii="Arial" w:hAnsi="Arial" w:cs="Arial"/>
        </w:rPr>
      </w:pPr>
    </w:p>
    <w:p w:rsidR="00D65B57" w:rsidRDefault="00D65B57" w:rsidP="00D65B57">
      <w:pPr>
        <w:pStyle w:val="ListParagraph"/>
        <w:numPr>
          <w:ilvl w:val="1"/>
          <w:numId w:val="12"/>
        </w:numPr>
        <w:jc w:val="both"/>
        <w:rPr>
          <w:rFonts w:ascii="Arial" w:hAnsi="Arial" w:cs="Arial"/>
        </w:rPr>
      </w:pPr>
      <w:r w:rsidRPr="00D65B57">
        <w:rPr>
          <w:rFonts w:ascii="Arial" w:hAnsi="Arial" w:cs="Arial"/>
        </w:rPr>
        <w:t>Undertake a strategic review of shopping centres in Maroondah and develop a Community Shopping Centre Strategy;</w:t>
      </w:r>
    </w:p>
    <w:p w:rsidR="00D65B57" w:rsidRPr="00D65B57" w:rsidRDefault="00D65B57" w:rsidP="00D65B57">
      <w:pPr>
        <w:pStyle w:val="ListParagraph"/>
        <w:rPr>
          <w:rFonts w:ascii="Arial" w:hAnsi="Arial" w:cs="Arial"/>
        </w:rPr>
      </w:pPr>
    </w:p>
    <w:p w:rsidR="00D65B57" w:rsidRDefault="00D65B57" w:rsidP="00D65B57">
      <w:pPr>
        <w:pStyle w:val="ListParagraph"/>
        <w:numPr>
          <w:ilvl w:val="1"/>
          <w:numId w:val="12"/>
        </w:numPr>
        <w:jc w:val="both"/>
        <w:rPr>
          <w:rFonts w:ascii="Arial" w:hAnsi="Arial" w:cs="Arial"/>
        </w:rPr>
      </w:pPr>
      <w:r w:rsidRPr="00D65B57">
        <w:rPr>
          <w:rFonts w:ascii="Arial" w:hAnsi="Arial" w:cs="Arial"/>
        </w:rPr>
        <w:t xml:space="preserve">Design and construct sporting / multipurpose pavilion redevelopments at HE Parker Reserve, Silcock Reserve, </w:t>
      </w:r>
      <w:r w:rsidR="00916209">
        <w:rPr>
          <w:rFonts w:ascii="Arial" w:hAnsi="Arial" w:cs="Arial"/>
        </w:rPr>
        <w:t>P</w:t>
      </w:r>
      <w:r w:rsidRPr="00D65B57">
        <w:rPr>
          <w:rFonts w:ascii="Arial" w:hAnsi="Arial" w:cs="Arial"/>
        </w:rPr>
        <w:t>roclamation Park</w:t>
      </w:r>
      <w:r w:rsidR="00916209">
        <w:rPr>
          <w:rFonts w:ascii="Arial" w:hAnsi="Arial" w:cs="Arial"/>
        </w:rPr>
        <w:t>,</w:t>
      </w:r>
      <w:r w:rsidRPr="00D65B57">
        <w:rPr>
          <w:rFonts w:ascii="Arial" w:hAnsi="Arial" w:cs="Arial"/>
        </w:rPr>
        <w:t xml:space="preserve"> Springfield</w:t>
      </w:r>
      <w:r w:rsidR="00916209">
        <w:rPr>
          <w:rFonts w:ascii="Arial" w:hAnsi="Arial" w:cs="Arial"/>
        </w:rPr>
        <w:t xml:space="preserve"> Park</w:t>
      </w:r>
      <w:r w:rsidRPr="00D65B57">
        <w:rPr>
          <w:rFonts w:ascii="Arial" w:hAnsi="Arial" w:cs="Arial"/>
        </w:rPr>
        <w:t xml:space="preserve"> and Ainslie Park;</w:t>
      </w:r>
    </w:p>
    <w:p w:rsidR="00D65B57" w:rsidRPr="00D65B57" w:rsidRDefault="00D65B57" w:rsidP="00D65B57">
      <w:pPr>
        <w:pStyle w:val="ListParagraph"/>
        <w:rPr>
          <w:rFonts w:ascii="Arial" w:hAnsi="Arial" w:cs="Arial"/>
        </w:rPr>
      </w:pPr>
    </w:p>
    <w:p w:rsidR="00D65B57" w:rsidRDefault="00D65B57" w:rsidP="00D65B57">
      <w:pPr>
        <w:pStyle w:val="ListParagraph"/>
        <w:numPr>
          <w:ilvl w:val="1"/>
          <w:numId w:val="12"/>
        </w:numPr>
        <w:jc w:val="both"/>
        <w:rPr>
          <w:rFonts w:ascii="Arial" w:hAnsi="Arial" w:cs="Arial"/>
        </w:rPr>
      </w:pPr>
      <w:r w:rsidRPr="00D65B57">
        <w:rPr>
          <w:rFonts w:ascii="Arial" w:hAnsi="Arial" w:cs="Arial"/>
        </w:rPr>
        <w:t>Establish a regional cricket hub at Jubilee Park sporting precinct;</w:t>
      </w:r>
    </w:p>
    <w:p w:rsidR="00D65B57" w:rsidRPr="00D65B57" w:rsidRDefault="00D65B57" w:rsidP="00D65B57">
      <w:pPr>
        <w:pStyle w:val="ListParagraph"/>
        <w:rPr>
          <w:rFonts w:ascii="Arial" w:hAnsi="Arial" w:cs="Arial"/>
        </w:rPr>
      </w:pPr>
    </w:p>
    <w:p w:rsidR="00D65B57" w:rsidRDefault="00D65B57" w:rsidP="00D65B57">
      <w:pPr>
        <w:pStyle w:val="ListParagraph"/>
        <w:numPr>
          <w:ilvl w:val="1"/>
          <w:numId w:val="12"/>
        </w:numPr>
        <w:jc w:val="both"/>
        <w:rPr>
          <w:rFonts w:ascii="Arial" w:hAnsi="Arial" w:cs="Arial"/>
        </w:rPr>
      </w:pPr>
      <w:r w:rsidRPr="00D65B57">
        <w:rPr>
          <w:rFonts w:ascii="Arial" w:hAnsi="Arial" w:cs="Arial"/>
        </w:rPr>
        <w:t>Complete the Lincoln Road upgrade, east of Dorset Road, Croydon;</w:t>
      </w:r>
    </w:p>
    <w:p w:rsidR="00D65B57" w:rsidRPr="00D65B57" w:rsidRDefault="00D65B57" w:rsidP="00D65B57">
      <w:pPr>
        <w:pStyle w:val="ListParagraph"/>
        <w:rPr>
          <w:rFonts w:ascii="Arial" w:hAnsi="Arial" w:cs="Arial"/>
        </w:rPr>
      </w:pPr>
    </w:p>
    <w:p w:rsidR="00D65B57" w:rsidRDefault="00D65B57" w:rsidP="00D65B57">
      <w:pPr>
        <w:pStyle w:val="ListParagraph"/>
        <w:numPr>
          <w:ilvl w:val="1"/>
          <w:numId w:val="12"/>
        </w:numPr>
        <w:jc w:val="both"/>
        <w:rPr>
          <w:rFonts w:ascii="Arial" w:hAnsi="Arial" w:cs="Arial"/>
        </w:rPr>
      </w:pPr>
      <w:r w:rsidRPr="00D65B57">
        <w:rPr>
          <w:rFonts w:ascii="Arial" w:hAnsi="Arial" w:cs="Arial"/>
        </w:rPr>
        <w:t>Implement the Greening the Greyfields project in partnership with stakeholders to facilitate a sustainable approach to urban redevelopment in identified residential precincts;</w:t>
      </w:r>
      <w:r>
        <w:rPr>
          <w:rFonts w:ascii="Arial" w:hAnsi="Arial" w:cs="Arial"/>
        </w:rPr>
        <w:t xml:space="preserve"> and</w:t>
      </w:r>
    </w:p>
    <w:p w:rsidR="00D65B57" w:rsidRPr="00D65B57" w:rsidRDefault="00D65B57" w:rsidP="00D65B57">
      <w:pPr>
        <w:pStyle w:val="ListParagraph"/>
        <w:rPr>
          <w:rFonts w:ascii="Arial" w:hAnsi="Arial" w:cs="Arial"/>
        </w:rPr>
      </w:pPr>
    </w:p>
    <w:p w:rsidR="00D65B57" w:rsidRPr="00D65B57" w:rsidRDefault="00D65B57" w:rsidP="00D65B57">
      <w:pPr>
        <w:pStyle w:val="ListParagraph"/>
        <w:numPr>
          <w:ilvl w:val="1"/>
          <w:numId w:val="12"/>
        </w:numPr>
        <w:jc w:val="both"/>
        <w:rPr>
          <w:rFonts w:ascii="Arial" w:hAnsi="Arial" w:cs="Arial"/>
        </w:rPr>
      </w:pPr>
      <w:r w:rsidRPr="00D65B57">
        <w:rPr>
          <w:rFonts w:ascii="Arial" w:hAnsi="Arial" w:cs="Arial"/>
        </w:rPr>
        <w:t>Undertake the staged redevelopment of the Croydon Community Precinct.</w:t>
      </w:r>
    </w:p>
    <w:p w:rsidR="00282EBF" w:rsidRPr="00E062F5" w:rsidRDefault="00282EBF" w:rsidP="007308C5">
      <w:pPr>
        <w:rPr>
          <w:rFonts w:eastAsia="Times New Roman" w:cs="Arial"/>
          <w:b/>
          <w:color w:val="FF0000"/>
        </w:rPr>
      </w:pPr>
    </w:p>
    <w:p w:rsidR="007308C5" w:rsidRPr="00CF69E1" w:rsidRDefault="001A0A01" w:rsidP="007308C5">
      <w:pPr>
        <w:rPr>
          <w:rFonts w:eastAsia="Times New Roman" w:cs="Arial"/>
          <w:szCs w:val="20"/>
        </w:rPr>
      </w:pPr>
      <w:r w:rsidRPr="00364826">
        <w:rPr>
          <w:rFonts w:eastAsia="Times New Roman" w:cs="Arial"/>
          <w:b/>
          <w:color w:val="4A66AC" w:themeColor="accent1"/>
        </w:rPr>
        <w:t>4</w:t>
      </w:r>
      <w:r w:rsidR="007308C5" w:rsidRPr="00364826">
        <w:rPr>
          <w:rFonts w:eastAsia="Times New Roman" w:cs="Arial"/>
          <w:b/>
          <w:color w:val="4A66AC" w:themeColor="accent1"/>
        </w:rPr>
        <w:t>.4 Budget Principles</w:t>
      </w:r>
    </w:p>
    <w:p w:rsidR="007308C5" w:rsidRPr="00CF69E1" w:rsidRDefault="007308C5" w:rsidP="007308C5">
      <w:pPr>
        <w:rPr>
          <w:rFonts w:eastAsia="Times New Roman" w:cs="Arial"/>
          <w:szCs w:val="20"/>
        </w:rPr>
      </w:pPr>
    </w:p>
    <w:p w:rsidR="007308C5" w:rsidRPr="00CF69E1" w:rsidRDefault="007308C5" w:rsidP="007308C5">
      <w:pPr>
        <w:jc w:val="both"/>
        <w:rPr>
          <w:rFonts w:eastAsia="Times New Roman" w:cs="Arial"/>
        </w:rPr>
      </w:pPr>
      <w:r w:rsidRPr="00CF69E1">
        <w:rPr>
          <w:rFonts w:eastAsia="Times New Roman" w:cs="Arial"/>
        </w:rPr>
        <w:t xml:space="preserve">In response to these influences, guidelines were prepared and distributed to all Council </w:t>
      </w:r>
      <w:r w:rsidR="00DC3B60">
        <w:rPr>
          <w:rFonts w:eastAsia="Times New Roman" w:cs="Arial"/>
        </w:rPr>
        <w:t>employees</w:t>
      </w:r>
      <w:r w:rsidRPr="00CF69E1">
        <w:rPr>
          <w:rFonts w:eastAsia="Times New Roman" w:cs="Arial"/>
        </w:rPr>
        <w:t xml:space="preserve"> with budget responsibilities. The guidelines set out the key budget principles upon which the </w:t>
      </w:r>
      <w:r w:rsidR="005A6363">
        <w:rPr>
          <w:rFonts w:eastAsia="Times New Roman" w:cs="Arial"/>
        </w:rPr>
        <w:t>employees</w:t>
      </w:r>
      <w:r w:rsidRPr="00CF69E1">
        <w:rPr>
          <w:rFonts w:eastAsia="Times New Roman" w:cs="Arial"/>
        </w:rPr>
        <w:t xml:space="preserve"> prepare their budgets.</w:t>
      </w:r>
    </w:p>
    <w:p w:rsidR="007308C5" w:rsidRPr="00CF69E1" w:rsidRDefault="007308C5" w:rsidP="007308C5">
      <w:pPr>
        <w:jc w:val="both"/>
        <w:rPr>
          <w:rFonts w:eastAsia="Times New Roman" w:cs="Arial"/>
        </w:rPr>
      </w:pPr>
    </w:p>
    <w:p w:rsidR="007308C5" w:rsidRPr="00CF69E1" w:rsidRDefault="007308C5" w:rsidP="007308C5">
      <w:pPr>
        <w:jc w:val="both"/>
        <w:rPr>
          <w:rFonts w:eastAsia="Times New Roman" w:cs="Arial"/>
        </w:rPr>
      </w:pPr>
      <w:r w:rsidRPr="00CF69E1">
        <w:rPr>
          <w:rFonts w:eastAsia="Times New Roman" w:cs="Arial"/>
        </w:rPr>
        <w:t xml:space="preserve"> The principles included:</w:t>
      </w:r>
    </w:p>
    <w:p w:rsidR="007308C5" w:rsidRPr="00CF69E1" w:rsidRDefault="007308C5" w:rsidP="007308C5">
      <w:pPr>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The outcomes of Councils’ Long Term Financial Strategy will drive the 20</w:t>
      </w:r>
      <w:r w:rsidR="000529CB">
        <w:rPr>
          <w:rFonts w:eastAsia="Times New Roman" w:cs="Arial"/>
        </w:rPr>
        <w:t>20</w:t>
      </w:r>
      <w:r w:rsidRPr="00CF69E1">
        <w:rPr>
          <w:rFonts w:eastAsia="Times New Roman" w:cs="Arial"/>
        </w:rPr>
        <w:t>/</w:t>
      </w:r>
      <w:r w:rsidR="00F94D00">
        <w:rPr>
          <w:rFonts w:eastAsia="Times New Roman" w:cs="Arial"/>
        </w:rPr>
        <w:t>2</w:t>
      </w:r>
      <w:r w:rsidR="000529CB">
        <w:rPr>
          <w:rFonts w:eastAsia="Times New Roman" w:cs="Arial"/>
        </w:rPr>
        <w:t>1</w:t>
      </w:r>
      <w:r w:rsidRPr="00CF69E1">
        <w:rPr>
          <w:rFonts w:eastAsia="Times New Roman" w:cs="Arial"/>
        </w:rPr>
        <w:t xml:space="preserve"> budget process. The primary direction for the 20</w:t>
      </w:r>
      <w:r w:rsidR="000529CB">
        <w:rPr>
          <w:rFonts w:eastAsia="Times New Roman" w:cs="Arial"/>
        </w:rPr>
        <w:t>20</w:t>
      </w:r>
      <w:r w:rsidR="00F94D00">
        <w:rPr>
          <w:rFonts w:eastAsia="Times New Roman" w:cs="Arial"/>
        </w:rPr>
        <w:t>/2</w:t>
      </w:r>
      <w:r w:rsidR="000529CB">
        <w:rPr>
          <w:rFonts w:eastAsia="Times New Roman" w:cs="Arial"/>
        </w:rPr>
        <w:t>1</w:t>
      </w:r>
      <w:r w:rsidRPr="00CF69E1">
        <w:rPr>
          <w:rFonts w:eastAsia="Times New Roman" w:cs="Arial"/>
        </w:rPr>
        <w:t xml:space="preserve"> Budget is to ensure Council’s continued long term financial sustainability and that the requirements of the State Government in relation to Rate Capping are met;</w:t>
      </w:r>
    </w:p>
    <w:p w:rsidR="00262C19" w:rsidRPr="00CF69E1"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Service levels to be maintained at 201</w:t>
      </w:r>
      <w:r w:rsidR="000529CB">
        <w:rPr>
          <w:rFonts w:eastAsia="Times New Roman" w:cs="Arial"/>
        </w:rPr>
        <w:t>9</w:t>
      </w:r>
      <w:r w:rsidRPr="00CF69E1">
        <w:rPr>
          <w:rFonts w:eastAsia="Times New Roman" w:cs="Arial"/>
        </w:rPr>
        <w:t>/</w:t>
      </w:r>
      <w:r w:rsidR="000529CB">
        <w:rPr>
          <w:rFonts w:eastAsia="Times New Roman" w:cs="Arial"/>
        </w:rPr>
        <w:t>20</w:t>
      </w:r>
      <w:r w:rsidRPr="00CF69E1">
        <w:rPr>
          <w:rFonts w:eastAsia="Times New Roman" w:cs="Arial"/>
        </w:rPr>
        <w:t xml:space="preserve"> levels with the aim to use fewer resources with an emphasis on innovation, productivity and efficiency enhancements;</w:t>
      </w:r>
    </w:p>
    <w:p w:rsidR="00262C19"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Grants to be based on confirmed funding levels;</w:t>
      </w:r>
    </w:p>
    <w:p w:rsidR="00262C19" w:rsidRPr="00CF69E1"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New initiatives or new employee proposals which are not cost neutral to be justified through a business case;</w:t>
      </w:r>
    </w:p>
    <w:p w:rsidR="00262C19" w:rsidRPr="00CF69E1"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Existing fees and charges to be increased at a minimum of the Rates &amp; Charges % increase or market levels for unit costs and volume;</w:t>
      </w:r>
    </w:p>
    <w:p w:rsidR="00262C19" w:rsidRPr="00CF69E1"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New revenue sources such as partnerships and shared services to be identified where possible;</w:t>
      </w:r>
    </w:p>
    <w:p w:rsidR="00262C19" w:rsidRPr="00CF69E1" w:rsidRDefault="00262C19" w:rsidP="00262C19">
      <w:pPr>
        <w:ind w:left="426"/>
        <w:jc w:val="both"/>
        <w:rPr>
          <w:rFonts w:eastAsia="Times New Roman" w:cs="Arial"/>
        </w:rPr>
      </w:pPr>
    </w:p>
    <w:p w:rsidR="007308C5" w:rsidRDefault="007308C5" w:rsidP="00274DF7">
      <w:pPr>
        <w:numPr>
          <w:ilvl w:val="0"/>
          <w:numId w:val="6"/>
        </w:numPr>
        <w:ind w:left="426" w:hanging="426"/>
        <w:jc w:val="both"/>
        <w:rPr>
          <w:rFonts w:eastAsia="Times New Roman" w:cs="Arial"/>
        </w:rPr>
      </w:pPr>
      <w:r w:rsidRPr="00CF69E1">
        <w:rPr>
          <w:rFonts w:eastAsia="Times New Roman" w:cs="Arial"/>
        </w:rPr>
        <w:t>Salaries and wages to be increased in line with estimated Enterprise Bargaining outcomes; and</w:t>
      </w:r>
    </w:p>
    <w:p w:rsidR="00262C19" w:rsidRPr="00CF69E1" w:rsidRDefault="00262C19" w:rsidP="00262C19">
      <w:pPr>
        <w:ind w:left="426"/>
        <w:jc w:val="both"/>
        <w:rPr>
          <w:rFonts w:eastAsia="Times New Roman" w:cs="Arial"/>
        </w:rPr>
      </w:pPr>
    </w:p>
    <w:p w:rsidR="007308C5" w:rsidRPr="00CF69E1" w:rsidRDefault="007308C5" w:rsidP="00274DF7">
      <w:pPr>
        <w:numPr>
          <w:ilvl w:val="0"/>
          <w:numId w:val="6"/>
        </w:numPr>
        <w:ind w:left="426" w:hanging="426"/>
        <w:jc w:val="both"/>
        <w:rPr>
          <w:rFonts w:eastAsia="Times New Roman" w:cs="Arial"/>
        </w:rPr>
      </w:pPr>
      <w:r w:rsidRPr="00CF69E1">
        <w:rPr>
          <w:rFonts w:eastAsia="Times New Roman" w:cs="Arial"/>
        </w:rPr>
        <w:t>Operating revenue and expenses arising from completed 201</w:t>
      </w:r>
      <w:r w:rsidR="000529CB">
        <w:rPr>
          <w:rFonts w:eastAsia="Times New Roman" w:cs="Arial"/>
        </w:rPr>
        <w:t>9</w:t>
      </w:r>
      <w:r w:rsidRPr="00CF69E1">
        <w:rPr>
          <w:rFonts w:eastAsia="Times New Roman" w:cs="Arial"/>
        </w:rPr>
        <w:t>/</w:t>
      </w:r>
      <w:r w:rsidR="000529CB">
        <w:rPr>
          <w:rFonts w:eastAsia="Times New Roman" w:cs="Arial"/>
        </w:rPr>
        <w:t>20</w:t>
      </w:r>
      <w:r w:rsidRPr="00CF69E1">
        <w:rPr>
          <w:rFonts w:eastAsia="Times New Roman" w:cs="Arial"/>
        </w:rPr>
        <w:t xml:space="preserve"> capital projects to be included.</w:t>
      </w:r>
    </w:p>
    <w:p w:rsidR="007308C5" w:rsidRPr="0029462D" w:rsidRDefault="007308C5" w:rsidP="007308C5">
      <w:pPr>
        <w:rPr>
          <w:rFonts w:eastAsia="Times New Roman" w:cs="Arial"/>
          <w:b/>
          <w:bCs/>
          <w:color w:val="CC0000"/>
          <w:sz w:val="26"/>
          <w:szCs w:val="26"/>
          <w:lang w:eastAsia="en-AU"/>
        </w:rPr>
      </w:pPr>
    </w:p>
    <w:p w:rsidR="007308C5" w:rsidRPr="008F1692" w:rsidRDefault="007C1FFF" w:rsidP="007308C5">
      <w:pPr>
        <w:rPr>
          <w:rFonts w:eastAsia="Times New Roman" w:cs="Arial"/>
          <w:b/>
          <w:color w:val="4A66AC" w:themeColor="accent1"/>
        </w:rPr>
      </w:pPr>
      <w:r>
        <w:rPr>
          <w:rFonts w:eastAsia="Times New Roman" w:cs="Arial"/>
          <w:b/>
          <w:color w:val="4A66AC" w:themeColor="accent1"/>
        </w:rPr>
        <w:t>4</w:t>
      </w:r>
      <w:r w:rsidR="007308C5" w:rsidRPr="008F1692">
        <w:rPr>
          <w:rFonts w:eastAsia="Times New Roman" w:cs="Arial"/>
          <w:b/>
          <w:color w:val="4A66AC" w:themeColor="accent1"/>
        </w:rPr>
        <w:t>.5 Legislative requirements</w:t>
      </w:r>
    </w:p>
    <w:p w:rsidR="007308C5" w:rsidRPr="0029462D" w:rsidRDefault="007308C5" w:rsidP="007308C5">
      <w:pPr>
        <w:rPr>
          <w:rFonts w:eastAsia="Times New Roman" w:cs="Arial"/>
          <w:b/>
          <w:bCs/>
          <w:sz w:val="26"/>
          <w:szCs w:val="26"/>
          <w:lang w:eastAsia="en-AU"/>
        </w:rPr>
      </w:pPr>
    </w:p>
    <w:p w:rsidR="007308C5" w:rsidRPr="0029462D" w:rsidRDefault="007308C5" w:rsidP="007308C5">
      <w:pPr>
        <w:jc w:val="both"/>
        <w:rPr>
          <w:rFonts w:eastAsia="Times New Roman" w:cs="Arial"/>
        </w:rPr>
      </w:pPr>
      <w:r w:rsidRPr="0029462D">
        <w:rPr>
          <w:rFonts w:eastAsia="Times New Roman" w:cs="Arial"/>
        </w:rPr>
        <w:t>Under the Local Government Act 1989 (the Act), Council is required to prepare and adopt an annual budget for each financial year. The budget is required to include certain information about the rates and charges that Council intends to levy as well as a range of other information required by the Local Government (Planning and Reporting) Regulations 2014 (the Regulations) which support the Act. Refer appendix B.</w:t>
      </w:r>
    </w:p>
    <w:p w:rsidR="007308C5" w:rsidRPr="0029462D" w:rsidRDefault="007308C5" w:rsidP="007308C5">
      <w:pPr>
        <w:jc w:val="both"/>
        <w:rPr>
          <w:rFonts w:eastAsia="Times New Roman" w:cs="Arial"/>
        </w:rPr>
      </w:pPr>
    </w:p>
    <w:p w:rsidR="007308C5" w:rsidRPr="0029462D" w:rsidRDefault="007308C5" w:rsidP="007308C5">
      <w:pPr>
        <w:jc w:val="both"/>
        <w:rPr>
          <w:rFonts w:eastAsia="Times New Roman" w:cs="Arial"/>
        </w:rPr>
      </w:pPr>
      <w:r w:rsidRPr="0029462D">
        <w:rPr>
          <w:rFonts w:eastAsia="Times New Roman" w:cs="Arial"/>
        </w:rPr>
        <w:t>The 20</w:t>
      </w:r>
      <w:r w:rsidR="00C10AFB">
        <w:rPr>
          <w:rFonts w:eastAsia="Times New Roman" w:cs="Arial"/>
        </w:rPr>
        <w:t>20</w:t>
      </w:r>
      <w:r w:rsidRPr="0029462D">
        <w:rPr>
          <w:rFonts w:eastAsia="Times New Roman" w:cs="Arial"/>
        </w:rPr>
        <w:t>/</w:t>
      </w:r>
      <w:r w:rsidR="002E5B85">
        <w:rPr>
          <w:rFonts w:eastAsia="Times New Roman" w:cs="Arial"/>
        </w:rPr>
        <w:t>2</w:t>
      </w:r>
      <w:r w:rsidR="00C10AFB">
        <w:rPr>
          <w:rFonts w:eastAsia="Times New Roman" w:cs="Arial"/>
        </w:rPr>
        <w:t>1</w:t>
      </w:r>
      <w:r w:rsidRPr="0029462D">
        <w:rPr>
          <w:rFonts w:eastAsia="Times New Roman" w:cs="Arial"/>
        </w:rPr>
        <w:t xml:space="preserve"> budget is for the year 1 July 20</w:t>
      </w:r>
      <w:r w:rsidR="00C10AFB">
        <w:rPr>
          <w:rFonts w:eastAsia="Times New Roman" w:cs="Arial"/>
        </w:rPr>
        <w:t>20</w:t>
      </w:r>
      <w:r w:rsidRPr="0029462D">
        <w:rPr>
          <w:rFonts w:eastAsia="Times New Roman" w:cs="Arial"/>
        </w:rPr>
        <w:t xml:space="preserve"> to 30 June 20</w:t>
      </w:r>
      <w:r w:rsidR="002E5B85">
        <w:rPr>
          <w:rFonts w:eastAsia="Times New Roman" w:cs="Arial"/>
        </w:rPr>
        <w:t>2</w:t>
      </w:r>
      <w:r w:rsidR="00C10AFB">
        <w:rPr>
          <w:rFonts w:eastAsia="Times New Roman" w:cs="Arial"/>
        </w:rPr>
        <w:t>1</w:t>
      </w:r>
      <w:r w:rsidRPr="0029462D">
        <w:rPr>
          <w:rFonts w:eastAsia="Times New Roman" w:cs="Arial"/>
        </w:rPr>
        <w:t xml:space="preserve"> and is prepared in accordance with the Act and Regulations. The budget includes Budgeted Financial Statements being a budgeted Comprehensive Income Statement; Balance Sheet; Statement of Changes in Equity; Cash Flows; and Capital Works and a Statement of Human Resources. These statements have been prepared for the year ended 30 June 20</w:t>
      </w:r>
      <w:r w:rsidR="002E5B85">
        <w:rPr>
          <w:rFonts w:eastAsia="Times New Roman" w:cs="Arial"/>
        </w:rPr>
        <w:t>2</w:t>
      </w:r>
      <w:r w:rsidR="00C10AFB">
        <w:rPr>
          <w:rFonts w:eastAsia="Times New Roman" w:cs="Arial"/>
        </w:rPr>
        <w:t>1</w:t>
      </w:r>
      <w:r w:rsidRPr="0029462D">
        <w:rPr>
          <w:rFonts w:eastAsia="Times New Roman" w:cs="Arial"/>
        </w:rPr>
        <w:t xml:space="preserve"> in accordance with the Act and Regulations. The budget information for the years 20</w:t>
      </w:r>
      <w:r w:rsidR="00C10AFB">
        <w:rPr>
          <w:rFonts w:eastAsia="Times New Roman" w:cs="Arial"/>
        </w:rPr>
        <w:t>20</w:t>
      </w:r>
      <w:r w:rsidRPr="0029462D">
        <w:rPr>
          <w:rFonts w:eastAsia="Times New Roman" w:cs="Arial"/>
        </w:rPr>
        <w:t>/</w:t>
      </w:r>
      <w:r w:rsidR="002E5B85">
        <w:rPr>
          <w:rFonts w:eastAsia="Times New Roman" w:cs="Arial"/>
        </w:rPr>
        <w:t>2</w:t>
      </w:r>
      <w:r w:rsidR="00C10AFB">
        <w:rPr>
          <w:rFonts w:eastAsia="Times New Roman" w:cs="Arial"/>
        </w:rPr>
        <w:t>1</w:t>
      </w:r>
      <w:r w:rsidRPr="0029462D">
        <w:rPr>
          <w:rFonts w:eastAsia="Times New Roman" w:cs="Arial"/>
        </w:rPr>
        <w:t xml:space="preserve"> to 20</w:t>
      </w:r>
      <w:r>
        <w:rPr>
          <w:rFonts w:eastAsia="Times New Roman" w:cs="Arial"/>
        </w:rPr>
        <w:t>2</w:t>
      </w:r>
      <w:r w:rsidR="00C10AFB">
        <w:rPr>
          <w:rFonts w:eastAsia="Times New Roman" w:cs="Arial"/>
        </w:rPr>
        <w:t>3</w:t>
      </w:r>
      <w:r w:rsidRPr="0029462D">
        <w:rPr>
          <w:rFonts w:eastAsia="Times New Roman" w:cs="Arial"/>
        </w:rPr>
        <w:t>/2</w:t>
      </w:r>
      <w:r w:rsidR="00C10AFB">
        <w:rPr>
          <w:rFonts w:eastAsia="Times New Roman" w:cs="Arial"/>
        </w:rPr>
        <w:t>4</w:t>
      </w:r>
      <w:r w:rsidRPr="0029462D">
        <w:rPr>
          <w:rFonts w:eastAsia="Times New Roman" w:cs="Arial"/>
        </w:rPr>
        <w:t xml:space="preserve"> have been extracted from the Strategic Resource Plan. It also includes detailed information about the rates and charges to be levied, the capital works program to be undertaken and other financial information, which Council requires to make an informed decision about the adoption of the budget.</w:t>
      </w:r>
    </w:p>
    <w:p w:rsidR="00785FD5" w:rsidRDefault="00785FD5">
      <w:pPr>
        <w:rPr>
          <w:rFonts w:eastAsia="Times New Roman" w:cs="Arial"/>
          <w:szCs w:val="20"/>
        </w:rPr>
      </w:pPr>
      <w:r>
        <w:rPr>
          <w:rFonts w:eastAsia="Times New Roman" w:cs="Arial"/>
          <w:szCs w:val="20"/>
        </w:rPr>
        <w:br w:type="page"/>
      </w:r>
    </w:p>
    <w:p w:rsidR="00CE0EDC" w:rsidRPr="0065738F" w:rsidRDefault="00DE2121" w:rsidP="00384C70">
      <w:pPr>
        <w:pStyle w:val="Heading2"/>
      </w:pPr>
      <w:bookmarkStart w:id="128" w:name="_Toc4056377"/>
      <w:r w:rsidRPr="003B1665">
        <w:lastRenderedPageBreak/>
        <w:t>5</w:t>
      </w:r>
      <w:r w:rsidR="00BD4760" w:rsidRPr="007E3A0B">
        <w:t>.</w:t>
      </w:r>
      <w:r w:rsidR="00CE0EDC" w:rsidRPr="007E3A0B">
        <w:t xml:space="preserve"> </w:t>
      </w:r>
      <w:r w:rsidR="004B2040" w:rsidRPr="007E3A0B">
        <w:t>Financial Statements</w:t>
      </w:r>
      <w:bookmarkEnd w:id="128"/>
    </w:p>
    <w:p w:rsidR="00CE0EDC" w:rsidRDefault="00CE0EDC" w:rsidP="00CE0EDC">
      <w:pPr>
        <w:pStyle w:val="NoSpacing"/>
      </w:pPr>
    </w:p>
    <w:p w:rsidR="004B2040" w:rsidRPr="001B152D" w:rsidRDefault="004B2040" w:rsidP="004B2040">
      <w:pPr>
        <w:jc w:val="both"/>
        <w:rPr>
          <w:rFonts w:cs="Arial"/>
        </w:rPr>
      </w:pPr>
      <w:r w:rsidRPr="001B152D">
        <w:rPr>
          <w:rFonts w:cs="Arial"/>
        </w:rPr>
        <w:t xml:space="preserve">This </w:t>
      </w:r>
      <w:r w:rsidR="008E5F3E">
        <w:rPr>
          <w:rFonts w:cs="Arial"/>
        </w:rPr>
        <w:t>section</w:t>
      </w:r>
      <w:r w:rsidRPr="001B152D">
        <w:rPr>
          <w:rFonts w:cs="Arial"/>
        </w:rPr>
        <w:t xml:space="preserve"> presents information </w:t>
      </w:r>
      <w:r w:rsidR="002E093D" w:rsidRPr="001B152D">
        <w:rPr>
          <w:rFonts w:cs="Arial"/>
        </w:rPr>
        <w:t>regarding</w:t>
      </w:r>
      <w:r w:rsidRPr="001B152D">
        <w:rPr>
          <w:rFonts w:cs="Arial"/>
        </w:rPr>
        <w:t xml:space="preserve"> the Budgeted </w:t>
      </w:r>
      <w:r>
        <w:rPr>
          <w:rFonts w:cs="Arial"/>
        </w:rPr>
        <w:t>Financial</w:t>
      </w:r>
      <w:r w:rsidRPr="001B152D">
        <w:rPr>
          <w:rFonts w:cs="Arial"/>
        </w:rPr>
        <w:t xml:space="preserve"> </w:t>
      </w:r>
      <w:r w:rsidR="00101A48" w:rsidRPr="001B152D">
        <w:rPr>
          <w:rFonts w:cs="Arial"/>
        </w:rPr>
        <w:t>Statements</w:t>
      </w:r>
      <w:r w:rsidR="00101A48">
        <w:rPr>
          <w:rFonts w:cs="Arial"/>
        </w:rPr>
        <w:t>.</w:t>
      </w:r>
      <w:r w:rsidR="00101A48" w:rsidRPr="001B152D">
        <w:rPr>
          <w:rFonts w:cs="Arial"/>
        </w:rPr>
        <w:t xml:space="preserve"> The</w:t>
      </w:r>
      <w:r w:rsidRPr="001B152D">
        <w:rPr>
          <w:rFonts w:cs="Arial"/>
        </w:rPr>
        <w:t xml:space="preserve"> budget information for the years 20</w:t>
      </w:r>
      <w:r w:rsidR="00D059E4">
        <w:rPr>
          <w:rFonts w:cs="Arial"/>
        </w:rPr>
        <w:t>20</w:t>
      </w:r>
      <w:r w:rsidRPr="001B152D">
        <w:rPr>
          <w:rFonts w:cs="Arial"/>
        </w:rPr>
        <w:t>/</w:t>
      </w:r>
      <w:r w:rsidR="007A1EC1">
        <w:rPr>
          <w:rFonts w:cs="Arial"/>
        </w:rPr>
        <w:t>2</w:t>
      </w:r>
      <w:r w:rsidR="00D059E4">
        <w:rPr>
          <w:rFonts w:cs="Arial"/>
        </w:rPr>
        <w:t>1</w:t>
      </w:r>
      <w:r w:rsidRPr="00561819">
        <w:rPr>
          <w:rFonts w:cs="Arial"/>
        </w:rPr>
        <w:t xml:space="preserve"> to 202</w:t>
      </w:r>
      <w:r w:rsidR="00D059E4">
        <w:rPr>
          <w:rFonts w:cs="Arial"/>
        </w:rPr>
        <w:t>3</w:t>
      </w:r>
      <w:r w:rsidRPr="00561819">
        <w:rPr>
          <w:rFonts w:cs="Arial"/>
        </w:rPr>
        <w:t>/2</w:t>
      </w:r>
      <w:r w:rsidR="00D059E4">
        <w:rPr>
          <w:rFonts w:cs="Arial"/>
        </w:rPr>
        <w:t>4</w:t>
      </w:r>
      <w:r w:rsidRPr="001B152D">
        <w:rPr>
          <w:rFonts w:cs="Arial"/>
        </w:rPr>
        <w:t xml:space="preserve"> has been extracted from the </w:t>
      </w:r>
      <w:r w:rsidR="005E7D98">
        <w:rPr>
          <w:rFonts w:cs="Arial"/>
        </w:rPr>
        <w:t>Strategic Resource Plan</w:t>
      </w:r>
      <w:r w:rsidRPr="00561819">
        <w:rPr>
          <w:rFonts w:cs="Arial"/>
        </w:rPr>
        <w:t>.</w:t>
      </w:r>
      <w:r>
        <w:rPr>
          <w:rFonts w:cs="Arial"/>
        </w:rPr>
        <w:t xml:space="preserve"> </w:t>
      </w:r>
      <w:r w:rsidRPr="00E224B8">
        <w:rPr>
          <w:rFonts w:cs="Arial"/>
        </w:rPr>
        <w:t>A Statement of Human Resources is</w:t>
      </w:r>
      <w:r>
        <w:rPr>
          <w:rFonts w:cs="Arial"/>
        </w:rPr>
        <w:t xml:space="preserve"> also included for the years 20</w:t>
      </w:r>
      <w:r w:rsidR="00D059E4">
        <w:rPr>
          <w:rFonts w:cs="Arial"/>
        </w:rPr>
        <w:t>20</w:t>
      </w:r>
      <w:r>
        <w:rPr>
          <w:rFonts w:cs="Arial"/>
        </w:rPr>
        <w:t>/</w:t>
      </w:r>
      <w:r w:rsidR="00EC2210">
        <w:rPr>
          <w:rFonts w:cs="Arial"/>
        </w:rPr>
        <w:t>2</w:t>
      </w:r>
      <w:r w:rsidR="00D059E4">
        <w:rPr>
          <w:rFonts w:cs="Arial"/>
        </w:rPr>
        <w:t>1</w:t>
      </w:r>
      <w:r>
        <w:rPr>
          <w:rFonts w:cs="Arial"/>
        </w:rPr>
        <w:t xml:space="preserve"> to 20</w:t>
      </w:r>
      <w:r w:rsidR="007B3C66">
        <w:rPr>
          <w:rFonts w:cs="Arial"/>
        </w:rPr>
        <w:t>2</w:t>
      </w:r>
      <w:r w:rsidR="00D059E4">
        <w:rPr>
          <w:rFonts w:cs="Arial"/>
        </w:rPr>
        <w:t>3</w:t>
      </w:r>
      <w:r>
        <w:rPr>
          <w:rFonts w:cs="Arial"/>
        </w:rPr>
        <w:t>/2</w:t>
      </w:r>
      <w:r w:rsidR="00D059E4">
        <w:rPr>
          <w:rFonts w:cs="Arial"/>
        </w:rPr>
        <w:t>4</w:t>
      </w:r>
      <w:r>
        <w:rPr>
          <w:rFonts w:cs="Arial"/>
        </w:rPr>
        <w:t>.</w:t>
      </w:r>
    </w:p>
    <w:p w:rsidR="004B2040" w:rsidRPr="001B152D" w:rsidRDefault="004B2040" w:rsidP="004B2040">
      <w:pPr>
        <w:jc w:val="both"/>
        <w:rPr>
          <w:rFonts w:cs="Arial"/>
        </w:rPr>
      </w:pPr>
    </w:p>
    <w:p w:rsidR="004B2040" w:rsidRPr="001B152D" w:rsidRDefault="004B2040" w:rsidP="004B2040">
      <w:pPr>
        <w:jc w:val="both"/>
        <w:rPr>
          <w:rFonts w:cs="Arial"/>
        </w:rPr>
      </w:pPr>
      <w:r w:rsidRPr="001B152D">
        <w:rPr>
          <w:rFonts w:cs="Arial"/>
        </w:rPr>
        <w:t xml:space="preserve">At the end of each financial year Council is required to report back to the community a comparison of actual financial results against these Budgeted </w:t>
      </w:r>
      <w:r>
        <w:rPr>
          <w:rFonts w:cs="Arial"/>
        </w:rPr>
        <w:t xml:space="preserve">Financial </w:t>
      </w:r>
      <w:r w:rsidRPr="001B152D">
        <w:rPr>
          <w:rFonts w:cs="Arial"/>
        </w:rPr>
        <w:t xml:space="preserve">Statements and provide an explanation of significant variances. The </w:t>
      </w:r>
      <w:r>
        <w:rPr>
          <w:rFonts w:cs="Arial"/>
        </w:rPr>
        <w:t>Financial</w:t>
      </w:r>
      <w:r w:rsidRPr="001B152D">
        <w:rPr>
          <w:rFonts w:cs="Arial"/>
        </w:rPr>
        <w:t xml:space="preserve"> Statements together with the </w:t>
      </w:r>
      <w:r w:rsidRPr="00561819">
        <w:rPr>
          <w:rFonts w:cs="Arial"/>
        </w:rPr>
        <w:t>Performance Statement</w:t>
      </w:r>
      <w:r w:rsidRPr="001B152D">
        <w:rPr>
          <w:rFonts w:cs="Arial"/>
        </w:rPr>
        <w:t xml:space="preserve"> provide a clear, concise and understandable report of Council’s activities for the year from both a financial </w:t>
      </w:r>
      <w:r w:rsidRPr="00561819">
        <w:rPr>
          <w:rFonts w:cs="Arial"/>
        </w:rPr>
        <w:t>and non-financial perspective</w:t>
      </w:r>
      <w:r>
        <w:rPr>
          <w:rFonts w:cs="Arial"/>
        </w:rPr>
        <w:t xml:space="preserve">, </w:t>
      </w:r>
      <w:r w:rsidRPr="001B152D">
        <w:rPr>
          <w:rFonts w:cs="Arial"/>
        </w:rPr>
        <w:t>particularly for those users who do not have a financial background.</w:t>
      </w:r>
    </w:p>
    <w:p w:rsidR="004B2040" w:rsidRPr="001B152D" w:rsidRDefault="004B2040" w:rsidP="004B2040">
      <w:pPr>
        <w:jc w:val="both"/>
        <w:rPr>
          <w:rFonts w:cs="Arial"/>
        </w:rPr>
      </w:pPr>
    </w:p>
    <w:p w:rsidR="00862109" w:rsidRPr="00862109" w:rsidRDefault="00862109" w:rsidP="00862109">
      <w:pPr>
        <w:jc w:val="both"/>
        <w:rPr>
          <w:rFonts w:cs="Arial"/>
        </w:rPr>
      </w:pPr>
      <w:r w:rsidRPr="00862109">
        <w:rPr>
          <w:rFonts w:cs="Arial"/>
        </w:rPr>
        <w:t xml:space="preserve">This section includes the following financial statements prepared in accordance with the </w:t>
      </w:r>
      <w:r w:rsidRPr="00862109">
        <w:rPr>
          <w:rFonts w:cs="Arial"/>
          <w:i/>
        </w:rPr>
        <w:t>Local Government Act 1989 and the Local Government (Planning and Reporting) Regulations 2014</w:t>
      </w:r>
      <w:r>
        <w:rPr>
          <w:rFonts w:cs="Arial"/>
        </w:rPr>
        <w:t>:</w:t>
      </w:r>
    </w:p>
    <w:p w:rsidR="004B2040" w:rsidRPr="001B152D" w:rsidRDefault="004B2040" w:rsidP="004B2040">
      <w:pPr>
        <w:jc w:val="both"/>
        <w:rPr>
          <w:rFonts w:cs="Arial"/>
        </w:rPr>
      </w:pPr>
    </w:p>
    <w:p w:rsidR="004B2040" w:rsidRPr="00425596" w:rsidRDefault="004B2040" w:rsidP="00274DF7">
      <w:pPr>
        <w:numPr>
          <w:ilvl w:val="0"/>
          <w:numId w:val="6"/>
        </w:numPr>
        <w:tabs>
          <w:tab w:val="clear" w:pos="720"/>
        </w:tabs>
        <w:ind w:left="426" w:hanging="426"/>
        <w:jc w:val="both"/>
        <w:rPr>
          <w:rFonts w:cs="Arial"/>
          <w:i/>
        </w:rPr>
      </w:pPr>
      <w:r w:rsidRPr="003B1665">
        <w:rPr>
          <w:rFonts w:cs="Arial"/>
        </w:rPr>
        <w:t>Comprehensive Income Statement</w:t>
      </w:r>
      <w:r w:rsidR="00B32ECC" w:rsidRPr="003B1665">
        <w:rPr>
          <w:rFonts w:cs="Arial"/>
        </w:rPr>
        <w:t xml:space="preserve"> </w:t>
      </w:r>
      <w:r w:rsidR="000A2C6B" w:rsidRPr="003B1665">
        <w:rPr>
          <w:rFonts w:cs="Arial"/>
        </w:rPr>
        <w:t>……</w:t>
      </w:r>
      <w:r w:rsidR="000A2C6B" w:rsidRPr="00D059E4">
        <w:rPr>
          <w:rFonts w:cs="Arial"/>
          <w:i/>
          <w:color w:val="FF0000"/>
        </w:rPr>
        <w:tab/>
      </w:r>
      <w:r w:rsidR="00B32ECC" w:rsidRPr="00425596">
        <w:rPr>
          <w:rFonts w:cs="Arial"/>
          <w:i/>
        </w:rPr>
        <w:t>Page</w:t>
      </w:r>
      <w:r w:rsidR="003411A6" w:rsidRPr="00425596">
        <w:rPr>
          <w:rFonts w:cs="Arial"/>
          <w:i/>
        </w:rPr>
        <w:t xml:space="preserve"> 3</w:t>
      </w:r>
      <w:r w:rsidR="00425596" w:rsidRPr="00425596">
        <w:rPr>
          <w:rFonts w:cs="Arial"/>
          <w:i/>
        </w:rPr>
        <w:t>8</w:t>
      </w:r>
    </w:p>
    <w:p w:rsidR="004B2040" w:rsidRPr="00425596" w:rsidRDefault="004B2040" w:rsidP="00274DF7">
      <w:pPr>
        <w:numPr>
          <w:ilvl w:val="0"/>
          <w:numId w:val="6"/>
        </w:numPr>
        <w:tabs>
          <w:tab w:val="clear" w:pos="720"/>
        </w:tabs>
        <w:ind w:left="426" w:hanging="426"/>
        <w:jc w:val="both"/>
        <w:rPr>
          <w:rFonts w:cs="Arial"/>
          <w:i/>
        </w:rPr>
      </w:pPr>
      <w:r w:rsidRPr="00425596">
        <w:rPr>
          <w:rFonts w:cs="Arial"/>
          <w:i/>
        </w:rPr>
        <w:t>Balance Sheet</w:t>
      </w:r>
      <w:r w:rsidR="000A2C6B" w:rsidRPr="00425596">
        <w:rPr>
          <w:rFonts w:cs="Arial"/>
          <w:i/>
        </w:rPr>
        <w:t xml:space="preserve"> …………………………...</w:t>
      </w:r>
      <w:r w:rsidR="000A2C6B" w:rsidRPr="00425596">
        <w:rPr>
          <w:rFonts w:cs="Arial"/>
          <w:i/>
        </w:rPr>
        <w:tab/>
        <w:t>Page</w:t>
      </w:r>
      <w:r w:rsidR="003411A6" w:rsidRPr="00425596">
        <w:rPr>
          <w:rFonts w:cs="Arial"/>
          <w:i/>
        </w:rPr>
        <w:t xml:space="preserve"> 3</w:t>
      </w:r>
      <w:r w:rsidR="00425596" w:rsidRPr="00425596">
        <w:rPr>
          <w:rFonts w:cs="Arial"/>
          <w:i/>
        </w:rPr>
        <w:t>9</w:t>
      </w:r>
    </w:p>
    <w:p w:rsidR="004B2040" w:rsidRPr="00425596" w:rsidRDefault="004B2040" w:rsidP="00274DF7">
      <w:pPr>
        <w:numPr>
          <w:ilvl w:val="0"/>
          <w:numId w:val="6"/>
        </w:numPr>
        <w:tabs>
          <w:tab w:val="clear" w:pos="720"/>
        </w:tabs>
        <w:ind w:left="426" w:hanging="426"/>
        <w:jc w:val="both"/>
        <w:rPr>
          <w:rFonts w:cs="Arial"/>
          <w:i/>
        </w:rPr>
      </w:pPr>
      <w:r w:rsidRPr="00425596">
        <w:rPr>
          <w:rFonts w:cs="Arial"/>
          <w:i/>
        </w:rPr>
        <w:t>Statement of Changes in Equity</w:t>
      </w:r>
      <w:r w:rsidR="000A2C6B" w:rsidRPr="00425596">
        <w:rPr>
          <w:rFonts w:cs="Arial"/>
          <w:i/>
        </w:rPr>
        <w:t>………..</w:t>
      </w:r>
      <w:r w:rsidR="000A2C6B" w:rsidRPr="00425596">
        <w:rPr>
          <w:rFonts w:cs="Arial"/>
          <w:i/>
        </w:rPr>
        <w:tab/>
        <w:t>Page</w:t>
      </w:r>
      <w:r w:rsidR="003411A6" w:rsidRPr="00425596">
        <w:rPr>
          <w:rFonts w:cs="Arial"/>
          <w:i/>
        </w:rPr>
        <w:t xml:space="preserve"> </w:t>
      </w:r>
      <w:r w:rsidR="00425596" w:rsidRPr="00425596">
        <w:rPr>
          <w:rFonts w:cs="Arial"/>
          <w:i/>
        </w:rPr>
        <w:t>40</w:t>
      </w:r>
    </w:p>
    <w:p w:rsidR="004B2040" w:rsidRPr="00425596" w:rsidRDefault="004B2040" w:rsidP="00274DF7">
      <w:pPr>
        <w:numPr>
          <w:ilvl w:val="0"/>
          <w:numId w:val="6"/>
        </w:numPr>
        <w:tabs>
          <w:tab w:val="clear" w:pos="720"/>
        </w:tabs>
        <w:ind w:left="426" w:hanging="426"/>
        <w:jc w:val="both"/>
        <w:rPr>
          <w:rFonts w:cs="Arial"/>
          <w:i/>
        </w:rPr>
      </w:pPr>
      <w:r w:rsidRPr="00425596">
        <w:rPr>
          <w:rFonts w:cs="Arial"/>
          <w:i/>
        </w:rPr>
        <w:t xml:space="preserve">Statement </w:t>
      </w:r>
      <w:r w:rsidR="002E093D" w:rsidRPr="00425596">
        <w:rPr>
          <w:rFonts w:cs="Arial"/>
          <w:i/>
        </w:rPr>
        <w:t>of Cash</w:t>
      </w:r>
      <w:r w:rsidRPr="00425596">
        <w:rPr>
          <w:rFonts w:cs="Arial"/>
          <w:i/>
        </w:rPr>
        <w:t xml:space="preserve"> Flow</w:t>
      </w:r>
      <w:r w:rsidR="000A2C6B" w:rsidRPr="00425596">
        <w:rPr>
          <w:rFonts w:cs="Arial"/>
          <w:i/>
        </w:rPr>
        <w:t>…………………</w:t>
      </w:r>
      <w:r w:rsidR="000A2C6B" w:rsidRPr="00425596">
        <w:rPr>
          <w:rFonts w:cs="Arial"/>
          <w:i/>
        </w:rPr>
        <w:tab/>
        <w:t>Page</w:t>
      </w:r>
      <w:r w:rsidR="003411A6" w:rsidRPr="00425596">
        <w:rPr>
          <w:rFonts w:cs="Arial"/>
          <w:i/>
        </w:rPr>
        <w:t xml:space="preserve"> 4</w:t>
      </w:r>
      <w:r w:rsidR="00425596" w:rsidRPr="00425596">
        <w:rPr>
          <w:rFonts w:cs="Arial"/>
          <w:i/>
        </w:rPr>
        <w:t>1</w:t>
      </w:r>
    </w:p>
    <w:p w:rsidR="004B2040" w:rsidRPr="00425596" w:rsidRDefault="002E093D" w:rsidP="00274DF7">
      <w:pPr>
        <w:numPr>
          <w:ilvl w:val="0"/>
          <w:numId w:val="6"/>
        </w:numPr>
        <w:tabs>
          <w:tab w:val="clear" w:pos="720"/>
        </w:tabs>
        <w:ind w:left="426" w:hanging="426"/>
        <w:jc w:val="both"/>
        <w:rPr>
          <w:rFonts w:cs="Arial"/>
          <w:i/>
        </w:rPr>
      </w:pPr>
      <w:r w:rsidRPr="00425596">
        <w:rPr>
          <w:rFonts w:cs="Arial"/>
          <w:i/>
        </w:rPr>
        <w:t>Statement of</w:t>
      </w:r>
      <w:r w:rsidR="004B2040" w:rsidRPr="00425596">
        <w:rPr>
          <w:rFonts w:cs="Arial"/>
          <w:i/>
        </w:rPr>
        <w:t xml:space="preserve"> Capital Works</w:t>
      </w:r>
      <w:r w:rsidR="000A2C6B" w:rsidRPr="00425596">
        <w:rPr>
          <w:rFonts w:cs="Arial"/>
          <w:i/>
        </w:rPr>
        <w:t>…………….</w:t>
      </w:r>
      <w:r w:rsidR="000A2C6B" w:rsidRPr="00425596">
        <w:rPr>
          <w:rFonts w:cs="Arial"/>
          <w:i/>
        </w:rPr>
        <w:tab/>
        <w:t>Page</w:t>
      </w:r>
      <w:r w:rsidR="003411A6" w:rsidRPr="00425596">
        <w:rPr>
          <w:rFonts w:cs="Arial"/>
          <w:i/>
        </w:rPr>
        <w:t xml:space="preserve"> 4</w:t>
      </w:r>
      <w:r w:rsidR="00425596" w:rsidRPr="00425596">
        <w:rPr>
          <w:rFonts w:cs="Arial"/>
          <w:i/>
        </w:rPr>
        <w:t>2</w:t>
      </w:r>
    </w:p>
    <w:p w:rsidR="004B2040" w:rsidRPr="003B1665" w:rsidRDefault="004B2040" w:rsidP="00274DF7">
      <w:pPr>
        <w:numPr>
          <w:ilvl w:val="0"/>
          <w:numId w:val="6"/>
        </w:numPr>
        <w:tabs>
          <w:tab w:val="clear" w:pos="720"/>
        </w:tabs>
        <w:ind w:left="426" w:hanging="426"/>
        <w:jc w:val="both"/>
        <w:rPr>
          <w:rFonts w:cs="Arial"/>
        </w:rPr>
      </w:pPr>
      <w:r w:rsidRPr="00425596">
        <w:rPr>
          <w:rFonts w:cs="Arial"/>
          <w:i/>
        </w:rPr>
        <w:t>Statement of Human Resources</w:t>
      </w:r>
      <w:r w:rsidR="000A2C6B" w:rsidRPr="00425596">
        <w:rPr>
          <w:rFonts w:cs="Arial"/>
          <w:i/>
        </w:rPr>
        <w:t xml:space="preserve">……… </w:t>
      </w:r>
      <w:r w:rsidR="000A2C6B" w:rsidRPr="00425596">
        <w:rPr>
          <w:rFonts w:cs="Arial"/>
          <w:i/>
        </w:rPr>
        <w:tab/>
        <w:t>Page</w:t>
      </w:r>
      <w:r w:rsidR="003411A6" w:rsidRPr="00425596">
        <w:rPr>
          <w:rFonts w:cs="Arial"/>
        </w:rPr>
        <w:t xml:space="preserve"> 4</w:t>
      </w:r>
      <w:r w:rsidR="00425596" w:rsidRPr="00425596">
        <w:rPr>
          <w:rFonts w:cs="Arial"/>
        </w:rPr>
        <w:t>3</w:t>
      </w:r>
    </w:p>
    <w:p w:rsidR="004B2040" w:rsidRPr="004A511D" w:rsidRDefault="004B2040" w:rsidP="004B2040">
      <w:pPr>
        <w:rPr>
          <w:rFonts w:cs="Arial"/>
          <w:b/>
          <w:bCs/>
          <w:color w:val="CC0000"/>
          <w:sz w:val="26"/>
          <w:szCs w:val="26"/>
          <w:lang w:eastAsia="en-AU"/>
        </w:rPr>
      </w:pPr>
    </w:p>
    <w:p w:rsidR="004B2040" w:rsidRDefault="004B2040" w:rsidP="004B2040">
      <w:pPr>
        <w:rPr>
          <w:rFonts w:cs="Arial"/>
          <w:b/>
          <w:bCs/>
          <w:color w:val="CC0000"/>
          <w:sz w:val="26"/>
          <w:szCs w:val="26"/>
          <w:lang w:eastAsia="en-AU"/>
        </w:rPr>
      </w:pPr>
    </w:p>
    <w:p w:rsidR="00E04AAA" w:rsidRDefault="00E04AAA">
      <w:pPr>
        <w:rPr>
          <w:rFonts w:cs="Arial"/>
        </w:rPr>
        <w:sectPr w:rsidR="00E04AAA" w:rsidSect="00FD6EC2">
          <w:footerReference w:type="first" r:id="rId25"/>
          <w:pgSz w:w="11906" w:h="16838"/>
          <w:pgMar w:top="720" w:right="720" w:bottom="720" w:left="720" w:header="708" w:footer="708" w:gutter="0"/>
          <w:cols w:space="708"/>
          <w:titlePg/>
          <w:docGrid w:linePitch="360"/>
        </w:sectPr>
      </w:pPr>
    </w:p>
    <w:p w:rsidR="00CE0EDC" w:rsidRDefault="00CE0EDC" w:rsidP="00CE0EDC">
      <w:pPr>
        <w:pStyle w:val="NoSpacing"/>
        <w:rPr>
          <w:rFonts w:cs="Arial"/>
        </w:rPr>
      </w:pPr>
    </w:p>
    <w:p w:rsidR="00520140" w:rsidRDefault="00520140" w:rsidP="00CE0EDC">
      <w:pPr>
        <w:pStyle w:val="NoSpacing"/>
        <w:rPr>
          <w:rFonts w:cs="Arial"/>
        </w:rPr>
      </w:pPr>
    </w:p>
    <w:tbl>
      <w:tblPr>
        <w:tblW w:w="5000" w:type="pct"/>
        <w:tblLook w:val="04A0" w:firstRow="1" w:lastRow="0" w:firstColumn="1" w:lastColumn="0" w:noHBand="0" w:noVBand="1"/>
      </w:tblPr>
      <w:tblGrid>
        <w:gridCol w:w="4151"/>
        <w:gridCol w:w="905"/>
        <w:gridCol w:w="1082"/>
        <w:gridCol w:w="1082"/>
        <w:gridCol w:w="1083"/>
        <w:gridCol w:w="1083"/>
        <w:gridCol w:w="1080"/>
      </w:tblGrid>
      <w:tr w:rsidR="00735ED8" w:rsidRPr="00735ED8" w:rsidTr="00735ED8">
        <w:trPr>
          <w:trHeight w:val="310"/>
        </w:trPr>
        <w:tc>
          <w:tcPr>
            <w:tcW w:w="1795" w:type="pct"/>
            <w:tcBorders>
              <w:top w:val="nil"/>
              <w:left w:val="nil"/>
              <w:bottom w:val="nil"/>
              <w:right w:val="nil"/>
            </w:tcBorders>
            <w:shd w:val="clear" w:color="000000" w:fill="FFFFFF"/>
            <w:noWrap/>
            <w:hideMark/>
          </w:tcPr>
          <w:p w:rsidR="00735ED8" w:rsidRPr="007E3A0B" w:rsidRDefault="00735ED8" w:rsidP="00735ED8">
            <w:pPr>
              <w:rPr>
                <w:rFonts w:eastAsia="Times New Roman" w:cs="Arial"/>
                <w:b/>
                <w:bCs/>
                <w:sz w:val="24"/>
                <w:szCs w:val="24"/>
                <w:lang w:eastAsia="en-AU"/>
              </w:rPr>
            </w:pPr>
            <w:r w:rsidRPr="007E3A0B">
              <w:rPr>
                <w:rFonts w:eastAsia="Times New Roman" w:cs="Arial"/>
                <w:b/>
                <w:bCs/>
                <w:sz w:val="24"/>
                <w:szCs w:val="24"/>
                <w:lang w:eastAsia="en-AU"/>
              </w:rPr>
              <w:t>Comprehensive Income Statement</w:t>
            </w:r>
          </w:p>
        </w:tc>
        <w:tc>
          <w:tcPr>
            <w:tcW w:w="386" w:type="pct"/>
            <w:tcBorders>
              <w:top w:val="nil"/>
              <w:left w:val="nil"/>
              <w:bottom w:val="nil"/>
              <w:right w:val="nil"/>
            </w:tcBorders>
            <w:shd w:val="clear" w:color="000000" w:fill="FFFFFF"/>
            <w:noWrap/>
            <w:hideMark/>
          </w:tcPr>
          <w:p w:rsidR="00735ED8" w:rsidRPr="00735ED8" w:rsidRDefault="00735ED8" w:rsidP="00735ED8">
            <w:pPr>
              <w:rPr>
                <w:rFonts w:eastAsia="Times New Roman" w:cs="Arial"/>
                <w:b/>
                <w:bCs/>
                <w:sz w:val="24"/>
                <w:szCs w:val="24"/>
                <w:lang w:eastAsia="en-AU"/>
              </w:rPr>
            </w:pPr>
            <w:r w:rsidRPr="00735ED8">
              <w:rPr>
                <w:rFonts w:eastAsia="Times New Roman" w:cs="Arial"/>
                <w:b/>
                <w:bCs/>
                <w:sz w:val="24"/>
                <w:szCs w:val="24"/>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noWrap/>
            <w:hideMark/>
          </w:tcPr>
          <w:p w:rsidR="00735ED8" w:rsidRPr="007E3A0B" w:rsidRDefault="00735ED8" w:rsidP="00735ED8">
            <w:pPr>
              <w:rPr>
                <w:rFonts w:eastAsia="Times New Roman" w:cs="Arial"/>
                <w:lang w:eastAsia="en-AU"/>
              </w:rPr>
            </w:pPr>
            <w:r w:rsidRPr="007E3A0B">
              <w:rPr>
                <w:rFonts w:eastAsia="Times New Roman" w:cs="Arial"/>
                <w:lang w:eastAsia="en-AU"/>
              </w:rPr>
              <w:t>For the four years ending 30 June 2024</w:t>
            </w:r>
          </w:p>
        </w:tc>
        <w:tc>
          <w:tcPr>
            <w:tcW w:w="386" w:type="pct"/>
            <w:tcBorders>
              <w:top w:val="nil"/>
              <w:left w:val="nil"/>
              <w:bottom w:val="nil"/>
              <w:right w:val="nil"/>
            </w:tcBorders>
            <w:shd w:val="clear" w:color="000000" w:fill="FFFFFF"/>
            <w:noWrap/>
            <w:hideMark/>
          </w:tcPr>
          <w:p w:rsidR="00735ED8" w:rsidRPr="00735ED8" w:rsidRDefault="00735ED8" w:rsidP="00735ED8">
            <w:pPr>
              <w:rPr>
                <w:rFonts w:eastAsia="Times New Roman" w:cs="Arial"/>
                <w:lang w:eastAsia="en-AU"/>
              </w:rPr>
            </w:pPr>
            <w:r w:rsidRPr="00735ED8">
              <w:rPr>
                <w:rFonts w:eastAsia="Times New Roman" w:cs="Arial"/>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noWrap/>
            <w:hideMark/>
          </w:tcPr>
          <w:p w:rsidR="00735ED8" w:rsidRPr="00735ED8" w:rsidRDefault="00735ED8" w:rsidP="00735ED8">
            <w:pPr>
              <w:rPr>
                <w:rFonts w:eastAsia="Times New Roman" w:cs="Arial"/>
                <w:lang w:eastAsia="en-AU"/>
              </w:rPr>
            </w:pPr>
            <w:r w:rsidRPr="00735ED8">
              <w:rPr>
                <w:rFonts w:eastAsia="Times New Roman" w:cs="Arial"/>
                <w:lang w:eastAsia="en-AU"/>
              </w:rPr>
              <w:t> </w:t>
            </w:r>
          </w:p>
        </w:tc>
        <w:tc>
          <w:tcPr>
            <w:tcW w:w="386" w:type="pct"/>
            <w:tcBorders>
              <w:top w:val="nil"/>
              <w:left w:val="nil"/>
              <w:bottom w:val="nil"/>
              <w:right w:val="nil"/>
            </w:tcBorders>
            <w:shd w:val="clear" w:color="000000" w:fill="FFFFFF"/>
            <w:noWrap/>
            <w:hideMark/>
          </w:tcPr>
          <w:p w:rsidR="00735ED8" w:rsidRPr="00735ED8" w:rsidRDefault="00735ED8" w:rsidP="00735ED8">
            <w:pPr>
              <w:rPr>
                <w:rFonts w:eastAsia="Times New Roman" w:cs="Arial"/>
                <w:lang w:eastAsia="en-AU"/>
              </w:rPr>
            </w:pPr>
            <w:r w:rsidRPr="00735ED8">
              <w:rPr>
                <w:rFonts w:eastAsia="Times New Roman" w:cs="Arial"/>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735ED8" w:rsidRPr="00735ED8" w:rsidRDefault="00735ED8" w:rsidP="00735ED8">
            <w:pPr>
              <w:rPr>
                <w:rFonts w:ascii="Calibri" w:eastAsia="Times New Roman" w:hAnsi="Calibri" w:cs="Calibri"/>
                <w:color w:val="000000"/>
                <w:lang w:eastAsia="en-AU"/>
              </w:rPr>
            </w:pPr>
            <w:r w:rsidRPr="00735ED8">
              <w:rPr>
                <w:rFonts w:ascii="Calibri" w:eastAsia="Times New Roman" w:hAnsi="Calibri" w:cs="Calibri"/>
                <w:color w:val="000000"/>
                <w:lang w:eastAsia="en-AU"/>
              </w:rPr>
              <w:t> </w:t>
            </w:r>
          </w:p>
        </w:tc>
      </w:tr>
      <w:tr w:rsidR="00735ED8" w:rsidRPr="00735ED8" w:rsidTr="00735ED8">
        <w:trPr>
          <w:trHeight w:val="290"/>
        </w:trPr>
        <w:tc>
          <w:tcPr>
            <w:tcW w:w="1795"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386"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Forecast</w:t>
            </w:r>
          </w:p>
        </w:tc>
        <w:tc>
          <w:tcPr>
            <w:tcW w:w="564" w:type="pct"/>
            <w:vMerge w:val="restar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Budget</w:t>
            </w:r>
          </w:p>
        </w:tc>
        <w:tc>
          <w:tcPr>
            <w:tcW w:w="1691" w:type="pct"/>
            <w:gridSpan w:val="3"/>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Strategic Resource Plan</w:t>
            </w:r>
          </w:p>
        </w:tc>
      </w:tr>
      <w:tr w:rsidR="00735ED8" w:rsidRPr="00735ED8" w:rsidTr="00735ED8">
        <w:trPr>
          <w:trHeight w:val="290"/>
        </w:trPr>
        <w:tc>
          <w:tcPr>
            <w:tcW w:w="1795"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386"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Actual</w:t>
            </w:r>
          </w:p>
        </w:tc>
        <w:tc>
          <w:tcPr>
            <w:tcW w:w="564" w:type="pct"/>
            <w:vMerge/>
            <w:tcBorders>
              <w:top w:val="nil"/>
              <w:left w:val="nil"/>
              <w:bottom w:val="nil"/>
              <w:right w:val="nil"/>
            </w:tcBorders>
            <w:vAlign w:val="center"/>
            <w:hideMark/>
          </w:tcPr>
          <w:p w:rsidR="00735ED8" w:rsidRPr="00735ED8" w:rsidRDefault="00735ED8" w:rsidP="00735ED8">
            <w:pPr>
              <w:rPr>
                <w:rFonts w:eastAsia="Times New Roman" w:cs="Arial"/>
                <w:b/>
                <w:bCs/>
                <w:color w:val="FFFFFF"/>
                <w:sz w:val="20"/>
                <w:szCs w:val="20"/>
                <w:lang w:eastAsia="en-AU"/>
              </w:rPr>
            </w:pPr>
          </w:p>
        </w:tc>
        <w:tc>
          <w:tcPr>
            <w:tcW w:w="1691" w:type="pct"/>
            <w:gridSpan w:val="3"/>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Projections</w:t>
            </w:r>
          </w:p>
        </w:tc>
      </w:tr>
      <w:tr w:rsidR="00735ED8" w:rsidRPr="00735ED8" w:rsidTr="00735ED8">
        <w:trPr>
          <w:trHeight w:val="290"/>
        </w:trPr>
        <w:tc>
          <w:tcPr>
            <w:tcW w:w="1795"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386"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2019/20</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2020/21</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2021/22</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2022/23</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2023/24</w:t>
            </w:r>
          </w:p>
        </w:tc>
      </w:tr>
      <w:tr w:rsidR="00735ED8" w:rsidRPr="00735ED8" w:rsidTr="00735ED8">
        <w:trPr>
          <w:trHeight w:val="290"/>
        </w:trPr>
        <w:tc>
          <w:tcPr>
            <w:tcW w:w="1795"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 </w:t>
            </w:r>
          </w:p>
        </w:tc>
        <w:tc>
          <w:tcPr>
            <w:tcW w:w="386"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NOTES</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735ED8" w:rsidRPr="00735ED8" w:rsidRDefault="00735ED8" w:rsidP="00735ED8">
            <w:pPr>
              <w:jc w:val="center"/>
              <w:rPr>
                <w:rFonts w:eastAsia="Times New Roman" w:cs="Arial"/>
                <w:b/>
                <w:bCs/>
                <w:color w:val="FFFFFF"/>
                <w:sz w:val="20"/>
                <w:szCs w:val="20"/>
                <w:lang w:eastAsia="en-AU"/>
              </w:rPr>
            </w:pPr>
            <w:r w:rsidRPr="00735ED8">
              <w:rPr>
                <w:rFonts w:eastAsia="Times New Roman" w:cs="Arial"/>
                <w:b/>
                <w:bCs/>
                <w:color w:val="FFFFFF"/>
                <w:sz w:val="20"/>
                <w:szCs w:val="20"/>
                <w:lang w:eastAsia="en-AU"/>
              </w:rPr>
              <w:t>$’000</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Income</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Rates and charges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92,750</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96,240</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99,956</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103,962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108,826</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Statutory fees and fines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4,106</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5,145</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5,193</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5,294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5,404</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User fees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6.1.3</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19,832</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20,162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29,567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30,719</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31,923</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Grants -operating</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9,052</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8,384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8,209</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10,020</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7,869</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Grants - capital</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7,785</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26,557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23,407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407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407</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Contributions - monetary</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6.1.5</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5,577</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4,726</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4,508</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4,421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4,451</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Other income</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6.1.6</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1,031</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1,134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1,692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1,625</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1,704</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Total income</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140,132</w:t>
            </w:r>
          </w:p>
        </w:tc>
        <w:tc>
          <w:tcPr>
            <w:tcW w:w="564" w:type="pct"/>
            <w:tcBorders>
              <w:top w:val="single" w:sz="4" w:space="0" w:color="auto"/>
              <w:left w:val="nil"/>
              <w:bottom w:val="single" w:sz="4" w:space="0" w:color="auto"/>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162,348</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172,532</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156,448</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160,584</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Expenses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Employee costs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55,599</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56,574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59,862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60,886</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62,827</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Materials and services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6.1.8</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50,023</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50,360</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53,724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56,167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58,129</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Depreciation</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6.1.9</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23,084</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24,441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25,847</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26,709</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27,424</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Amortisation - right of use assets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316</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516</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501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225</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29</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Bad and doubtful debts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Borrowing costs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459</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861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1,054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949</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840</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Finance Costs - leases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34</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41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21</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4</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w:t>
            </w:r>
          </w:p>
        </w:tc>
      </w:tr>
      <w:tr w:rsidR="00735ED8" w:rsidRPr="00735ED8" w:rsidTr="00735ED8">
        <w:trPr>
          <w:trHeight w:val="50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Net (gain)/loss on disposal of property, infrastructure, plant and equipment</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93</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(12,075)</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93</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93</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93</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Other expenses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sz w:val="20"/>
                <w:szCs w:val="20"/>
                <w:lang w:eastAsia="en-AU"/>
              </w:rPr>
            </w:pPr>
            <w:r w:rsidRPr="00735ED8">
              <w:rPr>
                <w:rFonts w:eastAsia="Times New Roman" w:cs="Arial"/>
                <w:sz w:val="20"/>
                <w:szCs w:val="20"/>
                <w:lang w:eastAsia="en-AU"/>
              </w:rPr>
              <w:t>6.1.10</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1,056</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1,482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1,563</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1,592</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1,630</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Total expenses</w:t>
            </w:r>
          </w:p>
        </w:tc>
        <w:tc>
          <w:tcPr>
            <w:tcW w:w="386" w:type="pct"/>
            <w:tcBorders>
              <w:top w:val="nil"/>
              <w:left w:val="nil"/>
              <w:bottom w:val="nil"/>
              <w:right w:val="nil"/>
            </w:tcBorders>
            <w:shd w:val="clear" w:color="000000" w:fill="FFFFFF"/>
            <w:hideMark/>
          </w:tcPr>
          <w:p w:rsidR="00735ED8" w:rsidRPr="00735ED8" w:rsidRDefault="00735ED8" w:rsidP="00735ED8">
            <w:pPr>
              <w:jc w:val="cente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130,664</w:t>
            </w:r>
          </w:p>
        </w:tc>
        <w:tc>
          <w:tcPr>
            <w:tcW w:w="564" w:type="pct"/>
            <w:tcBorders>
              <w:top w:val="single" w:sz="4" w:space="0" w:color="auto"/>
              <w:left w:val="nil"/>
              <w:bottom w:val="single" w:sz="4" w:space="0" w:color="auto"/>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122,199</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142,665</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146,626</w:t>
            </w:r>
          </w:p>
        </w:tc>
        <w:tc>
          <w:tcPr>
            <w:tcW w:w="564" w:type="pct"/>
            <w:tcBorders>
              <w:top w:val="single" w:sz="4" w:space="0" w:color="auto"/>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150,973</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single" w:sz="4" w:space="0" w:color="auto"/>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Surplus/(deficit) for the year</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9,467</w:t>
            </w:r>
          </w:p>
        </w:tc>
        <w:tc>
          <w:tcPr>
            <w:tcW w:w="564" w:type="pct"/>
            <w:tcBorders>
              <w:top w:val="nil"/>
              <w:left w:val="nil"/>
              <w:bottom w:val="single" w:sz="4" w:space="0" w:color="auto"/>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40,148</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29,867</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9,822</w:t>
            </w:r>
          </w:p>
        </w:tc>
        <w:tc>
          <w:tcPr>
            <w:tcW w:w="564" w:type="pct"/>
            <w:tcBorders>
              <w:top w:val="nil"/>
              <w:left w:val="nil"/>
              <w:bottom w:val="single" w:sz="4"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9,612</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Other comprehensive income</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52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Items that will not be reclassified to surplus or deficit in future periods</w:t>
            </w:r>
          </w:p>
        </w:tc>
        <w:tc>
          <w:tcPr>
            <w:tcW w:w="386" w:type="pct"/>
            <w:tcBorders>
              <w:top w:val="nil"/>
              <w:left w:val="nil"/>
              <w:bottom w:val="nil"/>
              <w:right w:val="nil"/>
            </w:tcBorders>
            <w:shd w:val="clear" w:color="auto" w:fill="auto"/>
            <w:vAlign w:val="bottom"/>
            <w:hideMark/>
          </w:tcPr>
          <w:p w:rsidR="00735ED8" w:rsidRPr="00735ED8" w:rsidRDefault="00735ED8" w:rsidP="00735ED8">
            <w:pPr>
              <w:rPr>
                <w:rFonts w:eastAsia="Times New Roman" w:cs="Arial"/>
                <w:b/>
                <w:bCs/>
                <w:sz w:val="20"/>
                <w:szCs w:val="20"/>
                <w:lang w:eastAsia="en-AU"/>
              </w:rPr>
            </w:pP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 </w:t>
            </w:r>
          </w:p>
        </w:tc>
      </w:tr>
      <w:tr w:rsidR="00735ED8" w:rsidRPr="00735ED8" w:rsidTr="00735ED8">
        <w:trPr>
          <w:trHeight w:val="29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sz w:val="20"/>
                <w:szCs w:val="20"/>
                <w:lang w:eastAsia="en-AU"/>
              </w:rPr>
            </w:pPr>
            <w:r w:rsidRPr="00735ED8">
              <w:rPr>
                <w:rFonts w:eastAsia="Times New Roman" w:cs="Arial"/>
                <w:sz w:val="20"/>
                <w:szCs w:val="20"/>
                <w:lang w:eastAsia="en-AU"/>
              </w:rPr>
              <w:t>Net asset revaluation increment /(decrement)</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color w:val="FF0000"/>
                <w:sz w:val="20"/>
                <w:szCs w:val="20"/>
                <w:lang w:eastAsia="en-AU"/>
              </w:rPr>
            </w:pPr>
            <w:r w:rsidRPr="00735ED8">
              <w:rPr>
                <w:rFonts w:eastAsia="Times New Roman" w:cs="Arial"/>
                <w:color w:val="FF0000"/>
                <w:sz w:val="20"/>
                <w:szCs w:val="20"/>
                <w:lang w:eastAsia="en-AU"/>
              </w:rPr>
              <w:t> </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w:t>
            </w:r>
          </w:p>
        </w:tc>
      </w:tr>
      <w:tr w:rsidR="00735ED8" w:rsidRPr="00735ED8" w:rsidTr="00735ED8">
        <w:trPr>
          <w:trHeight w:val="300"/>
        </w:trPr>
        <w:tc>
          <w:tcPr>
            <w:tcW w:w="1795"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Total comprehensive result</w:t>
            </w:r>
          </w:p>
        </w:tc>
        <w:tc>
          <w:tcPr>
            <w:tcW w:w="386" w:type="pct"/>
            <w:tcBorders>
              <w:top w:val="nil"/>
              <w:left w:val="nil"/>
              <w:bottom w:val="nil"/>
              <w:right w:val="nil"/>
            </w:tcBorders>
            <w:shd w:val="clear" w:color="000000" w:fill="FFFFFF"/>
            <w:hideMark/>
          </w:tcPr>
          <w:p w:rsidR="00735ED8" w:rsidRPr="00735ED8" w:rsidRDefault="00735ED8" w:rsidP="00735ED8">
            <w:pPr>
              <w:rPr>
                <w:rFonts w:eastAsia="Times New Roman" w:cs="Arial"/>
                <w:b/>
                <w:bCs/>
                <w:sz w:val="20"/>
                <w:szCs w:val="20"/>
                <w:lang w:eastAsia="en-AU"/>
              </w:rPr>
            </w:pPr>
            <w:r w:rsidRPr="00735ED8">
              <w:rPr>
                <w:rFonts w:eastAsia="Times New Roman" w:cs="Arial"/>
                <w:b/>
                <w:bCs/>
                <w:sz w:val="20"/>
                <w:szCs w:val="20"/>
                <w:lang w:eastAsia="en-AU"/>
              </w:rPr>
              <w:t> </w:t>
            </w:r>
          </w:p>
        </w:tc>
        <w:tc>
          <w:tcPr>
            <w:tcW w:w="564" w:type="pct"/>
            <w:tcBorders>
              <w:top w:val="single" w:sz="4" w:space="0" w:color="auto"/>
              <w:left w:val="nil"/>
              <w:bottom w:val="double" w:sz="6"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9,467</w:t>
            </w:r>
          </w:p>
        </w:tc>
        <w:tc>
          <w:tcPr>
            <w:tcW w:w="564" w:type="pct"/>
            <w:tcBorders>
              <w:top w:val="single" w:sz="4" w:space="0" w:color="auto"/>
              <w:left w:val="nil"/>
              <w:bottom w:val="double" w:sz="6" w:space="0" w:color="auto"/>
              <w:right w:val="nil"/>
            </w:tcBorders>
            <w:shd w:val="clear" w:color="000000" w:fill="D9E1F2"/>
            <w:vAlign w:val="center"/>
            <w:hideMark/>
          </w:tcPr>
          <w:p w:rsidR="00735ED8" w:rsidRPr="00735ED8" w:rsidRDefault="00735ED8" w:rsidP="00735ED8">
            <w:pPr>
              <w:jc w:val="right"/>
              <w:rPr>
                <w:rFonts w:eastAsia="Times New Roman" w:cs="Arial"/>
                <w:b/>
                <w:bCs/>
                <w:sz w:val="20"/>
                <w:szCs w:val="20"/>
                <w:lang w:eastAsia="en-AU"/>
              </w:rPr>
            </w:pPr>
            <w:r w:rsidRPr="00735ED8">
              <w:rPr>
                <w:rFonts w:eastAsia="Times New Roman" w:cs="Arial"/>
                <w:b/>
                <w:bCs/>
                <w:sz w:val="20"/>
                <w:szCs w:val="20"/>
                <w:lang w:eastAsia="en-AU"/>
              </w:rPr>
              <w:t>40,148</w:t>
            </w:r>
          </w:p>
        </w:tc>
        <w:tc>
          <w:tcPr>
            <w:tcW w:w="564" w:type="pct"/>
            <w:tcBorders>
              <w:top w:val="single" w:sz="4" w:space="0" w:color="auto"/>
              <w:left w:val="nil"/>
              <w:bottom w:val="double" w:sz="6"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29,867</w:t>
            </w:r>
          </w:p>
        </w:tc>
        <w:tc>
          <w:tcPr>
            <w:tcW w:w="564" w:type="pct"/>
            <w:tcBorders>
              <w:top w:val="single" w:sz="4" w:space="0" w:color="auto"/>
              <w:left w:val="nil"/>
              <w:bottom w:val="double" w:sz="6"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9,822</w:t>
            </w:r>
          </w:p>
        </w:tc>
        <w:tc>
          <w:tcPr>
            <w:tcW w:w="564" w:type="pct"/>
            <w:tcBorders>
              <w:top w:val="single" w:sz="4" w:space="0" w:color="auto"/>
              <w:left w:val="nil"/>
              <w:bottom w:val="double" w:sz="6" w:space="0" w:color="auto"/>
              <w:right w:val="nil"/>
            </w:tcBorders>
            <w:shd w:val="clear" w:color="000000" w:fill="FFFFFF"/>
            <w:vAlign w:val="center"/>
            <w:hideMark/>
          </w:tcPr>
          <w:p w:rsidR="00735ED8" w:rsidRPr="00735ED8" w:rsidRDefault="00735ED8" w:rsidP="00735ED8">
            <w:pPr>
              <w:jc w:val="right"/>
              <w:rPr>
                <w:rFonts w:eastAsia="Times New Roman" w:cs="Arial"/>
                <w:sz w:val="20"/>
                <w:szCs w:val="20"/>
                <w:lang w:eastAsia="en-AU"/>
              </w:rPr>
            </w:pPr>
            <w:r w:rsidRPr="00735ED8">
              <w:rPr>
                <w:rFonts w:eastAsia="Times New Roman" w:cs="Arial"/>
                <w:sz w:val="20"/>
                <w:szCs w:val="20"/>
                <w:lang w:eastAsia="en-AU"/>
              </w:rPr>
              <w:t>9,612</w:t>
            </w:r>
          </w:p>
        </w:tc>
      </w:tr>
    </w:tbl>
    <w:p w:rsidR="00520140" w:rsidRPr="00996516" w:rsidRDefault="00520140" w:rsidP="00CE0EDC">
      <w:pPr>
        <w:pStyle w:val="NoSpacing"/>
        <w:rPr>
          <w:rFonts w:cs="Arial"/>
        </w:rPr>
      </w:pPr>
    </w:p>
    <w:p w:rsidR="003F1571" w:rsidRDefault="003F1571" w:rsidP="002C0959">
      <w:r>
        <w:br w:type="page"/>
      </w:r>
    </w:p>
    <w:tbl>
      <w:tblPr>
        <w:tblW w:w="5000" w:type="pct"/>
        <w:tblLook w:val="04A0" w:firstRow="1" w:lastRow="0" w:firstColumn="1" w:lastColumn="0" w:noHBand="0" w:noVBand="1"/>
      </w:tblPr>
      <w:tblGrid>
        <w:gridCol w:w="4069"/>
        <w:gridCol w:w="866"/>
        <w:gridCol w:w="1106"/>
        <w:gridCol w:w="1106"/>
        <w:gridCol w:w="1106"/>
        <w:gridCol w:w="1106"/>
        <w:gridCol w:w="1107"/>
      </w:tblGrid>
      <w:tr w:rsidR="00D762B9" w:rsidRPr="00D762B9" w:rsidTr="00D762B9">
        <w:trPr>
          <w:trHeight w:val="310"/>
        </w:trPr>
        <w:tc>
          <w:tcPr>
            <w:tcW w:w="1944" w:type="pct"/>
            <w:tcBorders>
              <w:top w:val="nil"/>
              <w:left w:val="nil"/>
              <w:bottom w:val="nil"/>
              <w:right w:val="nil"/>
            </w:tcBorders>
            <w:shd w:val="clear" w:color="000000" w:fill="FFFFFF"/>
            <w:noWrap/>
            <w:hideMark/>
          </w:tcPr>
          <w:p w:rsidR="00D762B9" w:rsidRPr="007E3A0B" w:rsidRDefault="00D762B9" w:rsidP="00D762B9">
            <w:pPr>
              <w:rPr>
                <w:rFonts w:eastAsia="Times New Roman" w:cs="Arial"/>
                <w:b/>
                <w:bCs/>
                <w:sz w:val="24"/>
                <w:szCs w:val="24"/>
                <w:lang w:eastAsia="en-AU"/>
              </w:rPr>
            </w:pPr>
            <w:r w:rsidRPr="007E3A0B">
              <w:rPr>
                <w:rFonts w:eastAsia="Times New Roman" w:cs="Arial"/>
                <w:b/>
                <w:bCs/>
                <w:sz w:val="24"/>
                <w:szCs w:val="24"/>
                <w:lang w:eastAsia="en-AU"/>
              </w:rPr>
              <w:lastRenderedPageBreak/>
              <w:t>Balance Sheet</w:t>
            </w:r>
          </w:p>
        </w:tc>
        <w:tc>
          <w:tcPr>
            <w:tcW w:w="414" w:type="pct"/>
            <w:tcBorders>
              <w:top w:val="nil"/>
              <w:left w:val="nil"/>
              <w:bottom w:val="nil"/>
              <w:right w:val="nil"/>
            </w:tcBorders>
            <w:shd w:val="clear" w:color="000000" w:fill="FFFFFF"/>
            <w:noWrap/>
            <w:hideMark/>
          </w:tcPr>
          <w:p w:rsidR="00D762B9" w:rsidRPr="00D762B9" w:rsidRDefault="00D762B9" w:rsidP="00D762B9">
            <w:pPr>
              <w:jc w:val="center"/>
              <w:rPr>
                <w:rFonts w:eastAsia="Times New Roman" w:cs="Arial"/>
                <w:b/>
                <w:bCs/>
                <w:sz w:val="24"/>
                <w:szCs w:val="24"/>
                <w:lang w:eastAsia="en-AU"/>
              </w:rPr>
            </w:pPr>
            <w:r w:rsidRPr="00D762B9">
              <w:rPr>
                <w:rFonts w:eastAsia="Times New Roman" w:cs="Arial"/>
                <w:b/>
                <w:bCs/>
                <w:sz w:val="24"/>
                <w:szCs w:val="24"/>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7E3A0B" w:rsidRDefault="00D762B9" w:rsidP="00D762B9">
            <w:pPr>
              <w:rPr>
                <w:rFonts w:eastAsia="Times New Roman" w:cs="Arial"/>
                <w:lang w:eastAsia="en-AU"/>
              </w:rPr>
            </w:pPr>
            <w:r w:rsidRPr="007E3A0B">
              <w:rPr>
                <w:rFonts w:eastAsia="Times New Roman" w:cs="Arial"/>
                <w:lang w:eastAsia="en-AU"/>
              </w:rPr>
              <w:t>For the four years ending 30 June 2024</w:t>
            </w:r>
          </w:p>
        </w:tc>
        <w:tc>
          <w:tcPr>
            <w:tcW w:w="414" w:type="pct"/>
            <w:tcBorders>
              <w:top w:val="nil"/>
              <w:left w:val="nil"/>
              <w:bottom w:val="nil"/>
              <w:right w:val="nil"/>
            </w:tcBorders>
            <w:shd w:val="clear" w:color="000000" w:fill="FFFFFF"/>
            <w:noWrap/>
            <w:hideMark/>
          </w:tcPr>
          <w:p w:rsidR="00D762B9" w:rsidRPr="00D762B9" w:rsidRDefault="00D762B9" w:rsidP="00D762B9">
            <w:pPr>
              <w:jc w:val="center"/>
              <w:rPr>
                <w:rFonts w:eastAsia="Times New Roman" w:cs="Arial"/>
                <w:lang w:eastAsia="en-AU"/>
              </w:rPr>
            </w:pPr>
            <w:r w:rsidRPr="00D762B9">
              <w:rPr>
                <w:rFonts w:eastAsia="Times New Roman" w:cs="Arial"/>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lang w:eastAsia="en-AU"/>
              </w:rPr>
            </w:pPr>
            <w:r w:rsidRPr="00D762B9">
              <w:rPr>
                <w:rFonts w:eastAsia="Times New Roman" w:cs="Arial"/>
                <w:lang w:eastAsia="en-AU"/>
              </w:rPr>
              <w:t> </w:t>
            </w:r>
          </w:p>
        </w:tc>
        <w:tc>
          <w:tcPr>
            <w:tcW w:w="414" w:type="pct"/>
            <w:tcBorders>
              <w:top w:val="nil"/>
              <w:left w:val="nil"/>
              <w:bottom w:val="nil"/>
              <w:right w:val="nil"/>
            </w:tcBorders>
            <w:shd w:val="clear" w:color="000000" w:fill="FFFFFF"/>
            <w:noWrap/>
            <w:hideMark/>
          </w:tcPr>
          <w:p w:rsidR="00D762B9" w:rsidRPr="00D762B9" w:rsidRDefault="00D762B9" w:rsidP="00D762B9">
            <w:pPr>
              <w:jc w:val="center"/>
              <w:rPr>
                <w:rFonts w:eastAsia="Times New Roman" w:cs="Arial"/>
                <w:lang w:eastAsia="en-AU"/>
              </w:rPr>
            </w:pPr>
            <w:r w:rsidRPr="00D762B9">
              <w:rPr>
                <w:rFonts w:eastAsia="Times New Roman" w:cs="Arial"/>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c>
          <w:tcPr>
            <w:tcW w:w="528" w:type="pct"/>
            <w:tcBorders>
              <w:top w:val="nil"/>
              <w:left w:val="nil"/>
              <w:bottom w:val="nil"/>
              <w:right w:val="nil"/>
            </w:tcBorders>
            <w:shd w:val="clear" w:color="000000" w:fill="FFFFFF"/>
            <w:noWrap/>
            <w:hideMark/>
          </w:tcPr>
          <w:p w:rsidR="00D762B9" w:rsidRPr="00D762B9" w:rsidRDefault="00D762B9" w:rsidP="00D762B9">
            <w:pPr>
              <w:rPr>
                <w:rFonts w:ascii="Calibri" w:eastAsia="Times New Roman" w:hAnsi="Calibri" w:cs="Calibri"/>
                <w:color w:val="000000"/>
                <w:lang w:eastAsia="en-AU"/>
              </w:rPr>
            </w:pPr>
            <w:r w:rsidRPr="00D762B9">
              <w:rPr>
                <w:rFonts w:ascii="Calibri" w:eastAsia="Times New Roman" w:hAnsi="Calibri" w:cs="Calibri"/>
                <w:color w:val="000000"/>
                <w:lang w:eastAsia="en-AU"/>
              </w:rPr>
              <w:t> </w:t>
            </w:r>
          </w:p>
        </w:tc>
      </w:tr>
      <w:tr w:rsidR="00D762B9" w:rsidRPr="00D762B9" w:rsidTr="00D762B9">
        <w:trPr>
          <w:trHeight w:val="290"/>
        </w:trPr>
        <w:tc>
          <w:tcPr>
            <w:tcW w:w="194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41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Forecast</w:t>
            </w:r>
          </w:p>
        </w:tc>
        <w:tc>
          <w:tcPr>
            <w:tcW w:w="528" w:type="pct"/>
            <w:vMerge w:val="restar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Budget</w:t>
            </w:r>
          </w:p>
        </w:tc>
        <w:tc>
          <w:tcPr>
            <w:tcW w:w="1585" w:type="pct"/>
            <w:gridSpan w:val="3"/>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Strategic Resource Plan</w:t>
            </w:r>
          </w:p>
        </w:tc>
      </w:tr>
      <w:tr w:rsidR="00D762B9" w:rsidRPr="00D762B9" w:rsidTr="00D762B9">
        <w:trPr>
          <w:trHeight w:val="290"/>
        </w:trPr>
        <w:tc>
          <w:tcPr>
            <w:tcW w:w="194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41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Actual</w:t>
            </w:r>
          </w:p>
        </w:tc>
        <w:tc>
          <w:tcPr>
            <w:tcW w:w="528" w:type="pct"/>
            <w:vMerge/>
            <w:tcBorders>
              <w:top w:val="nil"/>
              <w:left w:val="nil"/>
              <w:bottom w:val="nil"/>
              <w:right w:val="nil"/>
            </w:tcBorders>
            <w:vAlign w:val="center"/>
            <w:hideMark/>
          </w:tcPr>
          <w:p w:rsidR="00D762B9" w:rsidRPr="00D762B9" w:rsidRDefault="00D762B9" w:rsidP="00D762B9">
            <w:pPr>
              <w:rPr>
                <w:rFonts w:eastAsia="Times New Roman" w:cs="Arial"/>
                <w:b/>
                <w:bCs/>
                <w:color w:val="FFFFFF"/>
                <w:sz w:val="20"/>
                <w:szCs w:val="20"/>
                <w:lang w:eastAsia="en-AU"/>
              </w:rPr>
            </w:pPr>
          </w:p>
        </w:tc>
        <w:tc>
          <w:tcPr>
            <w:tcW w:w="1585" w:type="pct"/>
            <w:gridSpan w:val="3"/>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Projections</w:t>
            </w:r>
          </w:p>
        </w:tc>
      </w:tr>
      <w:tr w:rsidR="00D762B9" w:rsidRPr="00D762B9" w:rsidTr="00D762B9">
        <w:trPr>
          <w:trHeight w:val="290"/>
        </w:trPr>
        <w:tc>
          <w:tcPr>
            <w:tcW w:w="194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41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2019/20</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2020/21</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2021/22</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2022/23</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2023/24</w:t>
            </w:r>
          </w:p>
        </w:tc>
      </w:tr>
      <w:tr w:rsidR="00D762B9" w:rsidRPr="00D762B9" w:rsidTr="00D762B9">
        <w:trPr>
          <w:trHeight w:val="290"/>
        </w:trPr>
        <w:tc>
          <w:tcPr>
            <w:tcW w:w="194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 </w:t>
            </w:r>
          </w:p>
        </w:tc>
        <w:tc>
          <w:tcPr>
            <w:tcW w:w="414"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18"/>
                <w:szCs w:val="18"/>
                <w:lang w:eastAsia="en-AU"/>
              </w:rPr>
            </w:pPr>
            <w:r w:rsidRPr="00D762B9">
              <w:rPr>
                <w:rFonts w:eastAsia="Times New Roman" w:cs="Arial"/>
                <w:b/>
                <w:bCs/>
                <w:color w:val="FFFFFF"/>
                <w:sz w:val="18"/>
                <w:szCs w:val="18"/>
                <w:lang w:eastAsia="en-AU"/>
              </w:rPr>
              <w:t>NOTES</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$’000</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$’000</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$’000</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$’000</w:t>
            </w:r>
          </w:p>
        </w:tc>
        <w:tc>
          <w:tcPr>
            <w:tcW w:w="528" w:type="pct"/>
            <w:tcBorders>
              <w:top w:val="nil"/>
              <w:left w:val="nil"/>
              <w:bottom w:val="nil"/>
              <w:right w:val="nil"/>
            </w:tcBorders>
            <w:shd w:val="clear" w:color="000000" w:fill="4472C4"/>
            <w:vAlign w:val="center"/>
            <w:hideMark/>
          </w:tcPr>
          <w:p w:rsidR="00D762B9" w:rsidRPr="00D762B9" w:rsidRDefault="00D762B9" w:rsidP="00D762B9">
            <w:pPr>
              <w:jc w:val="center"/>
              <w:rPr>
                <w:rFonts w:eastAsia="Times New Roman" w:cs="Arial"/>
                <w:b/>
                <w:bCs/>
                <w:color w:val="FFFFFF"/>
                <w:sz w:val="20"/>
                <w:szCs w:val="20"/>
                <w:lang w:eastAsia="en-AU"/>
              </w:rPr>
            </w:pPr>
            <w:r w:rsidRPr="00D762B9">
              <w:rPr>
                <w:rFonts w:eastAsia="Times New Roman" w:cs="Arial"/>
                <w:b/>
                <w:bCs/>
                <w:color w:val="FFFFFF"/>
                <w:sz w:val="20"/>
                <w:szCs w:val="20"/>
                <w:lang w:eastAsia="en-AU"/>
              </w:rPr>
              <w:t>$’000</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Current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Cash and cash equivalents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16,657</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9,565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11,550</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9,994</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8,747</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Trade and other receivables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7,173</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6,959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8,659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9,571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9,944</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Other financial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24,986</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23,535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17,561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16,423</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15,101</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Inventories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401</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409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417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425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436</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Right-of-use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516</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501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225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Other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479</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489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499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509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521</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current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6.2.1</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50,213</w:t>
            </w:r>
          </w:p>
        </w:tc>
        <w:tc>
          <w:tcPr>
            <w:tcW w:w="528" w:type="pct"/>
            <w:tcBorders>
              <w:top w:val="single" w:sz="4" w:space="0" w:color="auto"/>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41,458</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38,911</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36,952</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34,756</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Non-current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Trade and other receivables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155</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155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155</w:t>
            </w:r>
          </w:p>
        </w:tc>
      </w:tr>
      <w:tr w:rsidR="00D762B9" w:rsidRPr="00D762B9" w:rsidTr="00D762B9">
        <w:trPr>
          <w:trHeight w:val="50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Investments in associates, joint arrangement and subsidiaries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3,447</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3,447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3,447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3,447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3,447</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Property, infrastructure, plant &amp; equipment</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1,865,595</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1,917,954</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1,956,635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1,963,305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1,974,202</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Right-of-use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762</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261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w:t>
            </w:r>
          </w:p>
        </w:tc>
      </w:tr>
      <w:tr w:rsidR="00D762B9" w:rsidRPr="00D762B9" w:rsidTr="00D762B9">
        <w:trPr>
          <w:trHeight w:val="290"/>
        </w:trPr>
        <w:tc>
          <w:tcPr>
            <w:tcW w:w="1944" w:type="pct"/>
            <w:tcBorders>
              <w:top w:val="nil"/>
              <w:left w:val="nil"/>
              <w:bottom w:val="nil"/>
              <w:right w:val="nil"/>
            </w:tcBorders>
            <w:shd w:val="clear" w:color="auto" w:fill="auto"/>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Intangible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auto" w:fill="auto"/>
            <w:noWrap/>
            <w:vAlign w:val="center"/>
            <w:hideMark/>
          </w:tcPr>
          <w:p w:rsidR="00D762B9" w:rsidRPr="00D762B9" w:rsidRDefault="00D762B9" w:rsidP="00D762B9">
            <w:pPr>
              <w:jc w:val="right"/>
              <w:rPr>
                <w:rFonts w:ascii="Calibri" w:eastAsia="Times New Roman" w:hAnsi="Calibri" w:cs="Calibri"/>
                <w:lang w:eastAsia="en-AU"/>
              </w:rPr>
            </w:pPr>
            <w:r w:rsidRPr="00D762B9">
              <w:rPr>
                <w:rFonts w:ascii="Calibri" w:eastAsia="Times New Roman" w:hAnsi="Calibri" w:cs="Calibri"/>
                <w:lang w:eastAsia="en-AU"/>
              </w:rPr>
              <w:t>782</w:t>
            </w:r>
          </w:p>
        </w:tc>
        <w:tc>
          <w:tcPr>
            <w:tcW w:w="528" w:type="pct"/>
            <w:tcBorders>
              <w:top w:val="nil"/>
              <w:left w:val="nil"/>
              <w:bottom w:val="nil"/>
              <w:right w:val="nil"/>
            </w:tcBorders>
            <w:shd w:val="clear" w:color="000000" w:fill="D9E1F2"/>
            <w:noWrap/>
            <w:vAlign w:val="center"/>
            <w:hideMark/>
          </w:tcPr>
          <w:p w:rsidR="00D762B9" w:rsidRPr="00D762B9" w:rsidRDefault="00D762B9" w:rsidP="00D762B9">
            <w:pPr>
              <w:jc w:val="right"/>
              <w:rPr>
                <w:rFonts w:ascii="Calibri" w:eastAsia="Times New Roman" w:hAnsi="Calibri" w:cs="Calibri"/>
                <w:lang w:eastAsia="en-AU"/>
              </w:rPr>
            </w:pPr>
            <w:r w:rsidRPr="00D762B9">
              <w:rPr>
                <w:rFonts w:ascii="Calibri" w:eastAsia="Times New Roman" w:hAnsi="Calibri" w:cs="Calibri"/>
                <w:lang w:eastAsia="en-AU"/>
              </w:rPr>
              <w:t>782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782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782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782</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non-current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6.2.1</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1,870,741</w:t>
            </w:r>
          </w:p>
        </w:tc>
        <w:tc>
          <w:tcPr>
            <w:tcW w:w="528" w:type="pct"/>
            <w:tcBorders>
              <w:top w:val="single" w:sz="4" w:space="0" w:color="auto"/>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1,922,599</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1,961,054</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1,967,695</w:t>
            </w:r>
          </w:p>
        </w:tc>
        <w:tc>
          <w:tcPr>
            <w:tcW w:w="528" w:type="pct"/>
            <w:tcBorders>
              <w:top w:val="single" w:sz="4" w:space="0" w:color="auto"/>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1,978,586</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1,920,954</w:t>
            </w:r>
          </w:p>
        </w:tc>
        <w:tc>
          <w:tcPr>
            <w:tcW w:w="528" w:type="pct"/>
            <w:tcBorders>
              <w:top w:val="nil"/>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1,964,056</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1,999,965</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2,004,646</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2,013,342</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Current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Trade and other payables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10,798</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14,991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13,177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9,952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10,773</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Trust funds and deposits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4,823</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4,823</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4,823</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4,823</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4,823</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Provisions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12,882</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13,596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14,356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15,165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16,047</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Interest-bearing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2,526</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2,630</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2,739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2,852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2,969</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Lease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6.2.4</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507</w:t>
            </w:r>
          </w:p>
        </w:tc>
        <w:tc>
          <w:tcPr>
            <w:tcW w:w="528" w:type="pct"/>
            <w:tcBorders>
              <w:top w:val="nil"/>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511</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236</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31</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current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6.2.3</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31,536</w:t>
            </w:r>
          </w:p>
        </w:tc>
        <w:tc>
          <w:tcPr>
            <w:tcW w:w="528" w:type="pct"/>
            <w:tcBorders>
              <w:top w:val="nil"/>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36,551</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35,332</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32,824</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34,619</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Non-current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Provisions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1,763</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1,886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2,018</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2,159</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2,310</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Trust funds and deposits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6</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Interest-bearing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15,924</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14,250</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21,615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18,872</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16,016</w:t>
            </w:r>
          </w:p>
        </w:tc>
      </w:tr>
      <w:tr w:rsidR="00D762B9" w:rsidRPr="00D762B9" w:rsidTr="00D762B9">
        <w:trPr>
          <w:trHeight w:val="290"/>
        </w:trPr>
        <w:tc>
          <w:tcPr>
            <w:tcW w:w="1944" w:type="pct"/>
            <w:tcBorders>
              <w:top w:val="nil"/>
              <w:left w:val="nil"/>
              <w:bottom w:val="nil"/>
              <w:right w:val="nil"/>
            </w:tcBorders>
            <w:shd w:val="clear" w:color="000000" w:fill="FFFFFF"/>
            <w:noWrap/>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Lease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6.2.4</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785</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274</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38</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7</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non-current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6.2.3</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18,478</w:t>
            </w:r>
          </w:p>
        </w:tc>
        <w:tc>
          <w:tcPr>
            <w:tcW w:w="528" w:type="pct"/>
            <w:tcBorders>
              <w:top w:val="nil"/>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16,416</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23,677</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21,044</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18,332</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liabilities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50,014</w:t>
            </w:r>
          </w:p>
        </w:tc>
        <w:tc>
          <w:tcPr>
            <w:tcW w:w="528" w:type="pct"/>
            <w:tcBorders>
              <w:top w:val="nil"/>
              <w:left w:val="nil"/>
              <w:bottom w:val="single" w:sz="4"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52,967</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59,009</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53,868</w:t>
            </w:r>
          </w:p>
        </w:tc>
        <w:tc>
          <w:tcPr>
            <w:tcW w:w="528" w:type="pct"/>
            <w:tcBorders>
              <w:top w:val="nil"/>
              <w:left w:val="nil"/>
              <w:bottom w:val="single" w:sz="4"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52,951</w:t>
            </w:r>
          </w:p>
        </w:tc>
      </w:tr>
      <w:tr w:rsidR="00D762B9" w:rsidRPr="00D762B9" w:rsidTr="00D762B9">
        <w:trPr>
          <w:trHeight w:val="30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Net assets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1,870,940</w:t>
            </w:r>
          </w:p>
        </w:tc>
        <w:tc>
          <w:tcPr>
            <w:tcW w:w="528" w:type="pct"/>
            <w:tcBorders>
              <w:top w:val="nil"/>
              <w:left w:val="nil"/>
              <w:bottom w:val="double" w:sz="6"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1,911,089</w:t>
            </w:r>
          </w:p>
        </w:tc>
        <w:tc>
          <w:tcPr>
            <w:tcW w:w="528" w:type="pct"/>
            <w:tcBorders>
              <w:top w:val="nil"/>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1,940,956</w:t>
            </w:r>
          </w:p>
        </w:tc>
        <w:tc>
          <w:tcPr>
            <w:tcW w:w="528" w:type="pct"/>
            <w:tcBorders>
              <w:top w:val="nil"/>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1,950,778</w:t>
            </w:r>
          </w:p>
        </w:tc>
        <w:tc>
          <w:tcPr>
            <w:tcW w:w="528" w:type="pct"/>
            <w:tcBorders>
              <w:top w:val="nil"/>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1,960,390</w:t>
            </w:r>
          </w:p>
        </w:tc>
      </w:tr>
      <w:tr w:rsidR="00D762B9" w:rsidRPr="00D762B9" w:rsidTr="00D762B9">
        <w:trPr>
          <w:trHeight w:val="30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Equity</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D9E1F2"/>
            <w:vAlign w:val="center"/>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 </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Accumulated surplus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830,405</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873,304</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903,671</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916,243</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924,355</w:t>
            </w:r>
          </w:p>
        </w:tc>
      </w:tr>
      <w:tr w:rsidR="00D762B9" w:rsidRPr="00D762B9" w:rsidTr="00D762B9">
        <w:trPr>
          <w:trHeight w:val="29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sz w:val="20"/>
                <w:szCs w:val="20"/>
                <w:lang w:eastAsia="en-AU"/>
              </w:rPr>
            </w:pPr>
            <w:r w:rsidRPr="00D762B9">
              <w:rPr>
                <w:rFonts w:eastAsia="Times New Roman" w:cs="Arial"/>
                <w:sz w:val="20"/>
                <w:szCs w:val="20"/>
                <w:lang w:eastAsia="en-AU"/>
              </w:rPr>
              <w:t>Reserves</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 </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1,040,535</w:t>
            </w:r>
          </w:p>
        </w:tc>
        <w:tc>
          <w:tcPr>
            <w:tcW w:w="528" w:type="pct"/>
            <w:tcBorders>
              <w:top w:val="nil"/>
              <w:left w:val="nil"/>
              <w:bottom w:val="nil"/>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1,037,785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1,037,285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1,034,535</w:t>
            </w:r>
          </w:p>
        </w:tc>
        <w:tc>
          <w:tcPr>
            <w:tcW w:w="528" w:type="pct"/>
            <w:tcBorders>
              <w:top w:val="nil"/>
              <w:left w:val="nil"/>
              <w:bottom w:val="nil"/>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1,036,035</w:t>
            </w:r>
          </w:p>
        </w:tc>
      </w:tr>
      <w:tr w:rsidR="00D762B9" w:rsidRPr="00D762B9" w:rsidTr="00D762B9">
        <w:trPr>
          <w:trHeight w:val="300"/>
        </w:trPr>
        <w:tc>
          <w:tcPr>
            <w:tcW w:w="1944" w:type="pct"/>
            <w:tcBorders>
              <w:top w:val="nil"/>
              <w:left w:val="nil"/>
              <w:bottom w:val="nil"/>
              <w:right w:val="nil"/>
            </w:tcBorders>
            <w:shd w:val="clear" w:color="000000" w:fill="FFFFFF"/>
            <w:hideMark/>
          </w:tcPr>
          <w:p w:rsidR="00D762B9" w:rsidRPr="00D762B9" w:rsidRDefault="00D762B9" w:rsidP="00D762B9">
            <w:pPr>
              <w:rPr>
                <w:rFonts w:eastAsia="Times New Roman" w:cs="Arial"/>
                <w:b/>
                <w:bCs/>
                <w:sz w:val="20"/>
                <w:szCs w:val="20"/>
                <w:lang w:eastAsia="en-AU"/>
              </w:rPr>
            </w:pPr>
            <w:r w:rsidRPr="00D762B9">
              <w:rPr>
                <w:rFonts w:eastAsia="Times New Roman" w:cs="Arial"/>
                <w:b/>
                <w:bCs/>
                <w:sz w:val="20"/>
                <w:szCs w:val="20"/>
                <w:lang w:eastAsia="en-AU"/>
              </w:rPr>
              <w:t>Total equity</w:t>
            </w:r>
          </w:p>
        </w:tc>
        <w:tc>
          <w:tcPr>
            <w:tcW w:w="414" w:type="pct"/>
            <w:tcBorders>
              <w:top w:val="nil"/>
              <w:left w:val="nil"/>
              <w:bottom w:val="nil"/>
              <w:right w:val="nil"/>
            </w:tcBorders>
            <w:shd w:val="clear" w:color="000000" w:fill="FFFFFF"/>
            <w:hideMark/>
          </w:tcPr>
          <w:p w:rsidR="00D762B9" w:rsidRPr="00D762B9" w:rsidRDefault="00D762B9" w:rsidP="00D762B9">
            <w:pPr>
              <w:jc w:val="center"/>
              <w:rPr>
                <w:rFonts w:eastAsia="Times New Roman" w:cs="Arial"/>
                <w:sz w:val="20"/>
                <w:szCs w:val="20"/>
                <w:lang w:eastAsia="en-AU"/>
              </w:rPr>
            </w:pPr>
            <w:r w:rsidRPr="00D762B9">
              <w:rPr>
                <w:rFonts w:eastAsia="Times New Roman" w:cs="Arial"/>
                <w:sz w:val="20"/>
                <w:szCs w:val="20"/>
                <w:lang w:eastAsia="en-AU"/>
              </w:rPr>
              <w:t>6.2.5</w:t>
            </w:r>
          </w:p>
        </w:tc>
        <w:tc>
          <w:tcPr>
            <w:tcW w:w="528" w:type="pct"/>
            <w:tcBorders>
              <w:top w:val="single" w:sz="4" w:space="0" w:color="auto"/>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1,870,940</w:t>
            </w:r>
          </w:p>
        </w:tc>
        <w:tc>
          <w:tcPr>
            <w:tcW w:w="528" w:type="pct"/>
            <w:tcBorders>
              <w:top w:val="single" w:sz="4" w:space="0" w:color="auto"/>
              <w:left w:val="nil"/>
              <w:bottom w:val="double" w:sz="6" w:space="0" w:color="auto"/>
              <w:right w:val="nil"/>
            </w:tcBorders>
            <w:shd w:val="clear" w:color="000000" w:fill="D9E1F2"/>
            <w:vAlign w:val="center"/>
            <w:hideMark/>
          </w:tcPr>
          <w:p w:rsidR="00D762B9" w:rsidRPr="00D762B9" w:rsidRDefault="00D762B9" w:rsidP="00D762B9">
            <w:pPr>
              <w:jc w:val="right"/>
              <w:rPr>
                <w:rFonts w:eastAsia="Times New Roman" w:cs="Arial"/>
                <w:b/>
                <w:bCs/>
                <w:sz w:val="20"/>
                <w:szCs w:val="20"/>
                <w:lang w:eastAsia="en-AU"/>
              </w:rPr>
            </w:pPr>
            <w:r w:rsidRPr="00D762B9">
              <w:rPr>
                <w:rFonts w:eastAsia="Times New Roman" w:cs="Arial"/>
                <w:b/>
                <w:bCs/>
                <w:sz w:val="20"/>
                <w:szCs w:val="20"/>
                <w:lang w:eastAsia="en-AU"/>
              </w:rPr>
              <w:t>1,911,089</w:t>
            </w:r>
          </w:p>
        </w:tc>
        <w:tc>
          <w:tcPr>
            <w:tcW w:w="528" w:type="pct"/>
            <w:tcBorders>
              <w:top w:val="single" w:sz="4" w:space="0" w:color="auto"/>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1,940,956</w:t>
            </w:r>
          </w:p>
        </w:tc>
        <w:tc>
          <w:tcPr>
            <w:tcW w:w="528" w:type="pct"/>
            <w:tcBorders>
              <w:top w:val="single" w:sz="4" w:space="0" w:color="auto"/>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1,950,778</w:t>
            </w:r>
          </w:p>
        </w:tc>
        <w:tc>
          <w:tcPr>
            <w:tcW w:w="528" w:type="pct"/>
            <w:tcBorders>
              <w:top w:val="single" w:sz="4" w:space="0" w:color="auto"/>
              <w:left w:val="nil"/>
              <w:bottom w:val="double" w:sz="6" w:space="0" w:color="auto"/>
              <w:right w:val="nil"/>
            </w:tcBorders>
            <w:shd w:val="clear" w:color="000000" w:fill="FFFFFF"/>
            <w:vAlign w:val="center"/>
            <w:hideMark/>
          </w:tcPr>
          <w:p w:rsidR="00D762B9" w:rsidRPr="00D762B9" w:rsidRDefault="00D762B9" w:rsidP="00D762B9">
            <w:pPr>
              <w:jc w:val="right"/>
              <w:rPr>
                <w:rFonts w:eastAsia="Times New Roman" w:cs="Arial"/>
                <w:sz w:val="20"/>
                <w:szCs w:val="20"/>
                <w:lang w:eastAsia="en-AU"/>
              </w:rPr>
            </w:pPr>
            <w:r w:rsidRPr="00D762B9">
              <w:rPr>
                <w:rFonts w:eastAsia="Times New Roman" w:cs="Arial"/>
                <w:sz w:val="20"/>
                <w:szCs w:val="20"/>
                <w:lang w:eastAsia="en-AU"/>
              </w:rPr>
              <w:t>1,960,390</w:t>
            </w:r>
          </w:p>
        </w:tc>
      </w:tr>
    </w:tbl>
    <w:p w:rsidR="00A226C0" w:rsidRDefault="00A226C0"/>
    <w:p w:rsidR="00A226C0" w:rsidRDefault="00A226C0">
      <w:r>
        <w:br w:type="page"/>
      </w:r>
    </w:p>
    <w:tbl>
      <w:tblPr>
        <w:tblW w:w="5000" w:type="pct"/>
        <w:tblLook w:val="04A0" w:firstRow="1" w:lastRow="0" w:firstColumn="1" w:lastColumn="0" w:noHBand="0" w:noVBand="1"/>
      </w:tblPr>
      <w:tblGrid>
        <w:gridCol w:w="4110"/>
        <w:gridCol w:w="930"/>
        <w:gridCol w:w="1357"/>
        <w:gridCol w:w="1357"/>
        <w:gridCol w:w="1356"/>
        <w:gridCol w:w="1356"/>
      </w:tblGrid>
      <w:tr w:rsidR="005429AB" w:rsidRPr="005429AB" w:rsidTr="005429AB">
        <w:trPr>
          <w:trHeight w:val="310"/>
        </w:trPr>
        <w:tc>
          <w:tcPr>
            <w:tcW w:w="1963" w:type="pct"/>
            <w:tcBorders>
              <w:top w:val="nil"/>
              <w:left w:val="nil"/>
              <w:bottom w:val="nil"/>
              <w:right w:val="nil"/>
            </w:tcBorders>
            <w:shd w:val="clear" w:color="auto" w:fill="auto"/>
            <w:noWrap/>
            <w:hideMark/>
          </w:tcPr>
          <w:p w:rsidR="005429AB" w:rsidRPr="007E3A0B" w:rsidRDefault="005429AB" w:rsidP="005429AB">
            <w:pPr>
              <w:rPr>
                <w:rFonts w:eastAsia="Times New Roman" w:cs="Arial"/>
                <w:b/>
                <w:bCs/>
                <w:sz w:val="24"/>
                <w:szCs w:val="24"/>
                <w:lang w:eastAsia="en-AU"/>
              </w:rPr>
            </w:pPr>
            <w:r w:rsidRPr="007E3A0B">
              <w:rPr>
                <w:rFonts w:eastAsia="Times New Roman" w:cs="Arial"/>
                <w:b/>
                <w:bCs/>
                <w:sz w:val="24"/>
                <w:szCs w:val="24"/>
                <w:lang w:eastAsia="en-AU"/>
              </w:rPr>
              <w:lastRenderedPageBreak/>
              <w:t>Statement of Changes in Equity</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hideMark/>
          </w:tcPr>
          <w:p w:rsidR="005429AB" w:rsidRPr="007E3A0B" w:rsidRDefault="005429AB" w:rsidP="005429AB">
            <w:pPr>
              <w:rPr>
                <w:rFonts w:eastAsia="Times New Roman" w:cs="Arial"/>
                <w:lang w:eastAsia="en-AU"/>
              </w:rPr>
            </w:pPr>
            <w:r w:rsidRPr="007E3A0B">
              <w:rPr>
                <w:rFonts w:eastAsia="Times New Roman" w:cs="Arial"/>
                <w:lang w:eastAsia="en-AU"/>
              </w:rPr>
              <w:t>For the four years ending 30 June 2024</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jc w:val="right"/>
              <w:rPr>
                <w:rFonts w:eastAsia="Times New Roman" w:cs="Arial"/>
                <w:sz w:val="20"/>
                <w:szCs w:val="20"/>
                <w:lang w:eastAsia="en-AU"/>
              </w:rPr>
            </w:pP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 </w:t>
            </w:r>
          </w:p>
        </w:tc>
      </w:tr>
      <w:tr w:rsidR="005429AB" w:rsidRPr="005429AB" w:rsidTr="005429AB">
        <w:trPr>
          <w:trHeight w:val="520"/>
        </w:trPr>
        <w:tc>
          <w:tcPr>
            <w:tcW w:w="1963"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color w:val="FFFFFF"/>
                <w:sz w:val="18"/>
                <w:szCs w:val="18"/>
                <w:lang w:eastAsia="en-AU"/>
              </w:rPr>
            </w:pPr>
            <w:r w:rsidRPr="005429AB">
              <w:rPr>
                <w:rFonts w:eastAsia="Times New Roman" w:cs="Arial"/>
                <w:color w:val="FFFFFF"/>
                <w:sz w:val="18"/>
                <w:szCs w:val="18"/>
                <w:lang w:eastAsia="en-AU"/>
              </w:rPr>
              <w:t> </w:t>
            </w:r>
          </w:p>
        </w:tc>
        <w:tc>
          <w:tcPr>
            <w:tcW w:w="444"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color w:val="FFFFFF"/>
                <w:sz w:val="18"/>
                <w:szCs w:val="18"/>
                <w:lang w:eastAsia="en-AU"/>
              </w:rPr>
            </w:pPr>
            <w:r w:rsidRPr="005429AB">
              <w:rPr>
                <w:rFonts w:eastAsia="Times New Roman" w:cs="Arial"/>
                <w:color w:val="FFFFFF"/>
                <w:sz w:val="18"/>
                <w:szCs w:val="18"/>
                <w:lang w:eastAsia="en-AU"/>
              </w:rPr>
              <w:t> </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20"/>
                <w:szCs w:val="20"/>
                <w:lang w:eastAsia="en-AU"/>
              </w:rPr>
            </w:pPr>
            <w:r w:rsidRPr="005429AB">
              <w:rPr>
                <w:rFonts w:eastAsia="Times New Roman" w:cs="Arial"/>
                <w:b/>
                <w:bCs/>
                <w:color w:val="FFFFFF"/>
                <w:sz w:val="20"/>
                <w:szCs w:val="20"/>
                <w:lang w:eastAsia="en-AU"/>
              </w:rPr>
              <w:t>Total</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16"/>
                <w:szCs w:val="16"/>
                <w:lang w:eastAsia="en-AU"/>
              </w:rPr>
            </w:pPr>
            <w:r w:rsidRPr="005429AB">
              <w:rPr>
                <w:rFonts w:eastAsia="Times New Roman" w:cs="Arial"/>
                <w:b/>
                <w:bCs/>
                <w:color w:val="FFFFFF"/>
                <w:sz w:val="16"/>
                <w:szCs w:val="16"/>
                <w:lang w:eastAsia="en-AU"/>
              </w:rPr>
              <w:t>Accumulated Surplus</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18"/>
                <w:szCs w:val="18"/>
                <w:lang w:eastAsia="en-AU"/>
              </w:rPr>
            </w:pPr>
            <w:r w:rsidRPr="005429AB">
              <w:rPr>
                <w:rFonts w:eastAsia="Times New Roman" w:cs="Arial"/>
                <w:b/>
                <w:bCs/>
                <w:color w:val="FFFFFF"/>
                <w:sz w:val="18"/>
                <w:szCs w:val="18"/>
                <w:lang w:eastAsia="en-AU"/>
              </w:rPr>
              <w:t>Revaluation Reserve</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18"/>
                <w:szCs w:val="18"/>
                <w:lang w:eastAsia="en-AU"/>
              </w:rPr>
            </w:pPr>
            <w:r w:rsidRPr="005429AB">
              <w:rPr>
                <w:rFonts w:eastAsia="Times New Roman" w:cs="Arial"/>
                <w:b/>
                <w:bCs/>
                <w:color w:val="FFFFFF"/>
                <w:sz w:val="18"/>
                <w:szCs w:val="18"/>
                <w:lang w:eastAsia="en-AU"/>
              </w:rPr>
              <w:t>Other Reserves</w:t>
            </w:r>
          </w:p>
        </w:tc>
      </w:tr>
      <w:tr w:rsidR="005429AB" w:rsidRPr="005429AB" w:rsidTr="005429AB">
        <w:trPr>
          <w:trHeight w:val="290"/>
        </w:trPr>
        <w:tc>
          <w:tcPr>
            <w:tcW w:w="1963"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color w:val="FFFFFF"/>
                <w:sz w:val="18"/>
                <w:szCs w:val="18"/>
                <w:lang w:eastAsia="en-AU"/>
              </w:rPr>
            </w:pPr>
            <w:r w:rsidRPr="005429AB">
              <w:rPr>
                <w:rFonts w:eastAsia="Times New Roman" w:cs="Arial"/>
                <w:color w:val="FFFFFF"/>
                <w:sz w:val="18"/>
                <w:szCs w:val="18"/>
                <w:lang w:eastAsia="en-AU"/>
              </w:rPr>
              <w:t> </w:t>
            </w:r>
          </w:p>
        </w:tc>
        <w:tc>
          <w:tcPr>
            <w:tcW w:w="444"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18"/>
                <w:szCs w:val="18"/>
                <w:lang w:eastAsia="en-AU"/>
              </w:rPr>
            </w:pPr>
            <w:r w:rsidRPr="005429AB">
              <w:rPr>
                <w:rFonts w:eastAsia="Times New Roman" w:cs="Arial"/>
                <w:b/>
                <w:bCs/>
                <w:color w:val="FFFFFF"/>
                <w:sz w:val="18"/>
                <w:szCs w:val="18"/>
                <w:lang w:eastAsia="en-AU"/>
              </w:rPr>
              <w:t>NOTES</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20"/>
                <w:szCs w:val="20"/>
                <w:lang w:eastAsia="en-AU"/>
              </w:rPr>
            </w:pPr>
            <w:r w:rsidRPr="005429AB">
              <w:rPr>
                <w:rFonts w:eastAsia="Times New Roman" w:cs="Arial"/>
                <w:b/>
                <w:bCs/>
                <w:color w:val="FFFFFF"/>
                <w:sz w:val="20"/>
                <w:szCs w:val="20"/>
                <w:lang w:eastAsia="en-AU"/>
              </w:rPr>
              <w:t>$’000</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20"/>
                <w:szCs w:val="20"/>
                <w:lang w:eastAsia="en-AU"/>
              </w:rPr>
            </w:pPr>
            <w:r w:rsidRPr="005429AB">
              <w:rPr>
                <w:rFonts w:eastAsia="Times New Roman" w:cs="Arial"/>
                <w:b/>
                <w:bCs/>
                <w:color w:val="FFFFFF"/>
                <w:sz w:val="20"/>
                <w:szCs w:val="20"/>
                <w:lang w:eastAsia="en-AU"/>
              </w:rPr>
              <w:t>$’000</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20"/>
                <w:szCs w:val="20"/>
                <w:lang w:eastAsia="en-AU"/>
              </w:rPr>
            </w:pPr>
            <w:r w:rsidRPr="005429AB">
              <w:rPr>
                <w:rFonts w:eastAsia="Times New Roman" w:cs="Arial"/>
                <w:b/>
                <w:bCs/>
                <w:color w:val="FFFFFF"/>
                <w:sz w:val="20"/>
                <w:szCs w:val="20"/>
                <w:lang w:eastAsia="en-AU"/>
              </w:rPr>
              <w:t>$’000</w:t>
            </w:r>
          </w:p>
        </w:tc>
        <w:tc>
          <w:tcPr>
            <w:tcW w:w="648" w:type="pct"/>
            <w:tcBorders>
              <w:top w:val="nil"/>
              <w:left w:val="nil"/>
              <w:bottom w:val="nil"/>
              <w:right w:val="nil"/>
            </w:tcBorders>
            <w:shd w:val="clear" w:color="000000" w:fill="4472C4"/>
            <w:vAlign w:val="center"/>
            <w:hideMark/>
          </w:tcPr>
          <w:p w:rsidR="005429AB" w:rsidRPr="005429AB" w:rsidRDefault="005429AB" w:rsidP="005429AB">
            <w:pPr>
              <w:jc w:val="center"/>
              <w:rPr>
                <w:rFonts w:eastAsia="Times New Roman" w:cs="Arial"/>
                <w:b/>
                <w:bCs/>
                <w:color w:val="FFFFFF"/>
                <w:sz w:val="20"/>
                <w:szCs w:val="20"/>
                <w:lang w:eastAsia="en-AU"/>
              </w:rPr>
            </w:pPr>
            <w:r w:rsidRPr="005429AB">
              <w:rPr>
                <w:rFonts w:eastAsia="Times New Roman" w:cs="Arial"/>
                <w:b/>
                <w:bCs/>
                <w:color w:val="FFFFFF"/>
                <w:sz w:val="20"/>
                <w:szCs w:val="20"/>
                <w:lang w:eastAsia="en-AU"/>
              </w:rPr>
              <w:t>$’000</w:t>
            </w:r>
          </w:p>
        </w:tc>
      </w:tr>
      <w:tr w:rsidR="005429AB" w:rsidRPr="005429AB" w:rsidTr="005429AB">
        <w:trPr>
          <w:trHeight w:val="290"/>
        </w:trPr>
        <w:tc>
          <w:tcPr>
            <w:tcW w:w="1963" w:type="pct"/>
            <w:tcBorders>
              <w:top w:val="nil"/>
              <w:left w:val="nil"/>
              <w:bottom w:val="nil"/>
              <w:right w:val="nil"/>
            </w:tcBorders>
            <w:shd w:val="clear" w:color="auto" w:fill="auto"/>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2020 Forecast Actual</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 </w:t>
            </w:r>
          </w:p>
        </w:tc>
        <w:tc>
          <w:tcPr>
            <w:tcW w:w="648" w:type="pct"/>
            <w:tcBorders>
              <w:top w:val="nil"/>
              <w:left w:val="nil"/>
              <w:bottom w:val="nil"/>
              <w:right w:val="nil"/>
            </w:tcBorders>
            <w:shd w:val="clear" w:color="000000" w:fill="FFFFFF"/>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FFFFFF"/>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Balance at beginning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1,861,473</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820,938</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1,029,535</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11,000</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Surplus/(deficit) for the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9,467</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9,467</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 from general reserve</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30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Balance at end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1,870,940</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830,405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1,029,535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11,000</w:t>
            </w:r>
          </w:p>
        </w:tc>
      </w:tr>
      <w:tr w:rsidR="005429AB" w:rsidRPr="005429AB" w:rsidTr="005429AB">
        <w:trPr>
          <w:trHeight w:val="300"/>
        </w:trPr>
        <w:tc>
          <w:tcPr>
            <w:tcW w:w="1963" w:type="pct"/>
            <w:tcBorders>
              <w:top w:val="nil"/>
              <w:left w:val="nil"/>
              <w:bottom w:val="nil"/>
              <w:right w:val="nil"/>
            </w:tcBorders>
            <w:shd w:val="clear" w:color="auto" w:fill="auto"/>
            <w:hideMark/>
          </w:tcPr>
          <w:p w:rsidR="005429AB" w:rsidRPr="005429AB" w:rsidRDefault="005429AB" w:rsidP="005429AB">
            <w:pPr>
              <w:jc w:val="right"/>
              <w:rPr>
                <w:rFonts w:eastAsia="Times New Roman" w:cs="Arial"/>
                <w:b/>
                <w:bCs/>
                <w:sz w:val="20"/>
                <w:szCs w:val="20"/>
                <w:lang w:eastAsia="en-AU"/>
              </w:rPr>
            </w:pP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000000" w:fill="D9E1F2"/>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2021 Budget</w:t>
            </w:r>
          </w:p>
        </w:tc>
        <w:tc>
          <w:tcPr>
            <w:tcW w:w="444" w:type="pct"/>
            <w:tcBorders>
              <w:top w:val="nil"/>
              <w:left w:val="nil"/>
              <w:bottom w:val="nil"/>
              <w:right w:val="nil"/>
            </w:tcBorders>
            <w:shd w:val="clear" w:color="000000" w:fill="D9E1F2"/>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000000" w:fill="D9E1F2"/>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Balance at beginning of the financial year</w:t>
            </w:r>
          </w:p>
        </w:tc>
        <w:tc>
          <w:tcPr>
            <w:tcW w:w="444" w:type="pct"/>
            <w:tcBorders>
              <w:top w:val="nil"/>
              <w:left w:val="nil"/>
              <w:bottom w:val="nil"/>
              <w:right w:val="nil"/>
            </w:tcBorders>
            <w:shd w:val="clear" w:color="000000" w:fill="D9E1F2"/>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1,870,940</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830,405</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1,029,535</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11,000</w:t>
            </w:r>
          </w:p>
        </w:tc>
      </w:tr>
      <w:tr w:rsidR="005429AB" w:rsidRPr="005429AB" w:rsidTr="005429AB">
        <w:trPr>
          <w:trHeight w:val="290"/>
        </w:trPr>
        <w:tc>
          <w:tcPr>
            <w:tcW w:w="1963" w:type="pct"/>
            <w:tcBorders>
              <w:top w:val="nil"/>
              <w:left w:val="nil"/>
              <w:bottom w:val="nil"/>
              <w:right w:val="nil"/>
            </w:tcBorders>
            <w:shd w:val="clear" w:color="000000" w:fill="D9E1F2"/>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Surplus/(deficit) for the year</w:t>
            </w:r>
          </w:p>
        </w:tc>
        <w:tc>
          <w:tcPr>
            <w:tcW w:w="444" w:type="pct"/>
            <w:tcBorders>
              <w:top w:val="nil"/>
              <w:left w:val="nil"/>
              <w:bottom w:val="nil"/>
              <w:right w:val="nil"/>
            </w:tcBorders>
            <w:shd w:val="clear" w:color="000000" w:fill="D9E1F2"/>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40,148</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40,148</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290"/>
        </w:trPr>
        <w:tc>
          <w:tcPr>
            <w:tcW w:w="1963" w:type="pct"/>
            <w:tcBorders>
              <w:top w:val="nil"/>
              <w:left w:val="nil"/>
              <w:bottom w:val="nil"/>
              <w:right w:val="nil"/>
            </w:tcBorders>
            <w:shd w:val="clear" w:color="000000" w:fill="D9E1F2"/>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 from general reserve</w:t>
            </w:r>
          </w:p>
        </w:tc>
        <w:tc>
          <w:tcPr>
            <w:tcW w:w="444" w:type="pct"/>
            <w:tcBorders>
              <w:top w:val="nil"/>
              <w:left w:val="nil"/>
              <w:bottom w:val="nil"/>
              <w:right w:val="nil"/>
            </w:tcBorders>
            <w:shd w:val="clear" w:color="000000" w:fill="D9E1F2"/>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2,750</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D9E1F2"/>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(2,750)</w:t>
            </w:r>
          </w:p>
        </w:tc>
      </w:tr>
      <w:tr w:rsidR="005429AB" w:rsidRPr="005429AB" w:rsidTr="005429AB">
        <w:trPr>
          <w:trHeight w:val="300"/>
        </w:trPr>
        <w:tc>
          <w:tcPr>
            <w:tcW w:w="1963" w:type="pct"/>
            <w:tcBorders>
              <w:top w:val="nil"/>
              <w:left w:val="nil"/>
              <w:bottom w:val="nil"/>
              <w:right w:val="nil"/>
            </w:tcBorders>
            <w:shd w:val="clear" w:color="000000" w:fill="D9E1F2"/>
            <w:noWrap/>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Balance at end of the financial year</w:t>
            </w:r>
          </w:p>
        </w:tc>
        <w:tc>
          <w:tcPr>
            <w:tcW w:w="444" w:type="pct"/>
            <w:tcBorders>
              <w:top w:val="nil"/>
              <w:left w:val="nil"/>
              <w:bottom w:val="nil"/>
              <w:right w:val="nil"/>
            </w:tcBorders>
            <w:shd w:val="clear" w:color="000000" w:fill="D9E1F2"/>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6.3.1</w:t>
            </w:r>
          </w:p>
        </w:tc>
        <w:tc>
          <w:tcPr>
            <w:tcW w:w="648" w:type="pct"/>
            <w:tcBorders>
              <w:top w:val="nil"/>
              <w:left w:val="nil"/>
              <w:bottom w:val="double" w:sz="6" w:space="0" w:color="auto"/>
              <w:right w:val="nil"/>
            </w:tcBorders>
            <w:shd w:val="clear" w:color="000000" w:fill="D9E1F2"/>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1,911,089</w:t>
            </w:r>
          </w:p>
        </w:tc>
        <w:tc>
          <w:tcPr>
            <w:tcW w:w="648" w:type="pct"/>
            <w:tcBorders>
              <w:top w:val="nil"/>
              <w:left w:val="nil"/>
              <w:bottom w:val="double" w:sz="6" w:space="0" w:color="auto"/>
              <w:right w:val="nil"/>
            </w:tcBorders>
            <w:shd w:val="clear" w:color="000000" w:fill="D9E1F2"/>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873,304</w:t>
            </w:r>
          </w:p>
        </w:tc>
        <w:tc>
          <w:tcPr>
            <w:tcW w:w="648" w:type="pct"/>
            <w:tcBorders>
              <w:top w:val="nil"/>
              <w:left w:val="nil"/>
              <w:bottom w:val="double" w:sz="6" w:space="0" w:color="auto"/>
              <w:right w:val="nil"/>
            </w:tcBorders>
            <w:shd w:val="clear" w:color="000000" w:fill="D9E1F2"/>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1,029,535</w:t>
            </w:r>
          </w:p>
        </w:tc>
        <w:tc>
          <w:tcPr>
            <w:tcW w:w="648" w:type="pct"/>
            <w:tcBorders>
              <w:top w:val="nil"/>
              <w:left w:val="nil"/>
              <w:bottom w:val="double" w:sz="6" w:space="0" w:color="auto"/>
              <w:right w:val="nil"/>
            </w:tcBorders>
            <w:shd w:val="clear" w:color="000000" w:fill="D9E1F2"/>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8,250</w:t>
            </w:r>
          </w:p>
        </w:tc>
      </w:tr>
      <w:tr w:rsidR="005429AB" w:rsidRPr="005429AB" w:rsidTr="005429AB">
        <w:trPr>
          <w:trHeight w:val="300"/>
        </w:trPr>
        <w:tc>
          <w:tcPr>
            <w:tcW w:w="1963" w:type="pct"/>
            <w:tcBorders>
              <w:top w:val="nil"/>
              <w:left w:val="nil"/>
              <w:bottom w:val="nil"/>
              <w:right w:val="nil"/>
            </w:tcBorders>
            <w:shd w:val="clear" w:color="auto" w:fill="auto"/>
            <w:hideMark/>
          </w:tcPr>
          <w:p w:rsidR="005429AB" w:rsidRPr="005429AB" w:rsidRDefault="005429AB" w:rsidP="005429AB">
            <w:pPr>
              <w:jc w:val="right"/>
              <w:rPr>
                <w:rFonts w:eastAsia="Times New Roman" w:cs="Arial"/>
                <w:b/>
                <w:bCs/>
                <w:sz w:val="20"/>
                <w:szCs w:val="20"/>
                <w:lang w:eastAsia="en-AU"/>
              </w:rPr>
            </w:pP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2022</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Balance at beginning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1,911,089</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873,304</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1,029,535</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8,250</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Surplus/(deficit) for the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29,867</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29,867</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 from general reserve</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500</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(500)</w:t>
            </w:r>
          </w:p>
        </w:tc>
      </w:tr>
      <w:tr w:rsidR="005429AB" w:rsidRPr="005429AB" w:rsidTr="005429AB">
        <w:trPr>
          <w:trHeight w:val="300"/>
        </w:trPr>
        <w:tc>
          <w:tcPr>
            <w:tcW w:w="1963" w:type="pct"/>
            <w:tcBorders>
              <w:top w:val="nil"/>
              <w:left w:val="nil"/>
              <w:bottom w:val="nil"/>
              <w:right w:val="nil"/>
            </w:tcBorders>
            <w:shd w:val="clear" w:color="000000" w:fill="FFFFFF"/>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Balance at end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1,940,956</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903,671</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1,029,535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7,750</w:t>
            </w:r>
          </w:p>
        </w:tc>
      </w:tr>
      <w:tr w:rsidR="005429AB" w:rsidRPr="005429AB" w:rsidTr="005429AB">
        <w:trPr>
          <w:trHeight w:val="300"/>
        </w:trPr>
        <w:tc>
          <w:tcPr>
            <w:tcW w:w="1963"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b/>
                <w:bCs/>
                <w:sz w:val="20"/>
                <w:szCs w:val="20"/>
                <w:lang w:eastAsia="en-AU"/>
              </w:rPr>
            </w:pP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2023</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Balance at beginning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1,940,956</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903,671</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1,029,535</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7,750</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Surplus/(deficit) for the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9,822</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9,822</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 from general reserve</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2,750</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(2,750)</w:t>
            </w:r>
          </w:p>
        </w:tc>
      </w:tr>
      <w:tr w:rsidR="005429AB" w:rsidRPr="005429AB" w:rsidTr="005429AB">
        <w:trPr>
          <w:trHeight w:val="300"/>
        </w:trPr>
        <w:tc>
          <w:tcPr>
            <w:tcW w:w="1963" w:type="pct"/>
            <w:tcBorders>
              <w:top w:val="nil"/>
              <w:left w:val="nil"/>
              <w:bottom w:val="nil"/>
              <w:right w:val="nil"/>
            </w:tcBorders>
            <w:shd w:val="clear" w:color="000000" w:fill="FFFFFF"/>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Balance at end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1,950,778</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916,243</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1,029,535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5,000</w:t>
            </w:r>
          </w:p>
        </w:tc>
      </w:tr>
      <w:tr w:rsidR="005429AB" w:rsidRPr="005429AB" w:rsidTr="005429AB">
        <w:trPr>
          <w:trHeight w:val="300"/>
        </w:trPr>
        <w:tc>
          <w:tcPr>
            <w:tcW w:w="1963"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b/>
                <w:bCs/>
                <w:sz w:val="20"/>
                <w:szCs w:val="20"/>
                <w:lang w:eastAsia="en-AU"/>
              </w:rPr>
            </w:pP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vAlign w:val="center"/>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2024</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rPr>
                <w:rFonts w:ascii="Times New Roman" w:eastAsia="Times New Roman" w:hAnsi="Times New Roman"/>
                <w:sz w:val="20"/>
                <w:szCs w:val="20"/>
                <w:lang w:eastAsia="en-AU"/>
              </w:rPr>
            </w:pPr>
            <w:r w:rsidRPr="005429AB">
              <w:rPr>
                <w:rFonts w:ascii="Times New Roman" w:eastAsia="Times New Roman" w:hAnsi="Times New Roman"/>
                <w:sz w:val="20"/>
                <w:szCs w:val="20"/>
                <w:lang w:eastAsia="en-AU"/>
              </w:rPr>
              <w:t> </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Balance at beginning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1,950,778</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916,243</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1,029,535</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5,000</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 from general reserve</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9,612</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9,612</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r>
      <w:tr w:rsidR="005429AB" w:rsidRPr="005429AB" w:rsidTr="005429AB">
        <w:trPr>
          <w:trHeight w:val="290"/>
        </w:trPr>
        <w:tc>
          <w:tcPr>
            <w:tcW w:w="1963" w:type="pct"/>
            <w:tcBorders>
              <w:top w:val="nil"/>
              <w:left w:val="nil"/>
              <w:bottom w:val="nil"/>
              <w:right w:val="nil"/>
            </w:tcBorders>
            <w:shd w:val="clear" w:color="auto" w:fill="auto"/>
            <w:noWrap/>
            <w:vAlign w:val="center"/>
            <w:hideMark/>
          </w:tcPr>
          <w:p w:rsidR="005429AB" w:rsidRPr="005429AB" w:rsidRDefault="005429AB" w:rsidP="005429AB">
            <w:pPr>
              <w:rPr>
                <w:rFonts w:eastAsia="Times New Roman" w:cs="Arial"/>
                <w:sz w:val="20"/>
                <w:szCs w:val="20"/>
                <w:lang w:eastAsia="en-AU"/>
              </w:rPr>
            </w:pPr>
            <w:r w:rsidRPr="005429AB">
              <w:rPr>
                <w:rFonts w:eastAsia="Times New Roman" w:cs="Arial"/>
                <w:sz w:val="20"/>
                <w:szCs w:val="20"/>
                <w:lang w:eastAsia="en-AU"/>
              </w:rPr>
              <w:t>Transfers to general reserve</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(1,500)</w:t>
            </w:r>
          </w:p>
        </w:tc>
        <w:tc>
          <w:tcPr>
            <w:tcW w:w="648" w:type="pct"/>
            <w:tcBorders>
              <w:top w:val="nil"/>
              <w:left w:val="nil"/>
              <w:bottom w:val="nil"/>
              <w:right w:val="nil"/>
            </w:tcBorders>
            <w:shd w:val="clear" w:color="000000" w:fill="FFFFFF"/>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w:t>
            </w:r>
          </w:p>
        </w:tc>
        <w:tc>
          <w:tcPr>
            <w:tcW w:w="648" w:type="pct"/>
            <w:tcBorders>
              <w:top w:val="nil"/>
              <w:left w:val="nil"/>
              <w:bottom w:val="nil"/>
              <w:right w:val="nil"/>
            </w:tcBorders>
            <w:shd w:val="clear" w:color="auto" w:fill="auto"/>
            <w:vAlign w:val="bottom"/>
            <w:hideMark/>
          </w:tcPr>
          <w:p w:rsidR="005429AB" w:rsidRPr="005429AB" w:rsidRDefault="005429AB" w:rsidP="005429AB">
            <w:pPr>
              <w:jc w:val="right"/>
              <w:rPr>
                <w:rFonts w:eastAsia="Times New Roman" w:cs="Arial"/>
                <w:sz w:val="20"/>
                <w:szCs w:val="20"/>
                <w:lang w:eastAsia="en-AU"/>
              </w:rPr>
            </w:pPr>
            <w:r w:rsidRPr="005429AB">
              <w:rPr>
                <w:rFonts w:eastAsia="Times New Roman" w:cs="Arial"/>
                <w:sz w:val="20"/>
                <w:szCs w:val="20"/>
                <w:lang w:eastAsia="en-AU"/>
              </w:rPr>
              <w:t>1,500</w:t>
            </w:r>
          </w:p>
        </w:tc>
      </w:tr>
      <w:tr w:rsidR="005429AB" w:rsidRPr="005429AB" w:rsidTr="005429AB">
        <w:trPr>
          <w:trHeight w:val="300"/>
        </w:trPr>
        <w:tc>
          <w:tcPr>
            <w:tcW w:w="1963" w:type="pct"/>
            <w:tcBorders>
              <w:top w:val="nil"/>
              <w:left w:val="nil"/>
              <w:bottom w:val="nil"/>
              <w:right w:val="nil"/>
            </w:tcBorders>
            <w:shd w:val="clear" w:color="000000" w:fill="FFFFFF"/>
            <w:hideMark/>
          </w:tcPr>
          <w:p w:rsidR="005429AB" w:rsidRPr="005429AB" w:rsidRDefault="005429AB" w:rsidP="005429AB">
            <w:pPr>
              <w:rPr>
                <w:rFonts w:eastAsia="Times New Roman" w:cs="Arial"/>
                <w:b/>
                <w:bCs/>
                <w:sz w:val="20"/>
                <w:szCs w:val="20"/>
                <w:lang w:eastAsia="en-AU"/>
              </w:rPr>
            </w:pPr>
            <w:r w:rsidRPr="005429AB">
              <w:rPr>
                <w:rFonts w:eastAsia="Times New Roman" w:cs="Arial"/>
                <w:b/>
                <w:bCs/>
                <w:sz w:val="20"/>
                <w:szCs w:val="20"/>
                <w:lang w:eastAsia="en-AU"/>
              </w:rPr>
              <w:t>Balance at end of the financial year</w:t>
            </w:r>
          </w:p>
        </w:tc>
        <w:tc>
          <w:tcPr>
            <w:tcW w:w="444" w:type="pct"/>
            <w:tcBorders>
              <w:top w:val="nil"/>
              <w:left w:val="nil"/>
              <w:bottom w:val="nil"/>
              <w:right w:val="nil"/>
            </w:tcBorders>
            <w:shd w:val="clear" w:color="000000" w:fill="FFFFFF"/>
            <w:hideMark/>
          </w:tcPr>
          <w:p w:rsidR="005429AB" w:rsidRPr="005429AB" w:rsidRDefault="005429AB" w:rsidP="005429AB">
            <w:pPr>
              <w:jc w:val="right"/>
              <w:rPr>
                <w:rFonts w:eastAsia="Times New Roman" w:cs="Arial"/>
                <w:sz w:val="18"/>
                <w:szCs w:val="18"/>
                <w:lang w:eastAsia="en-AU"/>
              </w:rPr>
            </w:pPr>
            <w:r w:rsidRPr="005429AB">
              <w:rPr>
                <w:rFonts w:eastAsia="Times New Roman" w:cs="Arial"/>
                <w:sz w:val="18"/>
                <w:szCs w:val="18"/>
                <w:lang w:eastAsia="en-AU"/>
              </w:rPr>
              <w:t> </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1,960,390</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924,355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1,029,535</w:t>
            </w:r>
          </w:p>
        </w:tc>
        <w:tc>
          <w:tcPr>
            <w:tcW w:w="648" w:type="pct"/>
            <w:tcBorders>
              <w:top w:val="nil"/>
              <w:left w:val="nil"/>
              <w:bottom w:val="double" w:sz="6" w:space="0" w:color="auto"/>
              <w:right w:val="nil"/>
            </w:tcBorders>
            <w:shd w:val="clear" w:color="000000" w:fill="FFFFFF"/>
            <w:vAlign w:val="bottom"/>
            <w:hideMark/>
          </w:tcPr>
          <w:p w:rsidR="005429AB" w:rsidRPr="005429AB" w:rsidRDefault="005429AB" w:rsidP="005429AB">
            <w:pPr>
              <w:jc w:val="right"/>
              <w:rPr>
                <w:rFonts w:eastAsia="Times New Roman" w:cs="Arial"/>
                <w:b/>
                <w:bCs/>
                <w:sz w:val="20"/>
                <w:szCs w:val="20"/>
                <w:lang w:eastAsia="en-AU"/>
              </w:rPr>
            </w:pPr>
            <w:r w:rsidRPr="005429AB">
              <w:rPr>
                <w:rFonts w:eastAsia="Times New Roman" w:cs="Arial"/>
                <w:b/>
                <w:bCs/>
                <w:sz w:val="20"/>
                <w:szCs w:val="20"/>
                <w:lang w:eastAsia="en-AU"/>
              </w:rPr>
              <w:t>6,500</w:t>
            </w:r>
          </w:p>
        </w:tc>
      </w:tr>
    </w:tbl>
    <w:p w:rsidR="009331AF" w:rsidRDefault="009331AF">
      <w:r>
        <w:br w:type="page"/>
      </w:r>
    </w:p>
    <w:tbl>
      <w:tblPr>
        <w:tblW w:w="5000" w:type="pct"/>
        <w:tblLook w:val="04A0" w:firstRow="1" w:lastRow="0" w:firstColumn="1" w:lastColumn="0" w:noHBand="0" w:noVBand="1"/>
      </w:tblPr>
      <w:tblGrid>
        <w:gridCol w:w="4562"/>
        <w:gridCol w:w="1176"/>
        <w:gridCol w:w="1205"/>
        <w:gridCol w:w="1176"/>
        <w:gridCol w:w="1176"/>
        <w:gridCol w:w="1171"/>
      </w:tblGrid>
      <w:tr w:rsidR="00086D52" w:rsidRPr="00086D52" w:rsidTr="00086D52">
        <w:trPr>
          <w:trHeight w:val="310"/>
        </w:trPr>
        <w:tc>
          <w:tcPr>
            <w:tcW w:w="2182" w:type="pct"/>
            <w:tcBorders>
              <w:top w:val="nil"/>
              <w:left w:val="nil"/>
              <w:bottom w:val="nil"/>
              <w:right w:val="nil"/>
            </w:tcBorders>
            <w:shd w:val="clear" w:color="000000" w:fill="FFFFFF"/>
            <w:noWrap/>
            <w:hideMark/>
          </w:tcPr>
          <w:p w:rsidR="00086D52" w:rsidRPr="00086D52" w:rsidRDefault="00086D52" w:rsidP="00086D52">
            <w:pPr>
              <w:rPr>
                <w:rFonts w:eastAsia="Times New Roman" w:cs="Arial"/>
                <w:b/>
                <w:bCs/>
                <w:sz w:val="24"/>
                <w:szCs w:val="24"/>
                <w:lang w:eastAsia="en-AU"/>
              </w:rPr>
            </w:pPr>
            <w:r w:rsidRPr="00086D52">
              <w:rPr>
                <w:rFonts w:eastAsia="Times New Roman" w:cs="Arial"/>
                <w:b/>
                <w:bCs/>
                <w:sz w:val="24"/>
                <w:szCs w:val="24"/>
                <w:lang w:eastAsia="en-AU"/>
              </w:rPr>
              <w:lastRenderedPageBreak/>
              <w:t>Statement of Cash Flows</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noWrap/>
            <w:hideMark/>
          </w:tcPr>
          <w:p w:rsidR="00086D52" w:rsidRPr="00086D52" w:rsidRDefault="00086D52" w:rsidP="00086D52">
            <w:pPr>
              <w:rPr>
                <w:rFonts w:eastAsia="Times New Roman" w:cs="Arial"/>
                <w:lang w:eastAsia="en-AU"/>
              </w:rPr>
            </w:pPr>
            <w:r w:rsidRPr="00086D52">
              <w:rPr>
                <w:rFonts w:eastAsia="Times New Roman" w:cs="Arial"/>
                <w:lang w:eastAsia="en-AU"/>
              </w:rPr>
              <w:t>For the four years ending 30 June 2024</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bookmarkStart w:id="129" w:name="_GoBack"/>
        <w:bookmarkEnd w:id="129"/>
      </w:tr>
      <w:tr w:rsidR="00086D52" w:rsidRPr="00086D52" w:rsidTr="00086D52">
        <w:trPr>
          <w:trHeight w:val="290"/>
        </w:trPr>
        <w:tc>
          <w:tcPr>
            <w:tcW w:w="2182" w:type="pct"/>
            <w:tcBorders>
              <w:top w:val="nil"/>
              <w:left w:val="nil"/>
              <w:bottom w:val="nil"/>
              <w:right w:val="nil"/>
            </w:tcBorders>
            <w:shd w:val="clear" w:color="000000" w:fill="FFFFFF"/>
            <w:noWrap/>
            <w:hideMark/>
          </w:tcPr>
          <w:p w:rsidR="00086D52" w:rsidRPr="00086D52" w:rsidRDefault="00086D52" w:rsidP="00086D52">
            <w:pPr>
              <w:rPr>
                <w:rFonts w:eastAsia="Times New Roman" w:cs="Arial"/>
                <w:lang w:eastAsia="en-AU"/>
              </w:rPr>
            </w:pPr>
            <w:r w:rsidRPr="00086D52">
              <w:rPr>
                <w:rFonts w:eastAsia="Times New Roman" w:cs="Arial"/>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c>
          <w:tcPr>
            <w:tcW w:w="564" w:type="pct"/>
            <w:tcBorders>
              <w:top w:val="nil"/>
              <w:left w:val="nil"/>
              <w:bottom w:val="nil"/>
              <w:right w:val="nil"/>
            </w:tcBorders>
            <w:shd w:val="clear" w:color="000000" w:fill="FFFFFF"/>
            <w:noWrap/>
            <w:hideMark/>
          </w:tcPr>
          <w:p w:rsidR="00086D52" w:rsidRPr="00086D52" w:rsidRDefault="00086D52" w:rsidP="00086D52">
            <w:pPr>
              <w:rPr>
                <w:rFonts w:ascii="Calibri" w:eastAsia="Times New Roman" w:hAnsi="Calibri" w:cs="Calibri"/>
                <w:color w:val="000000"/>
                <w:lang w:eastAsia="en-AU"/>
              </w:rPr>
            </w:pPr>
            <w:r w:rsidRPr="00086D52">
              <w:rPr>
                <w:rFonts w:ascii="Calibri" w:eastAsia="Times New Roman" w:hAnsi="Calibri" w:cs="Calibri"/>
                <w:color w:val="000000"/>
                <w:lang w:eastAsia="en-AU"/>
              </w:rPr>
              <w:t> </w:t>
            </w:r>
          </w:p>
        </w:tc>
      </w:tr>
      <w:tr w:rsidR="00086D52" w:rsidRPr="00086D52" w:rsidTr="00086D52">
        <w:trPr>
          <w:trHeight w:val="290"/>
        </w:trPr>
        <w:tc>
          <w:tcPr>
            <w:tcW w:w="2182"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 </w:t>
            </w:r>
          </w:p>
        </w:tc>
        <w:tc>
          <w:tcPr>
            <w:tcW w:w="564" w:type="pct"/>
            <w:vMerge w:val="restar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Forecast Actual</w:t>
            </w:r>
          </w:p>
        </w:tc>
        <w:tc>
          <w:tcPr>
            <w:tcW w:w="564" w:type="pct"/>
            <w:vMerge w:val="restar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Budget</w:t>
            </w:r>
          </w:p>
        </w:tc>
        <w:tc>
          <w:tcPr>
            <w:tcW w:w="1691" w:type="pct"/>
            <w:gridSpan w:val="3"/>
            <w:vMerge w:val="restar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Strategic Resource Plan Projections</w:t>
            </w:r>
          </w:p>
        </w:tc>
      </w:tr>
      <w:tr w:rsidR="00086D52" w:rsidRPr="00086D52" w:rsidTr="00086D52">
        <w:trPr>
          <w:trHeight w:val="290"/>
        </w:trPr>
        <w:tc>
          <w:tcPr>
            <w:tcW w:w="2182"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 </w:t>
            </w:r>
          </w:p>
        </w:tc>
        <w:tc>
          <w:tcPr>
            <w:tcW w:w="564" w:type="pct"/>
            <w:vMerge/>
            <w:tcBorders>
              <w:top w:val="nil"/>
              <w:left w:val="nil"/>
              <w:bottom w:val="nil"/>
              <w:right w:val="nil"/>
            </w:tcBorders>
            <w:vAlign w:val="center"/>
            <w:hideMark/>
          </w:tcPr>
          <w:p w:rsidR="00086D52" w:rsidRPr="00086D52" w:rsidRDefault="00086D52" w:rsidP="00086D52">
            <w:pPr>
              <w:rPr>
                <w:rFonts w:eastAsia="Times New Roman" w:cs="Arial"/>
                <w:b/>
                <w:bCs/>
                <w:color w:val="FFFFFF"/>
                <w:sz w:val="20"/>
                <w:szCs w:val="20"/>
                <w:lang w:eastAsia="en-AU"/>
              </w:rPr>
            </w:pPr>
          </w:p>
        </w:tc>
        <w:tc>
          <w:tcPr>
            <w:tcW w:w="564" w:type="pct"/>
            <w:vMerge/>
            <w:tcBorders>
              <w:top w:val="nil"/>
              <w:left w:val="nil"/>
              <w:bottom w:val="nil"/>
              <w:right w:val="nil"/>
            </w:tcBorders>
            <w:vAlign w:val="center"/>
            <w:hideMark/>
          </w:tcPr>
          <w:p w:rsidR="00086D52" w:rsidRPr="00086D52" w:rsidRDefault="00086D52" w:rsidP="00086D52">
            <w:pPr>
              <w:rPr>
                <w:rFonts w:eastAsia="Times New Roman" w:cs="Arial"/>
                <w:b/>
                <w:bCs/>
                <w:color w:val="FFFFFF"/>
                <w:sz w:val="20"/>
                <w:szCs w:val="20"/>
                <w:lang w:eastAsia="en-AU"/>
              </w:rPr>
            </w:pPr>
          </w:p>
        </w:tc>
        <w:tc>
          <w:tcPr>
            <w:tcW w:w="1691" w:type="pct"/>
            <w:gridSpan w:val="3"/>
            <w:vMerge/>
            <w:tcBorders>
              <w:top w:val="nil"/>
              <w:left w:val="nil"/>
              <w:bottom w:val="nil"/>
              <w:right w:val="nil"/>
            </w:tcBorders>
            <w:vAlign w:val="center"/>
            <w:hideMark/>
          </w:tcPr>
          <w:p w:rsidR="00086D52" w:rsidRPr="00086D52" w:rsidRDefault="00086D52" w:rsidP="00086D52">
            <w:pPr>
              <w:rPr>
                <w:rFonts w:eastAsia="Times New Roman" w:cs="Arial"/>
                <w:b/>
                <w:bCs/>
                <w:color w:val="FFFFFF"/>
                <w:sz w:val="20"/>
                <w:szCs w:val="20"/>
                <w:lang w:eastAsia="en-AU"/>
              </w:rPr>
            </w:pPr>
          </w:p>
        </w:tc>
      </w:tr>
      <w:tr w:rsidR="00086D52" w:rsidRPr="00086D52" w:rsidTr="00086D52">
        <w:trPr>
          <w:trHeight w:val="290"/>
        </w:trPr>
        <w:tc>
          <w:tcPr>
            <w:tcW w:w="2182"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 </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2019/20</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2020/21</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2021/22</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2022/23</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2023/24</w:t>
            </w:r>
          </w:p>
        </w:tc>
      </w:tr>
      <w:tr w:rsidR="00086D52" w:rsidRPr="00086D52" w:rsidTr="00086D52">
        <w:trPr>
          <w:trHeight w:val="290"/>
        </w:trPr>
        <w:tc>
          <w:tcPr>
            <w:tcW w:w="2182"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 </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$’000</w:t>
            </w:r>
          </w:p>
        </w:tc>
        <w:tc>
          <w:tcPr>
            <w:tcW w:w="564" w:type="pct"/>
            <w:tcBorders>
              <w:top w:val="nil"/>
              <w:left w:val="nil"/>
              <w:bottom w:val="nil"/>
              <w:right w:val="nil"/>
            </w:tcBorders>
            <w:shd w:val="clear" w:color="000000" w:fill="4472C4"/>
            <w:vAlign w:val="center"/>
            <w:hideMark/>
          </w:tcPr>
          <w:p w:rsidR="00086D52" w:rsidRPr="00086D52" w:rsidRDefault="00086D52" w:rsidP="00086D52">
            <w:pPr>
              <w:jc w:val="center"/>
              <w:rPr>
                <w:rFonts w:eastAsia="Times New Roman" w:cs="Arial"/>
                <w:b/>
                <w:bCs/>
                <w:color w:val="FFFFFF"/>
                <w:sz w:val="20"/>
                <w:szCs w:val="20"/>
                <w:lang w:eastAsia="en-AU"/>
              </w:rPr>
            </w:pPr>
            <w:r w:rsidRPr="00086D52">
              <w:rPr>
                <w:rFonts w:eastAsia="Times New Roman" w:cs="Arial"/>
                <w:b/>
                <w:bCs/>
                <w:color w:val="FFFFFF"/>
                <w:sz w:val="20"/>
                <w:szCs w:val="20"/>
                <w:lang w:eastAsia="en-AU"/>
              </w:rPr>
              <w:t>$’000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Inflows</w:t>
            </w:r>
          </w:p>
        </w:tc>
        <w:tc>
          <w:tcPr>
            <w:tcW w:w="564" w:type="pct"/>
            <w:tcBorders>
              <w:top w:val="nil"/>
              <w:left w:val="nil"/>
              <w:bottom w:val="nil"/>
              <w:right w:val="nil"/>
            </w:tcBorders>
            <w:shd w:val="clear" w:color="000000" w:fill="D9E1F2"/>
            <w:hideMark/>
          </w:tcPr>
          <w:p w:rsidR="00086D52" w:rsidRPr="00086D52" w:rsidRDefault="00086D52" w:rsidP="00086D52">
            <w:pPr>
              <w:jc w:val="center"/>
              <w:rPr>
                <w:rFonts w:eastAsia="Times New Roman" w:cs="Arial"/>
                <w:b/>
                <w:bCs/>
                <w:sz w:val="20"/>
                <w:szCs w:val="20"/>
                <w:lang w:eastAsia="en-AU"/>
              </w:rPr>
            </w:pPr>
            <w:r w:rsidRPr="00086D52">
              <w:rPr>
                <w:rFonts w:eastAsia="Times New Roman" w:cs="Arial"/>
                <w:b/>
                <w:bCs/>
                <w:sz w:val="20"/>
                <w:szCs w:val="20"/>
                <w:lang w:eastAsia="en-AU"/>
              </w:rPr>
              <w:t>Inflows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Inflows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Inflows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Inflows</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(Outflows)</w:t>
            </w:r>
          </w:p>
        </w:tc>
        <w:tc>
          <w:tcPr>
            <w:tcW w:w="564" w:type="pct"/>
            <w:tcBorders>
              <w:top w:val="nil"/>
              <w:left w:val="nil"/>
              <w:bottom w:val="nil"/>
              <w:right w:val="nil"/>
            </w:tcBorders>
            <w:shd w:val="clear" w:color="000000" w:fill="D9E1F2"/>
            <w:hideMark/>
          </w:tcPr>
          <w:p w:rsidR="00086D52" w:rsidRPr="00086D52" w:rsidRDefault="00086D52" w:rsidP="00086D52">
            <w:pPr>
              <w:jc w:val="center"/>
              <w:rPr>
                <w:rFonts w:eastAsia="Times New Roman" w:cs="Arial"/>
                <w:b/>
                <w:bCs/>
                <w:sz w:val="20"/>
                <w:szCs w:val="20"/>
                <w:lang w:eastAsia="en-AU"/>
              </w:rPr>
            </w:pPr>
            <w:r w:rsidRPr="00086D52">
              <w:rPr>
                <w:rFonts w:eastAsia="Times New Roman" w:cs="Arial"/>
                <w:b/>
                <w:bCs/>
                <w:sz w:val="20"/>
                <w:szCs w:val="20"/>
                <w:lang w:eastAsia="en-AU"/>
              </w:rPr>
              <w:t>(Outflows)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(Outflows)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(Outflows)</w:t>
            </w:r>
          </w:p>
        </w:tc>
        <w:tc>
          <w:tcPr>
            <w:tcW w:w="564" w:type="pct"/>
            <w:tcBorders>
              <w:top w:val="nil"/>
              <w:left w:val="nil"/>
              <w:bottom w:val="nil"/>
              <w:right w:val="nil"/>
            </w:tcBorders>
            <w:shd w:val="clear" w:color="000000" w:fill="FFFFFF"/>
            <w:hideMark/>
          </w:tcPr>
          <w:p w:rsidR="00086D52" w:rsidRPr="00086D52" w:rsidRDefault="00086D52" w:rsidP="00086D52">
            <w:pPr>
              <w:jc w:val="center"/>
              <w:rPr>
                <w:rFonts w:eastAsia="Times New Roman" w:cs="Arial"/>
                <w:sz w:val="20"/>
                <w:szCs w:val="20"/>
                <w:lang w:eastAsia="en-AU"/>
              </w:rPr>
            </w:pPr>
            <w:r w:rsidRPr="00086D52">
              <w:rPr>
                <w:rFonts w:eastAsia="Times New Roman" w:cs="Arial"/>
                <w:sz w:val="20"/>
                <w:szCs w:val="20"/>
                <w:lang w:eastAsia="en-AU"/>
              </w:rPr>
              <w:t>(Outflows)</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Cash flows from operating activities</w:t>
            </w:r>
          </w:p>
        </w:tc>
        <w:tc>
          <w:tcPr>
            <w:tcW w:w="564"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D9E1F2"/>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Rates and charges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92,667</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96,687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99,864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103,263</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108,676</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Statutory fees and fines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4,106</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5,145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5,193</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5,294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5,404</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User fees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24,421</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19,929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27,960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30,506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31,700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Grants - operating</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9,052</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8,384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8,209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10,020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7,869</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Grants - capital</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7,785</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26,557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23,407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407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407</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Contributions - monetary</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5,577</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4,726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4,508</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4,421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4,451</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Interest received</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1,031</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1,134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1,692</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1,625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1,704</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Trust funds and deposits taken</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Net GST refund / payment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Employee costs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(54,804)</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(55,736)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(58,970)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(59,935)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(61,794)</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Materials and services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(53,744)</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(46,184)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(55,555)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(59,411)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(57,332)</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Trust funds and deposits repaid</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(17,000)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Other payments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(1,056)</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(1,482)</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(1,563)</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(1,592)</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(1,630)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Net cash provided by</w:t>
            </w:r>
            <w:proofErr w:type="gramStart"/>
            <w:r w:rsidRPr="00086D52">
              <w:rPr>
                <w:rFonts w:eastAsia="Times New Roman" w:cs="Arial"/>
                <w:b/>
                <w:bCs/>
                <w:sz w:val="20"/>
                <w:szCs w:val="20"/>
                <w:lang w:eastAsia="en-AU"/>
              </w:rPr>
              <w:t>/(</w:t>
            </w:r>
            <w:proofErr w:type="gramEnd"/>
            <w:r w:rsidRPr="00086D52">
              <w:rPr>
                <w:rFonts w:eastAsia="Times New Roman" w:cs="Arial"/>
                <w:b/>
                <w:bCs/>
                <w:sz w:val="20"/>
                <w:szCs w:val="20"/>
                <w:lang w:eastAsia="en-AU"/>
              </w:rPr>
              <w:t xml:space="preserve">used in) operating activities </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35,035</w:t>
            </w:r>
          </w:p>
        </w:tc>
        <w:tc>
          <w:tcPr>
            <w:tcW w:w="564" w:type="pct"/>
            <w:tcBorders>
              <w:top w:val="single" w:sz="4" w:space="0" w:color="auto"/>
              <w:left w:val="nil"/>
              <w:bottom w:val="single" w:sz="4" w:space="0" w:color="auto"/>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59,159</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54,743</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34,598</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39,456</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Cash flows from investing activities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Payments for property, infrastructure, plant and equipment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(47,806)</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(85,376)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(65,539)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(34,069)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(39,773)</w:t>
            </w:r>
          </w:p>
        </w:tc>
      </w:tr>
      <w:tr w:rsidR="00086D52" w:rsidRPr="00086D52" w:rsidTr="00086D52">
        <w:trPr>
          <w:trHeight w:val="57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Proceeds from sale of property, infrastructure, plant and equipment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1,120</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20,652</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919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597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1,359</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Payments for investments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(76,712)</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(88,549)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(84,026)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(91,862)</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(91,678)</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Proceeds from sale of investments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90,000</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90,000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90,000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93,000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93,000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Net cash provided by/ (used in) investing activities </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(33,398)</w:t>
            </w:r>
          </w:p>
        </w:tc>
        <w:tc>
          <w:tcPr>
            <w:tcW w:w="564" w:type="pct"/>
            <w:tcBorders>
              <w:top w:val="single" w:sz="4" w:space="0" w:color="auto"/>
              <w:left w:val="nil"/>
              <w:bottom w:val="single" w:sz="4" w:space="0" w:color="auto"/>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(63,273)</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(58,646)</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(32,334)</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(37,092)</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 xml:space="preserve">Cash flows from financing activities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 </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Finance costs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(459)</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(861)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(1,054)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(949)</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(840)</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Proceeds from borrowings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1,165</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10,000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Repayment of borrowings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(1,399)</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(1,570)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(2,526)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(2,630)</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(2,739)</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Interest paid - lease liability</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(34)</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(41)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(4)</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Repayment of lease liabilities</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(301)</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(507)</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(511)</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(236)</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(31)</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Net cash provided by</w:t>
            </w:r>
            <w:proofErr w:type="gramStart"/>
            <w:r w:rsidRPr="00086D52">
              <w:rPr>
                <w:rFonts w:eastAsia="Times New Roman" w:cs="Arial"/>
                <w:sz w:val="20"/>
                <w:szCs w:val="20"/>
                <w:lang w:eastAsia="en-AU"/>
              </w:rPr>
              <w:t>/(</w:t>
            </w:r>
            <w:proofErr w:type="gramEnd"/>
            <w:r w:rsidRPr="00086D52">
              <w:rPr>
                <w:rFonts w:eastAsia="Times New Roman" w:cs="Arial"/>
                <w:sz w:val="20"/>
                <w:szCs w:val="20"/>
                <w:lang w:eastAsia="en-AU"/>
              </w:rPr>
              <w:t xml:space="preserve">used in) financing activities </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(1,028)</w:t>
            </w:r>
          </w:p>
        </w:tc>
        <w:tc>
          <w:tcPr>
            <w:tcW w:w="564" w:type="pct"/>
            <w:tcBorders>
              <w:top w:val="single" w:sz="4" w:space="0" w:color="auto"/>
              <w:left w:val="nil"/>
              <w:bottom w:val="single" w:sz="4" w:space="0" w:color="auto"/>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(2,979)</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5,888</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(3,819)</w:t>
            </w:r>
          </w:p>
        </w:tc>
        <w:tc>
          <w:tcPr>
            <w:tcW w:w="564" w:type="pct"/>
            <w:tcBorders>
              <w:top w:val="single" w:sz="4" w:space="0" w:color="auto"/>
              <w:left w:val="nil"/>
              <w:bottom w:val="single" w:sz="4"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(3,611)</w:t>
            </w:r>
          </w:p>
        </w:tc>
      </w:tr>
      <w:tr w:rsidR="00086D52" w:rsidRPr="00086D52" w:rsidTr="00086D52">
        <w:trPr>
          <w:trHeight w:val="29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 xml:space="preserve">Net increase/(decrease) in cash &amp; cash equivalents </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608</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(7,093)</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1,985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(1,555)</w:t>
            </w:r>
          </w:p>
        </w:tc>
        <w:tc>
          <w:tcPr>
            <w:tcW w:w="564" w:type="pct"/>
            <w:tcBorders>
              <w:top w:val="nil"/>
              <w:left w:val="nil"/>
              <w:bottom w:val="nil"/>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(1,248)</w:t>
            </w:r>
          </w:p>
        </w:tc>
      </w:tr>
      <w:tr w:rsidR="00086D52" w:rsidRPr="00086D52" w:rsidTr="00086D52">
        <w:trPr>
          <w:trHeight w:val="54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sz w:val="20"/>
                <w:szCs w:val="20"/>
                <w:lang w:eastAsia="en-AU"/>
              </w:rPr>
            </w:pPr>
            <w:r w:rsidRPr="00086D52">
              <w:rPr>
                <w:rFonts w:eastAsia="Times New Roman" w:cs="Arial"/>
                <w:sz w:val="20"/>
                <w:szCs w:val="20"/>
                <w:lang w:eastAsia="en-AU"/>
              </w:rPr>
              <w:t xml:space="preserve">Cash and cash equivalents at the beginning of the financial year </w:t>
            </w:r>
          </w:p>
        </w:tc>
        <w:tc>
          <w:tcPr>
            <w:tcW w:w="564" w:type="pct"/>
            <w:tcBorders>
              <w:top w:val="nil"/>
              <w:left w:val="nil"/>
              <w:bottom w:val="nil"/>
              <w:right w:val="nil"/>
            </w:tcBorders>
            <w:shd w:val="clear" w:color="auto" w:fill="auto"/>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16,049</w:t>
            </w:r>
          </w:p>
        </w:tc>
        <w:tc>
          <w:tcPr>
            <w:tcW w:w="564" w:type="pct"/>
            <w:tcBorders>
              <w:top w:val="nil"/>
              <w:left w:val="nil"/>
              <w:bottom w:val="nil"/>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16,657</w:t>
            </w:r>
          </w:p>
        </w:tc>
        <w:tc>
          <w:tcPr>
            <w:tcW w:w="564" w:type="pct"/>
            <w:tcBorders>
              <w:top w:val="nil"/>
              <w:left w:val="nil"/>
              <w:bottom w:val="nil"/>
              <w:right w:val="nil"/>
            </w:tcBorders>
            <w:shd w:val="clear" w:color="auto" w:fill="auto"/>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9,565</w:t>
            </w:r>
          </w:p>
        </w:tc>
        <w:tc>
          <w:tcPr>
            <w:tcW w:w="564" w:type="pct"/>
            <w:tcBorders>
              <w:top w:val="nil"/>
              <w:left w:val="nil"/>
              <w:bottom w:val="nil"/>
              <w:right w:val="nil"/>
            </w:tcBorders>
            <w:shd w:val="clear" w:color="auto" w:fill="auto"/>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11,550</w:t>
            </w:r>
          </w:p>
        </w:tc>
        <w:tc>
          <w:tcPr>
            <w:tcW w:w="564" w:type="pct"/>
            <w:tcBorders>
              <w:top w:val="nil"/>
              <w:left w:val="nil"/>
              <w:bottom w:val="nil"/>
              <w:right w:val="nil"/>
            </w:tcBorders>
            <w:shd w:val="clear" w:color="auto" w:fill="auto"/>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9,994</w:t>
            </w:r>
          </w:p>
        </w:tc>
      </w:tr>
      <w:tr w:rsidR="00086D52" w:rsidRPr="00086D52" w:rsidTr="00086D52">
        <w:trPr>
          <w:trHeight w:val="540"/>
        </w:trPr>
        <w:tc>
          <w:tcPr>
            <w:tcW w:w="2182" w:type="pct"/>
            <w:tcBorders>
              <w:top w:val="nil"/>
              <w:left w:val="nil"/>
              <w:bottom w:val="nil"/>
              <w:right w:val="nil"/>
            </w:tcBorders>
            <w:shd w:val="clear" w:color="000000" w:fill="FFFFFF"/>
            <w:hideMark/>
          </w:tcPr>
          <w:p w:rsidR="00086D52" w:rsidRPr="00086D52" w:rsidRDefault="00086D52" w:rsidP="00086D52">
            <w:pPr>
              <w:rPr>
                <w:rFonts w:eastAsia="Times New Roman" w:cs="Arial"/>
                <w:b/>
                <w:bCs/>
                <w:sz w:val="20"/>
                <w:szCs w:val="20"/>
                <w:lang w:eastAsia="en-AU"/>
              </w:rPr>
            </w:pPr>
            <w:r w:rsidRPr="00086D52">
              <w:rPr>
                <w:rFonts w:eastAsia="Times New Roman" w:cs="Arial"/>
                <w:b/>
                <w:bCs/>
                <w:sz w:val="20"/>
                <w:szCs w:val="20"/>
                <w:lang w:eastAsia="en-AU"/>
              </w:rPr>
              <w:t xml:space="preserve">Cash and cash equivalents at the end of the financial year </w:t>
            </w:r>
          </w:p>
        </w:tc>
        <w:tc>
          <w:tcPr>
            <w:tcW w:w="564" w:type="pct"/>
            <w:tcBorders>
              <w:top w:val="single" w:sz="4" w:space="0" w:color="auto"/>
              <w:left w:val="nil"/>
              <w:bottom w:val="double" w:sz="6"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16,657</w:t>
            </w:r>
          </w:p>
        </w:tc>
        <w:tc>
          <w:tcPr>
            <w:tcW w:w="564" w:type="pct"/>
            <w:tcBorders>
              <w:top w:val="single" w:sz="4" w:space="0" w:color="auto"/>
              <w:left w:val="nil"/>
              <w:bottom w:val="double" w:sz="6" w:space="0" w:color="auto"/>
              <w:right w:val="nil"/>
            </w:tcBorders>
            <w:shd w:val="clear" w:color="000000" w:fill="D9E1F2"/>
            <w:vAlign w:val="center"/>
            <w:hideMark/>
          </w:tcPr>
          <w:p w:rsidR="00086D52" w:rsidRPr="00086D52" w:rsidRDefault="00086D52" w:rsidP="00086D52">
            <w:pPr>
              <w:jc w:val="right"/>
              <w:rPr>
                <w:rFonts w:eastAsia="Times New Roman" w:cs="Arial"/>
                <w:b/>
                <w:bCs/>
                <w:sz w:val="20"/>
                <w:szCs w:val="20"/>
                <w:lang w:eastAsia="en-AU"/>
              </w:rPr>
            </w:pPr>
            <w:r w:rsidRPr="00086D52">
              <w:rPr>
                <w:rFonts w:eastAsia="Times New Roman" w:cs="Arial"/>
                <w:b/>
                <w:bCs/>
                <w:sz w:val="20"/>
                <w:szCs w:val="20"/>
                <w:lang w:eastAsia="en-AU"/>
              </w:rPr>
              <w:t>9,565</w:t>
            </w:r>
          </w:p>
        </w:tc>
        <w:tc>
          <w:tcPr>
            <w:tcW w:w="564" w:type="pct"/>
            <w:tcBorders>
              <w:top w:val="single" w:sz="4" w:space="0" w:color="auto"/>
              <w:left w:val="nil"/>
              <w:bottom w:val="double" w:sz="6"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11,550</w:t>
            </w:r>
          </w:p>
        </w:tc>
        <w:tc>
          <w:tcPr>
            <w:tcW w:w="564" w:type="pct"/>
            <w:tcBorders>
              <w:top w:val="single" w:sz="4" w:space="0" w:color="auto"/>
              <w:left w:val="nil"/>
              <w:bottom w:val="double" w:sz="6"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9,994</w:t>
            </w:r>
          </w:p>
        </w:tc>
        <w:tc>
          <w:tcPr>
            <w:tcW w:w="564" w:type="pct"/>
            <w:tcBorders>
              <w:top w:val="single" w:sz="4" w:space="0" w:color="auto"/>
              <w:left w:val="nil"/>
              <w:bottom w:val="double" w:sz="6" w:space="0" w:color="auto"/>
              <w:right w:val="nil"/>
            </w:tcBorders>
            <w:shd w:val="clear" w:color="000000" w:fill="FFFFFF"/>
            <w:vAlign w:val="center"/>
            <w:hideMark/>
          </w:tcPr>
          <w:p w:rsidR="00086D52" w:rsidRPr="00086D52" w:rsidRDefault="00086D52" w:rsidP="00086D52">
            <w:pPr>
              <w:jc w:val="right"/>
              <w:rPr>
                <w:rFonts w:eastAsia="Times New Roman" w:cs="Arial"/>
                <w:sz w:val="20"/>
                <w:szCs w:val="20"/>
                <w:lang w:eastAsia="en-AU"/>
              </w:rPr>
            </w:pPr>
            <w:r w:rsidRPr="00086D52">
              <w:rPr>
                <w:rFonts w:eastAsia="Times New Roman" w:cs="Arial"/>
                <w:sz w:val="20"/>
                <w:szCs w:val="20"/>
                <w:lang w:eastAsia="en-AU"/>
              </w:rPr>
              <w:t>8,747</w:t>
            </w:r>
          </w:p>
        </w:tc>
      </w:tr>
    </w:tbl>
    <w:p w:rsidR="00F67133" w:rsidRDefault="00F67133"/>
    <w:p w:rsidR="00F67133" w:rsidRDefault="00F67133"/>
    <w:p w:rsidR="00E04AAA" w:rsidRDefault="00E04AAA"/>
    <w:p w:rsidR="00E04AAA" w:rsidRDefault="00E04AAA">
      <w:pPr>
        <w:rPr>
          <w:rFonts w:cs="Arial"/>
        </w:rPr>
        <w:sectPr w:rsidR="00E04AAA" w:rsidSect="00AB1F09">
          <w:pgSz w:w="11906" w:h="16838"/>
          <w:pgMar w:top="426" w:right="720" w:bottom="993" w:left="720" w:header="708" w:footer="445" w:gutter="0"/>
          <w:cols w:space="708"/>
          <w:titlePg/>
          <w:docGrid w:linePitch="360"/>
        </w:sectPr>
      </w:pPr>
    </w:p>
    <w:p w:rsidR="00E04AAA" w:rsidRDefault="00E04AAA">
      <w:pPr>
        <w:rPr>
          <w:noProof/>
          <w:lang w:eastAsia="en-AU"/>
        </w:rPr>
      </w:pPr>
    </w:p>
    <w:p w:rsidR="00DF5E4D" w:rsidRPr="007E3A0B" w:rsidRDefault="00DF5E4D" w:rsidP="00DF5E4D">
      <w:pPr>
        <w:rPr>
          <w:rFonts w:eastAsia="Times New Roman" w:cs="Arial"/>
          <w:b/>
          <w:color w:val="4A66AC" w:themeColor="accent1"/>
          <w:sz w:val="24"/>
          <w:szCs w:val="24"/>
        </w:rPr>
      </w:pPr>
      <w:r w:rsidRPr="007E3A0B">
        <w:rPr>
          <w:rFonts w:eastAsia="Times New Roman" w:cs="Arial"/>
          <w:b/>
          <w:color w:val="4A66AC" w:themeColor="accent1"/>
          <w:sz w:val="24"/>
          <w:szCs w:val="24"/>
        </w:rPr>
        <w:t xml:space="preserve">Statement of </w:t>
      </w:r>
      <w:r w:rsidR="00F15B0E" w:rsidRPr="007E3A0B">
        <w:rPr>
          <w:rFonts w:eastAsia="Times New Roman" w:cs="Arial"/>
          <w:b/>
          <w:color w:val="4A66AC" w:themeColor="accent1"/>
          <w:sz w:val="24"/>
          <w:szCs w:val="24"/>
        </w:rPr>
        <w:t>Capital Works</w:t>
      </w:r>
    </w:p>
    <w:p w:rsidR="00DF5E4D" w:rsidRPr="007E3A0B" w:rsidRDefault="00DF5E4D" w:rsidP="00DF5E4D">
      <w:pPr>
        <w:rPr>
          <w:rFonts w:eastAsia="Times New Roman" w:cs="Arial"/>
          <w:color w:val="4A66AC" w:themeColor="accent1"/>
        </w:rPr>
      </w:pPr>
      <w:r w:rsidRPr="007E3A0B">
        <w:rPr>
          <w:rFonts w:eastAsia="Times New Roman" w:cs="Arial"/>
          <w:color w:val="4A66AC" w:themeColor="accent1"/>
        </w:rPr>
        <w:t>For the four years ending 30 June 202</w:t>
      </w:r>
      <w:r w:rsidR="00B51204" w:rsidRPr="007E3A0B">
        <w:rPr>
          <w:rFonts w:eastAsia="Times New Roman" w:cs="Arial"/>
          <w:color w:val="4A66AC" w:themeColor="accent1"/>
        </w:rPr>
        <w:t>4</w:t>
      </w:r>
    </w:p>
    <w:p w:rsidR="00B51204" w:rsidRDefault="00B51204" w:rsidP="00DF5E4D">
      <w:pPr>
        <w:rPr>
          <w:rFonts w:eastAsia="Times New Roman" w:cs="Arial"/>
          <w:color w:val="4A66AC" w:themeColor="accent1"/>
        </w:rPr>
      </w:pPr>
    </w:p>
    <w:tbl>
      <w:tblPr>
        <w:tblW w:w="9540" w:type="dxa"/>
        <w:tblLook w:val="04A0" w:firstRow="1" w:lastRow="0" w:firstColumn="1" w:lastColumn="0" w:noHBand="0" w:noVBand="1"/>
      </w:tblPr>
      <w:tblGrid>
        <w:gridCol w:w="3680"/>
        <w:gridCol w:w="960"/>
        <w:gridCol w:w="1060"/>
        <w:gridCol w:w="960"/>
        <w:gridCol w:w="960"/>
        <w:gridCol w:w="960"/>
        <w:gridCol w:w="960"/>
      </w:tblGrid>
      <w:tr w:rsidR="00C24D6F" w:rsidRPr="00C24D6F" w:rsidTr="00C24D6F">
        <w:trPr>
          <w:trHeight w:val="300"/>
        </w:trPr>
        <w:tc>
          <w:tcPr>
            <w:tcW w:w="368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1060" w:type="dxa"/>
            <w:vMerge w:val="restart"/>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Forecast Actual</w:t>
            </w:r>
          </w:p>
        </w:tc>
        <w:tc>
          <w:tcPr>
            <w:tcW w:w="960" w:type="dxa"/>
            <w:vMerge w:val="restart"/>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Budget</w:t>
            </w:r>
          </w:p>
        </w:tc>
        <w:tc>
          <w:tcPr>
            <w:tcW w:w="2880" w:type="dxa"/>
            <w:gridSpan w:val="3"/>
            <w:vMerge w:val="restart"/>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Strategic Resource Plan Projections</w:t>
            </w:r>
          </w:p>
        </w:tc>
      </w:tr>
      <w:tr w:rsidR="00C24D6F" w:rsidRPr="00C24D6F" w:rsidTr="00C24D6F">
        <w:trPr>
          <w:trHeight w:val="300"/>
        </w:trPr>
        <w:tc>
          <w:tcPr>
            <w:tcW w:w="368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1060" w:type="dxa"/>
            <w:vMerge/>
            <w:tcBorders>
              <w:top w:val="nil"/>
              <w:left w:val="nil"/>
              <w:bottom w:val="nil"/>
              <w:right w:val="nil"/>
            </w:tcBorders>
            <w:vAlign w:val="center"/>
            <w:hideMark/>
          </w:tcPr>
          <w:p w:rsidR="00C24D6F" w:rsidRPr="00C24D6F" w:rsidRDefault="00C24D6F" w:rsidP="00C24D6F">
            <w:pPr>
              <w:rPr>
                <w:rFonts w:eastAsia="Times New Roman" w:cs="Arial"/>
                <w:b/>
                <w:bCs/>
                <w:color w:val="FFFFFF"/>
                <w:sz w:val="20"/>
                <w:szCs w:val="20"/>
                <w:lang w:eastAsia="en-AU"/>
              </w:rPr>
            </w:pPr>
          </w:p>
        </w:tc>
        <w:tc>
          <w:tcPr>
            <w:tcW w:w="960" w:type="dxa"/>
            <w:vMerge/>
            <w:tcBorders>
              <w:top w:val="nil"/>
              <w:left w:val="nil"/>
              <w:bottom w:val="nil"/>
              <w:right w:val="nil"/>
            </w:tcBorders>
            <w:vAlign w:val="center"/>
            <w:hideMark/>
          </w:tcPr>
          <w:p w:rsidR="00C24D6F" w:rsidRPr="00C24D6F" w:rsidRDefault="00C24D6F" w:rsidP="00C24D6F">
            <w:pPr>
              <w:rPr>
                <w:rFonts w:eastAsia="Times New Roman" w:cs="Arial"/>
                <w:b/>
                <w:bCs/>
                <w:color w:val="FFFFFF"/>
                <w:sz w:val="20"/>
                <w:szCs w:val="20"/>
                <w:lang w:eastAsia="en-AU"/>
              </w:rPr>
            </w:pPr>
          </w:p>
        </w:tc>
        <w:tc>
          <w:tcPr>
            <w:tcW w:w="2880" w:type="dxa"/>
            <w:gridSpan w:val="3"/>
            <w:vMerge/>
            <w:tcBorders>
              <w:top w:val="nil"/>
              <w:left w:val="nil"/>
              <w:bottom w:val="nil"/>
              <w:right w:val="nil"/>
            </w:tcBorders>
            <w:vAlign w:val="center"/>
            <w:hideMark/>
          </w:tcPr>
          <w:p w:rsidR="00C24D6F" w:rsidRPr="00C24D6F" w:rsidRDefault="00C24D6F" w:rsidP="00C24D6F">
            <w:pPr>
              <w:rPr>
                <w:rFonts w:eastAsia="Times New Roman" w:cs="Arial"/>
                <w:b/>
                <w:bCs/>
                <w:color w:val="FFFFFF"/>
                <w:sz w:val="20"/>
                <w:szCs w:val="20"/>
                <w:lang w:eastAsia="en-AU"/>
              </w:rPr>
            </w:pPr>
          </w:p>
        </w:tc>
      </w:tr>
      <w:tr w:rsidR="00C24D6F" w:rsidRPr="00C24D6F" w:rsidTr="00C24D6F">
        <w:trPr>
          <w:trHeight w:val="300"/>
        </w:trPr>
        <w:tc>
          <w:tcPr>
            <w:tcW w:w="368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10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2019/20</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2020/21</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2021/22</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2022/23</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2023/24</w:t>
            </w:r>
          </w:p>
        </w:tc>
      </w:tr>
      <w:tr w:rsidR="00C24D6F" w:rsidRPr="00C24D6F" w:rsidTr="00C24D6F">
        <w:trPr>
          <w:trHeight w:val="300"/>
        </w:trPr>
        <w:tc>
          <w:tcPr>
            <w:tcW w:w="368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 </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NOTES</w:t>
            </w:r>
          </w:p>
        </w:tc>
        <w:tc>
          <w:tcPr>
            <w:tcW w:w="10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$’000</w:t>
            </w:r>
          </w:p>
        </w:tc>
        <w:tc>
          <w:tcPr>
            <w:tcW w:w="960" w:type="dxa"/>
            <w:tcBorders>
              <w:top w:val="nil"/>
              <w:left w:val="nil"/>
              <w:bottom w:val="nil"/>
              <w:right w:val="nil"/>
            </w:tcBorders>
            <w:shd w:val="clear" w:color="000000" w:fill="5B9BD5"/>
            <w:vAlign w:val="center"/>
            <w:hideMark/>
          </w:tcPr>
          <w:p w:rsidR="00C24D6F" w:rsidRPr="00C24D6F" w:rsidRDefault="00C24D6F" w:rsidP="00C24D6F">
            <w:pPr>
              <w:jc w:val="center"/>
              <w:rPr>
                <w:rFonts w:eastAsia="Times New Roman" w:cs="Arial"/>
                <w:b/>
                <w:bCs/>
                <w:color w:val="FFFFFF"/>
                <w:sz w:val="20"/>
                <w:szCs w:val="20"/>
                <w:lang w:eastAsia="en-AU"/>
              </w:rPr>
            </w:pPr>
            <w:r w:rsidRPr="00C24D6F">
              <w:rPr>
                <w:rFonts w:eastAsia="Times New Roman" w:cs="Arial"/>
                <w:b/>
                <w:bCs/>
                <w:color w:val="FFFFFF"/>
                <w:sz w:val="20"/>
                <w:szCs w:val="20"/>
                <w:lang w:eastAsia="en-AU"/>
              </w:rPr>
              <w:t>$’000</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Property</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Land</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Land improvements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land</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single" w:sz="4" w:space="0" w:color="auto"/>
              <w:left w:val="nil"/>
              <w:bottom w:val="single" w:sz="4" w:space="0" w:color="auto"/>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Buildings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17,501</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69,284</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45,850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11,606</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12,801</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buildings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single" w:sz="4" w:space="0" w:color="auto"/>
              <w:left w:val="nil"/>
              <w:bottom w:val="single" w:sz="4" w:space="0" w:color="auto"/>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17,501</w:t>
            </w:r>
          </w:p>
        </w:tc>
        <w:tc>
          <w:tcPr>
            <w:tcW w:w="960" w:type="dxa"/>
            <w:tcBorders>
              <w:top w:val="single" w:sz="4" w:space="0" w:color="auto"/>
              <w:left w:val="nil"/>
              <w:bottom w:val="single" w:sz="4" w:space="0" w:color="auto"/>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69,284</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45,850</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11,606</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12,801</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property</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single" w:sz="4" w:space="0" w:color="auto"/>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17,501</w:t>
            </w:r>
          </w:p>
        </w:tc>
        <w:tc>
          <w:tcPr>
            <w:tcW w:w="960" w:type="dxa"/>
            <w:tcBorders>
              <w:top w:val="nil"/>
              <w:left w:val="nil"/>
              <w:bottom w:val="single" w:sz="4" w:space="0" w:color="auto"/>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69,284</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45,850</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11,606</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12,801</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rPr>
                <w:rFonts w:eastAsia="Times New Roman" w:cs="Arial"/>
                <w:b/>
                <w:bCs/>
                <w:sz w:val="20"/>
                <w:szCs w:val="20"/>
                <w:lang w:eastAsia="en-AU"/>
              </w:rPr>
            </w:pP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Plant and equipment</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rPr>
                <w:rFonts w:eastAsia="Times New Roman" w:cs="Arial"/>
                <w:b/>
                <w:bCs/>
                <w:sz w:val="20"/>
                <w:szCs w:val="20"/>
                <w:lang w:eastAsia="en-AU"/>
              </w:rPr>
            </w:pP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4640" w:type="dxa"/>
            <w:gridSpan w:val="2"/>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Plant, machinery and equipment</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3,248</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1,634</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1,962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1,275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2,912</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Fixtures, fittings and furniture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92</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383</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680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930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835</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Computers and telecommunications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1,853</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678</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698</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963</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850</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plant and equipment</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single" w:sz="4" w:space="0" w:color="auto"/>
              <w:left w:val="nil"/>
              <w:bottom w:val="single" w:sz="4" w:space="0" w:color="auto"/>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5,193</w:t>
            </w:r>
          </w:p>
        </w:tc>
        <w:tc>
          <w:tcPr>
            <w:tcW w:w="960" w:type="dxa"/>
            <w:tcBorders>
              <w:top w:val="single" w:sz="4" w:space="0" w:color="auto"/>
              <w:left w:val="nil"/>
              <w:bottom w:val="single" w:sz="4" w:space="0" w:color="auto"/>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2,695</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3,340</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3,168</w:t>
            </w:r>
          </w:p>
        </w:tc>
        <w:tc>
          <w:tcPr>
            <w:tcW w:w="960" w:type="dxa"/>
            <w:tcBorders>
              <w:top w:val="single" w:sz="4" w:space="0" w:color="auto"/>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4,597</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rPr>
                <w:rFonts w:eastAsia="Times New Roman" w:cs="Arial"/>
                <w:b/>
                <w:bCs/>
                <w:sz w:val="20"/>
                <w:szCs w:val="20"/>
                <w:lang w:eastAsia="en-AU"/>
              </w:rPr>
            </w:pP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Infrastructure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rPr>
                <w:rFonts w:eastAsia="Times New Roman" w:cs="Arial"/>
                <w:b/>
                <w:bCs/>
                <w:sz w:val="20"/>
                <w:szCs w:val="20"/>
                <w:lang w:eastAsia="en-AU"/>
              </w:rPr>
            </w:pP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Roads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4,372</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2,890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3,507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3,507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3,677</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Footpaths and cycleways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3,103</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3,051</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3,454</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3,497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3,667</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Drainage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3,010</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2,576</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4,012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4,395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5,025</w:t>
            </w:r>
          </w:p>
        </w:tc>
      </w:tr>
      <w:tr w:rsidR="00C24D6F" w:rsidRPr="00C24D6F" w:rsidTr="00C24D6F">
        <w:trPr>
          <w:trHeight w:val="51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Recreational, leisure and community facilities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3,879</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2,702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1,251</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2,301</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2,401</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Waste management</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103</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2,350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4,750</w:t>
            </w:r>
          </w:p>
        </w:tc>
      </w:tr>
      <w:tr w:rsidR="00C24D6F" w:rsidRPr="00C24D6F" w:rsidTr="00C24D6F">
        <w:trPr>
          <w:trHeight w:val="300"/>
        </w:trPr>
        <w:tc>
          <w:tcPr>
            <w:tcW w:w="4640" w:type="dxa"/>
            <w:gridSpan w:val="2"/>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Parks, open space and streetscapes</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1,970</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1,415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2,185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2,185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1,755</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Off street car parks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7,339</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250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500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500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520</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Other infrastructure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single" w:sz="4" w:space="0" w:color="auto"/>
              <w:right w:val="nil"/>
            </w:tcBorders>
            <w:shd w:val="clear" w:color="auto" w:fill="auto"/>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1,335</w:t>
            </w:r>
          </w:p>
        </w:tc>
        <w:tc>
          <w:tcPr>
            <w:tcW w:w="960" w:type="dxa"/>
            <w:tcBorders>
              <w:top w:val="nil"/>
              <w:left w:val="nil"/>
              <w:bottom w:val="single" w:sz="4" w:space="0" w:color="auto"/>
              <w:right w:val="nil"/>
            </w:tcBorders>
            <w:shd w:val="clear" w:color="000000" w:fill="DDEBF7"/>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603</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1,390</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560</w:t>
            </w:r>
          </w:p>
        </w:tc>
        <w:tc>
          <w:tcPr>
            <w:tcW w:w="960" w:type="dxa"/>
            <w:tcBorders>
              <w:top w:val="nil"/>
              <w:left w:val="nil"/>
              <w:bottom w:val="single" w:sz="4"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580</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infrastructure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25,112</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13,487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16,349</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19,295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22,375</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15"/>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capital works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6.5.1</w:t>
            </w:r>
          </w:p>
        </w:tc>
        <w:tc>
          <w:tcPr>
            <w:tcW w:w="10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47,806</w:t>
            </w:r>
          </w:p>
        </w:tc>
        <w:tc>
          <w:tcPr>
            <w:tcW w:w="960" w:type="dxa"/>
            <w:tcBorders>
              <w:top w:val="single" w:sz="4" w:space="0" w:color="auto"/>
              <w:left w:val="nil"/>
              <w:bottom w:val="double" w:sz="6" w:space="0" w:color="auto"/>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85,466</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65,539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34,069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39,773</w:t>
            </w:r>
          </w:p>
        </w:tc>
      </w:tr>
      <w:tr w:rsidR="00C24D6F" w:rsidRPr="00C24D6F" w:rsidTr="00C24D6F">
        <w:trPr>
          <w:trHeight w:val="315"/>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Represented by:</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New asset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13,154</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54,817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23,429</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4,782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7,332</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Asset renewal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19,513</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25,757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34,904</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24,175</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26,820</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Asset upgrade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15,139</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4,892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7,206</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5,112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5,621</w:t>
            </w:r>
          </w:p>
        </w:tc>
      </w:tr>
      <w:tr w:rsidR="00C24D6F" w:rsidRPr="00C24D6F" w:rsidTr="00C24D6F">
        <w:trPr>
          <w:trHeight w:val="315"/>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capital works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6.5.1</w:t>
            </w:r>
          </w:p>
        </w:tc>
        <w:tc>
          <w:tcPr>
            <w:tcW w:w="10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47,806</w:t>
            </w:r>
          </w:p>
        </w:tc>
        <w:tc>
          <w:tcPr>
            <w:tcW w:w="960" w:type="dxa"/>
            <w:tcBorders>
              <w:top w:val="single" w:sz="4" w:space="0" w:color="auto"/>
              <w:left w:val="nil"/>
              <w:bottom w:val="double" w:sz="6" w:space="0" w:color="auto"/>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85,465</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65,539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34,069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39,773</w:t>
            </w:r>
          </w:p>
        </w:tc>
      </w:tr>
      <w:tr w:rsidR="00C24D6F" w:rsidRPr="00C24D6F" w:rsidTr="00C24D6F">
        <w:trPr>
          <w:trHeight w:val="315"/>
        </w:trPr>
        <w:tc>
          <w:tcPr>
            <w:tcW w:w="3680" w:type="dxa"/>
            <w:tcBorders>
              <w:top w:val="nil"/>
              <w:left w:val="nil"/>
              <w:bottom w:val="nil"/>
              <w:right w:val="nil"/>
            </w:tcBorders>
            <w:shd w:val="clear" w:color="000000" w:fill="FFFFFF"/>
            <w:noWrap/>
            <w:hideMark/>
          </w:tcPr>
          <w:p w:rsidR="00C24D6F" w:rsidRPr="00C24D6F" w:rsidRDefault="00C24D6F" w:rsidP="00C24D6F">
            <w:pPr>
              <w:rPr>
                <w:rFonts w:ascii="Calibri" w:eastAsia="Times New Roman" w:hAnsi="Calibri" w:cs="Calibri"/>
                <w:color w:val="000000"/>
                <w:lang w:eastAsia="en-AU"/>
              </w:rPr>
            </w:pPr>
            <w:r w:rsidRPr="00C24D6F">
              <w:rPr>
                <w:rFonts w:ascii="Calibri" w:eastAsia="Times New Roman" w:hAnsi="Calibri" w:cs="Calibri"/>
                <w:color w:val="000000"/>
                <w:lang w:eastAsia="en-AU"/>
              </w:rPr>
              <w:t> </w:t>
            </w:r>
          </w:p>
        </w:tc>
        <w:tc>
          <w:tcPr>
            <w:tcW w:w="960" w:type="dxa"/>
            <w:tcBorders>
              <w:top w:val="nil"/>
              <w:left w:val="nil"/>
              <w:bottom w:val="nil"/>
              <w:right w:val="nil"/>
            </w:tcBorders>
            <w:shd w:val="clear" w:color="000000" w:fill="FFFFFF"/>
            <w:noWrap/>
            <w:hideMark/>
          </w:tcPr>
          <w:p w:rsidR="00C24D6F" w:rsidRPr="00C24D6F" w:rsidRDefault="00C24D6F" w:rsidP="00C24D6F">
            <w:pPr>
              <w:rPr>
                <w:rFonts w:ascii="Calibri" w:eastAsia="Times New Roman" w:hAnsi="Calibri" w:cs="Calibri"/>
                <w:color w:val="000000"/>
                <w:lang w:eastAsia="en-AU"/>
              </w:rPr>
            </w:pPr>
            <w:r w:rsidRPr="00C24D6F">
              <w:rPr>
                <w:rFonts w:ascii="Calibri" w:eastAsia="Times New Roman" w:hAnsi="Calibri" w:cs="Calibri"/>
                <w:color w:val="00000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4640" w:type="dxa"/>
            <w:gridSpan w:val="2"/>
            <w:tcBorders>
              <w:top w:val="nil"/>
              <w:left w:val="nil"/>
              <w:bottom w:val="nil"/>
              <w:right w:val="nil"/>
            </w:tcBorders>
            <w:shd w:val="clear" w:color="000000" w:fill="FFFFFF"/>
            <w:vAlign w:val="bottom"/>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Funding sources represented by:</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 </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Grants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7,314</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26,557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23,407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2,657</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407</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Contributions</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2,858</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20,850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1,230</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808</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1,575</w:t>
            </w:r>
          </w:p>
        </w:tc>
      </w:tr>
      <w:tr w:rsidR="00C24D6F" w:rsidRPr="00C24D6F" w:rsidTr="00C24D6F">
        <w:trPr>
          <w:trHeight w:val="300"/>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Council cash</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 </w:t>
            </w:r>
          </w:p>
        </w:tc>
        <w:tc>
          <w:tcPr>
            <w:tcW w:w="10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34,634</w:t>
            </w:r>
          </w:p>
        </w:tc>
        <w:tc>
          <w:tcPr>
            <w:tcW w:w="960" w:type="dxa"/>
            <w:tcBorders>
              <w:top w:val="nil"/>
              <w:left w:val="nil"/>
              <w:bottom w:val="nil"/>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38,059</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40,902</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30,604</w:t>
            </w:r>
          </w:p>
        </w:tc>
        <w:tc>
          <w:tcPr>
            <w:tcW w:w="960" w:type="dxa"/>
            <w:tcBorders>
              <w:top w:val="nil"/>
              <w:left w:val="nil"/>
              <w:bottom w:val="nil"/>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37,791</w:t>
            </w:r>
          </w:p>
        </w:tc>
      </w:tr>
      <w:tr w:rsidR="00C24D6F" w:rsidRPr="00C24D6F" w:rsidTr="00C24D6F">
        <w:trPr>
          <w:trHeight w:val="315"/>
        </w:trPr>
        <w:tc>
          <w:tcPr>
            <w:tcW w:w="368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b/>
                <w:bCs/>
                <w:sz w:val="20"/>
                <w:szCs w:val="20"/>
                <w:lang w:eastAsia="en-AU"/>
              </w:rPr>
            </w:pPr>
            <w:r w:rsidRPr="00C24D6F">
              <w:rPr>
                <w:rFonts w:eastAsia="Times New Roman" w:cs="Arial"/>
                <w:b/>
                <w:bCs/>
                <w:sz w:val="20"/>
                <w:szCs w:val="20"/>
                <w:lang w:eastAsia="en-AU"/>
              </w:rPr>
              <w:t>Total capital works expenditure</w:t>
            </w:r>
          </w:p>
        </w:tc>
        <w:tc>
          <w:tcPr>
            <w:tcW w:w="960" w:type="dxa"/>
            <w:tcBorders>
              <w:top w:val="nil"/>
              <w:left w:val="nil"/>
              <w:bottom w:val="nil"/>
              <w:right w:val="nil"/>
            </w:tcBorders>
            <w:shd w:val="clear" w:color="000000" w:fill="FFFFFF"/>
            <w:vAlign w:val="center"/>
            <w:hideMark/>
          </w:tcPr>
          <w:p w:rsidR="00C24D6F" w:rsidRPr="00C24D6F" w:rsidRDefault="00C24D6F" w:rsidP="00C24D6F">
            <w:pPr>
              <w:rPr>
                <w:rFonts w:eastAsia="Times New Roman" w:cs="Arial"/>
                <w:sz w:val="20"/>
                <w:szCs w:val="20"/>
                <w:lang w:eastAsia="en-AU"/>
              </w:rPr>
            </w:pPr>
            <w:r w:rsidRPr="00C24D6F">
              <w:rPr>
                <w:rFonts w:eastAsia="Times New Roman" w:cs="Arial"/>
                <w:sz w:val="20"/>
                <w:szCs w:val="20"/>
                <w:lang w:eastAsia="en-AU"/>
              </w:rPr>
              <w:t>6.5.1</w:t>
            </w:r>
          </w:p>
        </w:tc>
        <w:tc>
          <w:tcPr>
            <w:tcW w:w="10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44,806</w:t>
            </w:r>
          </w:p>
        </w:tc>
        <w:tc>
          <w:tcPr>
            <w:tcW w:w="960" w:type="dxa"/>
            <w:tcBorders>
              <w:top w:val="single" w:sz="4" w:space="0" w:color="auto"/>
              <w:left w:val="nil"/>
              <w:bottom w:val="double" w:sz="6" w:space="0" w:color="auto"/>
              <w:right w:val="nil"/>
            </w:tcBorders>
            <w:shd w:val="clear" w:color="000000" w:fill="DDEBF7"/>
            <w:vAlign w:val="center"/>
            <w:hideMark/>
          </w:tcPr>
          <w:p w:rsidR="00C24D6F" w:rsidRPr="00C24D6F" w:rsidRDefault="00C24D6F" w:rsidP="00C24D6F">
            <w:pPr>
              <w:jc w:val="right"/>
              <w:rPr>
                <w:rFonts w:eastAsia="Times New Roman" w:cs="Arial"/>
                <w:b/>
                <w:bCs/>
                <w:sz w:val="20"/>
                <w:szCs w:val="20"/>
                <w:lang w:eastAsia="en-AU"/>
              </w:rPr>
            </w:pPr>
            <w:r w:rsidRPr="00C24D6F">
              <w:rPr>
                <w:rFonts w:eastAsia="Times New Roman" w:cs="Arial"/>
                <w:b/>
                <w:bCs/>
                <w:sz w:val="20"/>
                <w:szCs w:val="20"/>
                <w:lang w:eastAsia="en-AU"/>
              </w:rPr>
              <w:t>85,466</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65,539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34,069</w:t>
            </w:r>
          </w:p>
        </w:tc>
        <w:tc>
          <w:tcPr>
            <w:tcW w:w="960" w:type="dxa"/>
            <w:tcBorders>
              <w:top w:val="single" w:sz="4" w:space="0" w:color="auto"/>
              <w:left w:val="nil"/>
              <w:bottom w:val="double" w:sz="6" w:space="0" w:color="auto"/>
              <w:right w:val="nil"/>
            </w:tcBorders>
            <w:shd w:val="clear" w:color="000000" w:fill="FFFFFF"/>
            <w:vAlign w:val="center"/>
            <w:hideMark/>
          </w:tcPr>
          <w:p w:rsidR="00C24D6F" w:rsidRPr="00C24D6F" w:rsidRDefault="00C24D6F" w:rsidP="00C24D6F">
            <w:pPr>
              <w:jc w:val="right"/>
              <w:rPr>
                <w:rFonts w:eastAsia="Times New Roman" w:cs="Arial"/>
                <w:sz w:val="20"/>
                <w:szCs w:val="20"/>
                <w:lang w:eastAsia="en-AU"/>
              </w:rPr>
            </w:pPr>
            <w:r w:rsidRPr="00C24D6F">
              <w:rPr>
                <w:rFonts w:eastAsia="Times New Roman" w:cs="Arial"/>
                <w:sz w:val="20"/>
                <w:szCs w:val="20"/>
                <w:lang w:eastAsia="en-AU"/>
              </w:rPr>
              <w:t>39,773</w:t>
            </w:r>
          </w:p>
        </w:tc>
      </w:tr>
    </w:tbl>
    <w:p w:rsidR="0033702D" w:rsidRDefault="0033702D">
      <w:pPr>
        <w:rPr>
          <w:rFonts w:eastAsia="Times New Roman" w:cs="Arial"/>
          <w:color w:val="4A66AC" w:themeColor="accent1"/>
          <w:szCs w:val="20"/>
        </w:rPr>
      </w:pPr>
    </w:p>
    <w:p w:rsidR="005759FF" w:rsidRDefault="005759FF">
      <w:pPr>
        <w:rPr>
          <w:rFonts w:eastAsia="Times New Roman" w:cs="Arial"/>
          <w:color w:val="4A66AC" w:themeColor="accent1"/>
          <w:szCs w:val="20"/>
        </w:rPr>
      </w:pPr>
    </w:p>
    <w:p w:rsidR="00DF5E4D" w:rsidRDefault="00DF5E4D" w:rsidP="00E04AAA">
      <w:pPr>
        <w:rPr>
          <w:rFonts w:eastAsia="Times New Roman" w:cs="Arial"/>
          <w:b/>
          <w:color w:val="4A66AC" w:themeColor="accent1"/>
          <w:sz w:val="24"/>
          <w:szCs w:val="24"/>
        </w:rPr>
      </w:pPr>
    </w:p>
    <w:p w:rsidR="00E04AAA" w:rsidRPr="007E3A0B" w:rsidRDefault="00E04AAA" w:rsidP="00E04AAA">
      <w:pPr>
        <w:rPr>
          <w:rFonts w:eastAsia="Times New Roman" w:cs="Arial"/>
          <w:b/>
          <w:color w:val="4A66AC" w:themeColor="accent1"/>
          <w:sz w:val="24"/>
          <w:szCs w:val="24"/>
        </w:rPr>
      </w:pPr>
      <w:r w:rsidRPr="007E3A0B">
        <w:rPr>
          <w:rFonts w:eastAsia="Times New Roman" w:cs="Arial"/>
          <w:b/>
          <w:color w:val="4A66AC" w:themeColor="accent1"/>
          <w:sz w:val="24"/>
          <w:szCs w:val="24"/>
        </w:rPr>
        <w:lastRenderedPageBreak/>
        <w:t>Statement of Human Resources</w:t>
      </w:r>
    </w:p>
    <w:p w:rsidR="00E04AAA" w:rsidRPr="0065738F" w:rsidRDefault="00E04AAA" w:rsidP="00E04AAA">
      <w:pPr>
        <w:rPr>
          <w:rFonts w:eastAsia="Times New Roman" w:cs="Arial"/>
          <w:color w:val="4A66AC" w:themeColor="accent1"/>
          <w:szCs w:val="20"/>
        </w:rPr>
      </w:pPr>
      <w:r w:rsidRPr="007E3A0B">
        <w:rPr>
          <w:rFonts w:eastAsia="Times New Roman" w:cs="Arial"/>
          <w:color w:val="4A66AC" w:themeColor="accent1"/>
        </w:rPr>
        <w:t>For the four years ending 30 June 202</w:t>
      </w:r>
      <w:r w:rsidR="004A6C5E" w:rsidRPr="007E3A0B">
        <w:rPr>
          <w:rFonts w:eastAsia="Times New Roman" w:cs="Arial"/>
          <w:color w:val="4A66AC" w:themeColor="accent1"/>
        </w:rPr>
        <w:t>4</w:t>
      </w:r>
    </w:p>
    <w:p w:rsidR="00E04AAA" w:rsidRPr="00E04AAA" w:rsidRDefault="00E04AAA" w:rsidP="00E04AAA">
      <w:pPr>
        <w:rPr>
          <w:rFonts w:eastAsia="Times New Roman" w:cs="Arial"/>
          <w:szCs w:val="20"/>
        </w:rPr>
      </w:pPr>
    </w:p>
    <w:tbl>
      <w:tblPr>
        <w:tblW w:w="5000" w:type="pct"/>
        <w:tblLook w:val="04A0" w:firstRow="1" w:lastRow="0" w:firstColumn="1" w:lastColumn="0" w:noHBand="0" w:noVBand="1"/>
      </w:tblPr>
      <w:tblGrid>
        <w:gridCol w:w="3195"/>
        <w:gridCol w:w="608"/>
        <w:gridCol w:w="1162"/>
        <w:gridCol w:w="1162"/>
        <w:gridCol w:w="1162"/>
        <w:gridCol w:w="1165"/>
        <w:gridCol w:w="1162"/>
      </w:tblGrid>
      <w:tr w:rsidR="0025081B" w:rsidRPr="00253484" w:rsidTr="002C7E5D">
        <w:trPr>
          <w:trHeight w:val="255"/>
        </w:trPr>
        <w:tc>
          <w:tcPr>
            <w:tcW w:w="1662" w:type="pct"/>
            <w:tcBorders>
              <w:top w:val="nil"/>
              <w:left w:val="nil"/>
              <w:bottom w:val="nil"/>
              <w:right w:val="nil"/>
            </w:tcBorders>
            <w:shd w:val="clear" w:color="auto" w:fill="629DD1" w:themeFill="accent2"/>
            <w:hideMark/>
          </w:tcPr>
          <w:p w:rsidR="00253484" w:rsidRPr="00253484" w:rsidRDefault="00253484" w:rsidP="00253484">
            <w:pPr>
              <w:jc w:val="right"/>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316" w:type="pct"/>
            <w:tcBorders>
              <w:top w:val="nil"/>
              <w:left w:val="nil"/>
              <w:bottom w:val="nil"/>
              <w:right w:val="nil"/>
            </w:tcBorders>
            <w:shd w:val="clear" w:color="auto" w:fill="629DD1" w:themeFill="accent2"/>
            <w:hideMark/>
          </w:tcPr>
          <w:p w:rsidR="00253484" w:rsidRPr="00253484" w:rsidRDefault="00253484" w:rsidP="00253484">
            <w:pPr>
              <w:jc w:val="right"/>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604" w:type="pct"/>
            <w:vMerge w:val="restar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Forecast</w:t>
            </w:r>
          </w:p>
        </w:tc>
        <w:tc>
          <w:tcPr>
            <w:tcW w:w="604" w:type="pct"/>
            <w:vMerge w:val="restar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Budget</w:t>
            </w:r>
          </w:p>
        </w:tc>
        <w:tc>
          <w:tcPr>
            <w:tcW w:w="1814" w:type="pct"/>
            <w:gridSpan w:val="3"/>
            <w:vMerge w:val="restart"/>
            <w:tcBorders>
              <w:top w:val="nil"/>
              <w:left w:val="nil"/>
              <w:bottom w:val="nil"/>
              <w:right w:val="nil"/>
            </w:tcBorders>
            <w:shd w:val="clear" w:color="auto" w:fill="629DD1" w:themeFill="accent2"/>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Strategic Resource Plan</w:t>
            </w:r>
          </w:p>
        </w:tc>
      </w:tr>
      <w:tr w:rsidR="0025081B" w:rsidRPr="00253484" w:rsidTr="002C7E5D">
        <w:trPr>
          <w:trHeight w:val="255"/>
        </w:trPr>
        <w:tc>
          <w:tcPr>
            <w:tcW w:w="1662" w:type="pct"/>
            <w:tcBorders>
              <w:top w:val="nil"/>
              <w:left w:val="nil"/>
              <w:bottom w:val="nil"/>
              <w:right w:val="nil"/>
            </w:tcBorders>
            <w:shd w:val="clear" w:color="auto" w:fill="629DD1" w:themeFill="accent2"/>
            <w:hideMark/>
          </w:tcPr>
          <w:p w:rsidR="00253484" w:rsidRPr="00253484" w:rsidRDefault="00253484" w:rsidP="00253484">
            <w:pPr>
              <w:jc w:val="right"/>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316" w:type="pct"/>
            <w:tcBorders>
              <w:top w:val="nil"/>
              <w:left w:val="nil"/>
              <w:bottom w:val="nil"/>
              <w:right w:val="nil"/>
            </w:tcBorders>
            <w:shd w:val="clear" w:color="auto" w:fill="629DD1" w:themeFill="accent2"/>
            <w:hideMark/>
          </w:tcPr>
          <w:p w:rsidR="00253484" w:rsidRPr="00253484" w:rsidRDefault="00253484" w:rsidP="00253484">
            <w:pPr>
              <w:jc w:val="right"/>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604" w:type="pct"/>
            <w:vMerge/>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p>
        </w:tc>
        <w:tc>
          <w:tcPr>
            <w:tcW w:w="604" w:type="pct"/>
            <w:vMerge/>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p>
        </w:tc>
        <w:tc>
          <w:tcPr>
            <w:tcW w:w="1814" w:type="pct"/>
            <w:gridSpan w:val="3"/>
            <w:vMerge/>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p>
        </w:tc>
      </w:tr>
      <w:tr w:rsidR="0025081B" w:rsidRPr="00253484" w:rsidTr="002C7E5D">
        <w:trPr>
          <w:trHeight w:val="255"/>
        </w:trPr>
        <w:tc>
          <w:tcPr>
            <w:tcW w:w="1662"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31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2019/2020</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2020/2021</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2021/2022</w:t>
            </w:r>
          </w:p>
        </w:tc>
        <w:tc>
          <w:tcPr>
            <w:tcW w:w="60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2022/2023</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2023/2024</w:t>
            </w:r>
          </w:p>
        </w:tc>
      </w:tr>
      <w:tr w:rsidR="0025081B" w:rsidRPr="00253484" w:rsidTr="002C7E5D">
        <w:trPr>
          <w:trHeight w:val="255"/>
        </w:trPr>
        <w:tc>
          <w:tcPr>
            <w:tcW w:w="1662"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31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60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604"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r>
      <w:tr w:rsidR="00253484" w:rsidRPr="00253484" w:rsidTr="002C7E5D">
        <w:trPr>
          <w:trHeight w:val="255"/>
        </w:trPr>
        <w:tc>
          <w:tcPr>
            <w:tcW w:w="1662"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Staff expenditure</w:t>
            </w:r>
          </w:p>
        </w:tc>
        <w:tc>
          <w:tcPr>
            <w:tcW w:w="316"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D9E1F2"/>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r>
      <w:tr w:rsidR="002C7E5D" w:rsidRPr="00253484" w:rsidTr="002C7E5D">
        <w:trPr>
          <w:trHeight w:val="255"/>
        </w:trPr>
        <w:tc>
          <w:tcPr>
            <w:tcW w:w="1662" w:type="pct"/>
            <w:tcBorders>
              <w:top w:val="nil"/>
              <w:left w:val="nil"/>
              <w:bottom w:val="nil"/>
              <w:right w:val="nil"/>
            </w:tcBorders>
            <w:shd w:val="clear" w:color="auto" w:fill="auto"/>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Employee costs - operating</w:t>
            </w:r>
          </w:p>
        </w:tc>
        <w:tc>
          <w:tcPr>
            <w:tcW w:w="316"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55,599</w:t>
            </w:r>
          </w:p>
        </w:tc>
        <w:tc>
          <w:tcPr>
            <w:tcW w:w="604" w:type="pct"/>
            <w:tcBorders>
              <w:top w:val="nil"/>
              <w:left w:val="nil"/>
              <w:bottom w:val="nil"/>
              <w:right w:val="nil"/>
            </w:tcBorders>
            <w:shd w:val="clear" w:color="000000" w:fill="D9E1F2"/>
            <w:vAlign w:val="center"/>
            <w:hideMark/>
          </w:tcPr>
          <w:p w:rsidR="002C7E5D" w:rsidRPr="00253484" w:rsidRDefault="002C7E5D" w:rsidP="002C7E5D">
            <w:pPr>
              <w:jc w:val="right"/>
              <w:rPr>
                <w:rFonts w:eastAsia="Times New Roman" w:cs="Arial"/>
                <w:b/>
                <w:bCs/>
                <w:sz w:val="20"/>
                <w:szCs w:val="20"/>
                <w:lang w:eastAsia="en-AU"/>
              </w:rPr>
            </w:pPr>
            <w:r>
              <w:rPr>
                <w:rFonts w:cs="Arial"/>
                <w:b/>
                <w:bCs/>
                <w:sz w:val="20"/>
                <w:szCs w:val="20"/>
              </w:rPr>
              <w:t>56,574</w:t>
            </w:r>
          </w:p>
        </w:tc>
        <w:tc>
          <w:tcPr>
            <w:tcW w:w="604" w:type="pct"/>
            <w:tcBorders>
              <w:top w:val="nil"/>
              <w:left w:val="nil"/>
              <w:bottom w:val="nil"/>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59,862</w:t>
            </w:r>
          </w:p>
        </w:tc>
        <w:tc>
          <w:tcPr>
            <w:tcW w:w="605" w:type="pct"/>
            <w:tcBorders>
              <w:top w:val="nil"/>
              <w:left w:val="nil"/>
              <w:bottom w:val="nil"/>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60,886</w:t>
            </w:r>
          </w:p>
        </w:tc>
        <w:tc>
          <w:tcPr>
            <w:tcW w:w="604" w:type="pct"/>
            <w:tcBorders>
              <w:top w:val="nil"/>
              <w:left w:val="nil"/>
              <w:bottom w:val="nil"/>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62,827</w:t>
            </w:r>
          </w:p>
        </w:tc>
      </w:tr>
      <w:tr w:rsidR="002C7E5D" w:rsidRPr="00253484" w:rsidTr="002C7E5D">
        <w:trPr>
          <w:trHeight w:val="270"/>
        </w:trPr>
        <w:tc>
          <w:tcPr>
            <w:tcW w:w="1662" w:type="pct"/>
            <w:tcBorders>
              <w:top w:val="nil"/>
              <w:left w:val="nil"/>
              <w:bottom w:val="nil"/>
              <w:right w:val="nil"/>
            </w:tcBorders>
            <w:shd w:val="clear" w:color="auto" w:fill="auto"/>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Employee costs - capital</w:t>
            </w:r>
          </w:p>
        </w:tc>
        <w:tc>
          <w:tcPr>
            <w:tcW w:w="316"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1,280</w:t>
            </w:r>
          </w:p>
        </w:tc>
        <w:tc>
          <w:tcPr>
            <w:tcW w:w="604" w:type="pct"/>
            <w:tcBorders>
              <w:top w:val="nil"/>
              <w:left w:val="nil"/>
              <w:bottom w:val="single" w:sz="8" w:space="0" w:color="auto"/>
              <w:right w:val="nil"/>
            </w:tcBorders>
            <w:shd w:val="clear" w:color="000000" w:fill="D9E1F2"/>
            <w:vAlign w:val="center"/>
            <w:hideMark/>
          </w:tcPr>
          <w:p w:rsidR="002C7E5D" w:rsidRPr="00253484" w:rsidRDefault="002C7E5D" w:rsidP="002C7E5D">
            <w:pPr>
              <w:jc w:val="right"/>
              <w:rPr>
                <w:rFonts w:eastAsia="Times New Roman" w:cs="Arial"/>
                <w:b/>
                <w:bCs/>
                <w:sz w:val="20"/>
                <w:szCs w:val="20"/>
                <w:lang w:eastAsia="en-AU"/>
              </w:rPr>
            </w:pPr>
            <w:r>
              <w:rPr>
                <w:rFonts w:cs="Arial"/>
                <w:b/>
                <w:bCs/>
                <w:sz w:val="20"/>
                <w:szCs w:val="20"/>
              </w:rPr>
              <w:t>1,235</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1,263</w:t>
            </w:r>
          </w:p>
        </w:tc>
        <w:tc>
          <w:tcPr>
            <w:tcW w:w="605"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1,291</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1,326</w:t>
            </w:r>
          </w:p>
        </w:tc>
      </w:tr>
      <w:tr w:rsidR="002C7E5D" w:rsidRPr="00253484" w:rsidTr="002C7E5D">
        <w:trPr>
          <w:trHeight w:val="270"/>
        </w:trPr>
        <w:tc>
          <w:tcPr>
            <w:tcW w:w="1662"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b/>
                <w:bCs/>
                <w:sz w:val="20"/>
                <w:szCs w:val="20"/>
                <w:lang w:eastAsia="en-AU"/>
              </w:rPr>
            </w:pPr>
            <w:r w:rsidRPr="00253484">
              <w:rPr>
                <w:rFonts w:eastAsia="Times New Roman" w:cs="Arial"/>
                <w:b/>
                <w:bCs/>
                <w:sz w:val="20"/>
                <w:szCs w:val="20"/>
                <w:lang w:eastAsia="en-AU"/>
              </w:rPr>
              <w:t xml:space="preserve">Total staff expenditure </w:t>
            </w:r>
          </w:p>
        </w:tc>
        <w:tc>
          <w:tcPr>
            <w:tcW w:w="316"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56,880</w:t>
            </w:r>
          </w:p>
        </w:tc>
        <w:tc>
          <w:tcPr>
            <w:tcW w:w="604" w:type="pct"/>
            <w:tcBorders>
              <w:top w:val="nil"/>
              <w:left w:val="nil"/>
              <w:bottom w:val="double" w:sz="6" w:space="0" w:color="auto"/>
              <w:right w:val="nil"/>
            </w:tcBorders>
            <w:shd w:val="clear" w:color="000000" w:fill="D9E1F2"/>
            <w:vAlign w:val="center"/>
            <w:hideMark/>
          </w:tcPr>
          <w:p w:rsidR="002C7E5D" w:rsidRPr="00253484" w:rsidRDefault="002C7E5D" w:rsidP="002C7E5D">
            <w:pPr>
              <w:jc w:val="right"/>
              <w:rPr>
                <w:rFonts w:eastAsia="Times New Roman" w:cs="Arial"/>
                <w:b/>
                <w:bCs/>
                <w:sz w:val="20"/>
                <w:szCs w:val="20"/>
                <w:lang w:eastAsia="en-AU"/>
              </w:rPr>
            </w:pPr>
            <w:r>
              <w:rPr>
                <w:rFonts w:cs="Arial"/>
                <w:b/>
                <w:bCs/>
                <w:sz w:val="20"/>
                <w:szCs w:val="20"/>
              </w:rPr>
              <w:t>57,809</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61,125</w:t>
            </w:r>
          </w:p>
        </w:tc>
        <w:tc>
          <w:tcPr>
            <w:tcW w:w="605"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62,177</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64,153</w:t>
            </w:r>
          </w:p>
        </w:tc>
      </w:tr>
      <w:tr w:rsidR="00253484" w:rsidRPr="00253484" w:rsidTr="002C7E5D">
        <w:trPr>
          <w:trHeight w:val="270"/>
        </w:trPr>
        <w:tc>
          <w:tcPr>
            <w:tcW w:w="1662"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316"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r>
      <w:tr w:rsidR="00253484" w:rsidRPr="00253484" w:rsidTr="002C7E5D">
        <w:trPr>
          <w:trHeight w:val="255"/>
        </w:trPr>
        <w:tc>
          <w:tcPr>
            <w:tcW w:w="1662"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316"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Pr>
                <w:rFonts w:eastAsia="Times New Roman" w:cs="Arial"/>
                <w:sz w:val="20"/>
                <w:szCs w:val="20"/>
                <w:lang w:eastAsia="en-AU"/>
              </w:rPr>
              <w:t>FTE</w:t>
            </w:r>
          </w:p>
        </w:tc>
        <w:tc>
          <w:tcPr>
            <w:tcW w:w="604"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Pr>
                <w:rFonts w:eastAsia="Times New Roman" w:cs="Arial"/>
                <w:b/>
                <w:bCs/>
                <w:sz w:val="20"/>
                <w:szCs w:val="20"/>
                <w:lang w:eastAsia="en-AU"/>
              </w:rPr>
              <w:t>FTE</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Pr>
                <w:rFonts w:eastAsia="Times New Roman" w:cs="Arial"/>
                <w:sz w:val="20"/>
                <w:szCs w:val="20"/>
                <w:lang w:eastAsia="en-AU"/>
              </w:rPr>
              <w:t>FTE</w:t>
            </w:r>
          </w:p>
        </w:tc>
        <w:tc>
          <w:tcPr>
            <w:tcW w:w="60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Pr>
                <w:rFonts w:eastAsia="Times New Roman" w:cs="Arial"/>
                <w:sz w:val="20"/>
                <w:szCs w:val="20"/>
                <w:lang w:eastAsia="en-AU"/>
              </w:rPr>
              <w:t>FTE</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Pr>
                <w:rFonts w:eastAsia="Times New Roman" w:cs="Arial"/>
                <w:sz w:val="20"/>
                <w:szCs w:val="20"/>
                <w:lang w:eastAsia="en-AU"/>
              </w:rPr>
              <w:t>FTE</w:t>
            </w:r>
          </w:p>
        </w:tc>
      </w:tr>
      <w:tr w:rsidR="00253484" w:rsidRPr="00253484" w:rsidTr="002C7E5D">
        <w:trPr>
          <w:trHeight w:val="255"/>
        </w:trPr>
        <w:tc>
          <w:tcPr>
            <w:tcW w:w="1662"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Staff numbers</w:t>
            </w:r>
          </w:p>
        </w:tc>
        <w:tc>
          <w:tcPr>
            <w:tcW w:w="316"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r>
      <w:tr w:rsidR="002C7E5D" w:rsidRPr="00253484" w:rsidTr="002C7E5D">
        <w:trPr>
          <w:trHeight w:val="270"/>
        </w:trPr>
        <w:tc>
          <w:tcPr>
            <w:tcW w:w="1662"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Employees (</w:t>
            </w:r>
            <w:r>
              <w:rPr>
                <w:rFonts w:eastAsia="Times New Roman" w:cs="Arial"/>
                <w:sz w:val="20"/>
                <w:szCs w:val="20"/>
                <w:lang w:eastAsia="en-AU"/>
              </w:rPr>
              <w:t>FTE</w:t>
            </w:r>
            <w:r w:rsidRPr="00253484">
              <w:rPr>
                <w:rFonts w:eastAsia="Times New Roman" w:cs="Arial"/>
                <w:sz w:val="20"/>
                <w:szCs w:val="20"/>
                <w:lang w:eastAsia="en-AU"/>
              </w:rPr>
              <w:t>*)</w:t>
            </w:r>
          </w:p>
        </w:tc>
        <w:tc>
          <w:tcPr>
            <w:tcW w:w="316"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4" w:type="pct"/>
            <w:tcBorders>
              <w:top w:val="nil"/>
              <w:left w:val="nil"/>
              <w:bottom w:val="single" w:sz="8" w:space="0" w:color="auto"/>
              <w:right w:val="nil"/>
            </w:tcBorders>
            <w:shd w:val="clear" w:color="000000" w:fill="D9E1F2"/>
            <w:vAlign w:val="center"/>
            <w:hideMark/>
          </w:tcPr>
          <w:p w:rsidR="002C7E5D" w:rsidRPr="00253484" w:rsidRDefault="002C7E5D" w:rsidP="002C7E5D">
            <w:pPr>
              <w:jc w:val="right"/>
              <w:rPr>
                <w:rFonts w:eastAsia="Times New Roman" w:cs="Arial"/>
                <w:b/>
                <w:bCs/>
                <w:sz w:val="20"/>
                <w:szCs w:val="20"/>
                <w:lang w:eastAsia="en-AU"/>
              </w:rPr>
            </w:pPr>
            <w:r>
              <w:rPr>
                <w:rFonts w:cs="Arial"/>
                <w:b/>
                <w:bCs/>
                <w:sz w:val="20"/>
                <w:szCs w:val="20"/>
              </w:rPr>
              <w:t>55</w:t>
            </w:r>
            <w:r w:rsidR="006A0389">
              <w:rPr>
                <w:rFonts w:cs="Arial"/>
                <w:b/>
                <w:bCs/>
                <w:sz w:val="20"/>
                <w:szCs w:val="20"/>
              </w:rPr>
              <w:t>5</w:t>
            </w:r>
            <w:r>
              <w:rPr>
                <w:rFonts w:cs="Arial"/>
                <w:b/>
                <w:bCs/>
                <w:sz w:val="20"/>
                <w:szCs w:val="20"/>
              </w:rPr>
              <w:t>.</w:t>
            </w:r>
            <w:r w:rsidR="006A0389">
              <w:rPr>
                <w:rFonts w:cs="Arial"/>
                <w:b/>
                <w:bCs/>
                <w:sz w:val="20"/>
                <w:szCs w:val="20"/>
              </w:rPr>
              <w:t>3</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5"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4" w:type="pct"/>
            <w:tcBorders>
              <w:top w:val="nil"/>
              <w:left w:val="nil"/>
              <w:bottom w:val="single" w:sz="8"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r>
      <w:tr w:rsidR="002C7E5D" w:rsidRPr="00253484" w:rsidTr="002C7E5D">
        <w:trPr>
          <w:trHeight w:val="270"/>
        </w:trPr>
        <w:tc>
          <w:tcPr>
            <w:tcW w:w="1662"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Total staff numbers</w:t>
            </w:r>
          </w:p>
        </w:tc>
        <w:tc>
          <w:tcPr>
            <w:tcW w:w="316" w:type="pct"/>
            <w:tcBorders>
              <w:top w:val="nil"/>
              <w:left w:val="nil"/>
              <w:bottom w:val="nil"/>
              <w:right w:val="nil"/>
            </w:tcBorders>
            <w:shd w:val="clear" w:color="000000" w:fill="FFFFFF"/>
            <w:vAlign w:val="center"/>
            <w:hideMark/>
          </w:tcPr>
          <w:p w:rsidR="002C7E5D" w:rsidRPr="00253484" w:rsidRDefault="002C7E5D" w:rsidP="002C7E5D">
            <w:pPr>
              <w:rPr>
                <w:rFonts w:eastAsia="Times New Roman" w:cs="Arial"/>
                <w:sz w:val="20"/>
                <w:szCs w:val="20"/>
                <w:lang w:eastAsia="en-AU"/>
              </w:rPr>
            </w:pPr>
            <w:r w:rsidRPr="00253484">
              <w:rPr>
                <w:rFonts w:eastAsia="Times New Roman" w:cs="Arial"/>
                <w:sz w:val="20"/>
                <w:szCs w:val="20"/>
                <w:lang w:eastAsia="en-AU"/>
              </w:rPr>
              <w:t> </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4" w:type="pct"/>
            <w:tcBorders>
              <w:top w:val="nil"/>
              <w:left w:val="nil"/>
              <w:bottom w:val="double" w:sz="6" w:space="0" w:color="auto"/>
              <w:right w:val="nil"/>
            </w:tcBorders>
            <w:shd w:val="clear" w:color="000000" w:fill="D9E1F2"/>
            <w:vAlign w:val="center"/>
            <w:hideMark/>
          </w:tcPr>
          <w:p w:rsidR="002C7E5D" w:rsidRPr="00253484" w:rsidRDefault="002C7E5D" w:rsidP="002C7E5D">
            <w:pPr>
              <w:jc w:val="right"/>
              <w:rPr>
                <w:rFonts w:eastAsia="Times New Roman" w:cs="Arial"/>
                <w:b/>
                <w:bCs/>
                <w:sz w:val="20"/>
                <w:szCs w:val="20"/>
                <w:lang w:eastAsia="en-AU"/>
              </w:rPr>
            </w:pPr>
            <w:r>
              <w:rPr>
                <w:rFonts w:cs="Arial"/>
                <w:b/>
                <w:bCs/>
                <w:sz w:val="20"/>
                <w:szCs w:val="20"/>
              </w:rPr>
              <w:t>55</w:t>
            </w:r>
            <w:r w:rsidR="006A0389">
              <w:rPr>
                <w:rFonts w:cs="Arial"/>
                <w:b/>
                <w:bCs/>
                <w:sz w:val="20"/>
                <w:szCs w:val="20"/>
              </w:rPr>
              <w:t>5</w:t>
            </w:r>
            <w:r>
              <w:rPr>
                <w:rFonts w:cs="Arial"/>
                <w:b/>
                <w:bCs/>
                <w:sz w:val="20"/>
                <w:szCs w:val="20"/>
              </w:rPr>
              <w:t>.</w:t>
            </w:r>
            <w:r w:rsidR="006A0389">
              <w:rPr>
                <w:rFonts w:cs="Arial"/>
                <w:b/>
                <w:bCs/>
                <w:sz w:val="20"/>
                <w:szCs w:val="20"/>
              </w:rPr>
              <w:t>3</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5"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c>
          <w:tcPr>
            <w:tcW w:w="604" w:type="pct"/>
            <w:tcBorders>
              <w:top w:val="nil"/>
              <w:left w:val="nil"/>
              <w:bottom w:val="double" w:sz="6" w:space="0" w:color="auto"/>
              <w:right w:val="nil"/>
            </w:tcBorders>
            <w:shd w:val="clear" w:color="000000" w:fill="FFFFFF"/>
            <w:vAlign w:val="center"/>
            <w:hideMark/>
          </w:tcPr>
          <w:p w:rsidR="002C7E5D" w:rsidRPr="00253484" w:rsidRDefault="002C7E5D" w:rsidP="002C7E5D">
            <w:pPr>
              <w:jc w:val="right"/>
              <w:rPr>
                <w:rFonts w:eastAsia="Times New Roman" w:cs="Arial"/>
                <w:sz w:val="20"/>
                <w:szCs w:val="20"/>
                <w:lang w:eastAsia="en-AU"/>
              </w:rPr>
            </w:pPr>
            <w:r>
              <w:rPr>
                <w:rFonts w:cs="Arial"/>
                <w:sz w:val="20"/>
                <w:szCs w:val="20"/>
              </w:rPr>
              <w:t>55</w:t>
            </w:r>
            <w:r w:rsidR="006A0389">
              <w:rPr>
                <w:rFonts w:cs="Arial"/>
                <w:sz w:val="20"/>
                <w:szCs w:val="20"/>
              </w:rPr>
              <w:t>5</w:t>
            </w:r>
            <w:r>
              <w:rPr>
                <w:rFonts w:cs="Arial"/>
                <w:sz w:val="20"/>
                <w:szCs w:val="20"/>
              </w:rPr>
              <w:t>.</w:t>
            </w:r>
            <w:r w:rsidR="006A0389">
              <w:rPr>
                <w:rFonts w:cs="Arial"/>
                <w:sz w:val="20"/>
                <w:szCs w:val="20"/>
              </w:rPr>
              <w:t>3</w:t>
            </w:r>
          </w:p>
        </w:tc>
      </w:tr>
      <w:tr w:rsidR="00253484" w:rsidRPr="00253484" w:rsidTr="002C7E5D">
        <w:trPr>
          <w:trHeight w:val="270"/>
        </w:trPr>
        <w:tc>
          <w:tcPr>
            <w:tcW w:w="4396" w:type="pct"/>
            <w:gridSpan w:val="6"/>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18"/>
                <w:szCs w:val="18"/>
                <w:lang w:eastAsia="en-AU"/>
              </w:rPr>
            </w:pPr>
            <w:r w:rsidRPr="00253484">
              <w:rPr>
                <w:rFonts w:eastAsia="Times New Roman" w:cs="Arial"/>
                <w:sz w:val="18"/>
                <w:szCs w:val="18"/>
                <w:lang w:eastAsia="en-AU"/>
              </w:rPr>
              <w:t xml:space="preserve">* </w:t>
            </w:r>
            <w:r>
              <w:rPr>
                <w:rFonts w:eastAsia="Times New Roman" w:cs="Arial"/>
                <w:sz w:val="18"/>
                <w:szCs w:val="18"/>
                <w:lang w:eastAsia="en-AU"/>
              </w:rPr>
              <w:t>FTE</w:t>
            </w:r>
            <w:r w:rsidRPr="00253484">
              <w:rPr>
                <w:rFonts w:eastAsia="Times New Roman" w:cs="Arial"/>
                <w:sz w:val="18"/>
                <w:szCs w:val="18"/>
                <w:lang w:eastAsia="en-AU"/>
              </w:rPr>
              <w:t xml:space="preserve"> represents the full-time equivalent number of employees</w:t>
            </w:r>
          </w:p>
        </w:tc>
        <w:tc>
          <w:tcPr>
            <w:tcW w:w="604" w:type="pct"/>
            <w:tcBorders>
              <w:top w:val="nil"/>
              <w:left w:val="nil"/>
              <w:bottom w:val="nil"/>
              <w:right w:val="nil"/>
            </w:tcBorders>
            <w:shd w:val="clear" w:color="000000" w:fill="FFFFFF"/>
            <w:noWrap/>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w:t>
            </w:r>
          </w:p>
        </w:tc>
      </w:tr>
    </w:tbl>
    <w:p w:rsidR="00E04AAA" w:rsidRPr="00E04AAA" w:rsidRDefault="00E04AAA" w:rsidP="00DC4393">
      <w:pPr>
        <w:rPr>
          <w:rFonts w:eastAsia="Times New Roman" w:cs="Arial"/>
          <w:sz w:val="20"/>
          <w:szCs w:val="20"/>
        </w:rPr>
      </w:pP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p>
    <w:p w:rsidR="00E04AAA" w:rsidRDefault="00E04AAA" w:rsidP="00E04AAA">
      <w:pPr>
        <w:jc w:val="both"/>
        <w:rPr>
          <w:rFonts w:eastAsia="Times New Roman" w:cs="Arial"/>
        </w:rPr>
      </w:pPr>
      <w:r w:rsidRPr="00E04AAA">
        <w:rPr>
          <w:rFonts w:eastAsia="Times New Roman" w:cs="Arial"/>
        </w:rPr>
        <w:t>A summary of human resources expenditure categorised according to organisational structure of Council is detailed below:</w:t>
      </w:r>
    </w:p>
    <w:tbl>
      <w:tblPr>
        <w:tblW w:w="5000" w:type="pct"/>
        <w:tblLook w:val="04A0" w:firstRow="1" w:lastRow="0" w:firstColumn="1" w:lastColumn="0" w:noHBand="0" w:noVBand="1"/>
      </w:tblPr>
      <w:tblGrid>
        <w:gridCol w:w="4365"/>
        <w:gridCol w:w="1011"/>
        <w:gridCol w:w="1414"/>
        <w:gridCol w:w="1414"/>
        <w:gridCol w:w="1412"/>
      </w:tblGrid>
      <w:tr w:rsidR="00253484" w:rsidRPr="00253484" w:rsidTr="00903026">
        <w:trPr>
          <w:trHeight w:val="300"/>
        </w:trPr>
        <w:tc>
          <w:tcPr>
            <w:tcW w:w="2270" w:type="pct"/>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Comprises</w:t>
            </w:r>
          </w:p>
        </w:tc>
      </w:tr>
      <w:tr w:rsidR="00253484" w:rsidRPr="00253484" w:rsidTr="00903026">
        <w:trPr>
          <w:trHeight w:val="300"/>
        </w:trPr>
        <w:tc>
          <w:tcPr>
            <w:tcW w:w="2270" w:type="pct"/>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Permanent</w:t>
            </w:r>
          </w:p>
        </w:tc>
      </w:tr>
      <w:tr w:rsidR="00253484" w:rsidRPr="00253484" w:rsidTr="00903026">
        <w:trPr>
          <w:trHeight w:val="255"/>
        </w:trPr>
        <w:tc>
          <w:tcPr>
            <w:tcW w:w="2270" w:type="pct"/>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r w:rsidRPr="00253484">
              <w:rPr>
                <w:rFonts w:eastAsia="Times New Roman" w:cs="Arial"/>
                <w:b/>
                <w:bCs/>
                <w:color w:val="FFFFFF"/>
                <w:sz w:val="20"/>
                <w:szCs w:val="20"/>
                <w:lang w:eastAsia="en-AU"/>
              </w:rPr>
              <w:t>Department</w:t>
            </w: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2020/2021</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18"/>
                <w:szCs w:val="18"/>
                <w:lang w:eastAsia="en-AU"/>
              </w:rPr>
            </w:pPr>
            <w:r w:rsidRPr="00253484">
              <w:rPr>
                <w:rFonts w:eastAsia="Times New Roman" w:cs="Arial"/>
                <w:b/>
                <w:bCs/>
                <w:color w:val="FFFFFF"/>
                <w:sz w:val="18"/>
                <w:szCs w:val="18"/>
                <w:lang w:eastAsia="en-AU"/>
              </w:rPr>
              <w:t>Full Time</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18"/>
                <w:szCs w:val="18"/>
                <w:lang w:eastAsia="en-AU"/>
              </w:rPr>
            </w:pPr>
            <w:r w:rsidRPr="00253484">
              <w:rPr>
                <w:rFonts w:eastAsia="Times New Roman" w:cs="Arial"/>
                <w:b/>
                <w:bCs/>
                <w:color w:val="FFFFFF"/>
                <w:sz w:val="18"/>
                <w:szCs w:val="18"/>
                <w:lang w:eastAsia="en-AU"/>
              </w:rPr>
              <w:t>Part Time</w:t>
            </w:r>
          </w:p>
        </w:tc>
      </w:tr>
      <w:tr w:rsidR="00253484" w:rsidRPr="00253484" w:rsidTr="00903026">
        <w:trPr>
          <w:trHeight w:val="255"/>
        </w:trPr>
        <w:tc>
          <w:tcPr>
            <w:tcW w:w="2270" w:type="pct"/>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$'000</w:t>
            </w:r>
          </w:p>
        </w:tc>
      </w:tr>
      <w:tr w:rsidR="00253484" w:rsidRPr="00253484" w:rsidTr="00253484">
        <w:trPr>
          <w:trHeight w:val="255"/>
        </w:trPr>
        <w:tc>
          <w:tcPr>
            <w:tcW w:w="2270" w:type="pct"/>
            <w:tcBorders>
              <w:top w:val="nil"/>
              <w:left w:val="nil"/>
              <w:bottom w:val="nil"/>
              <w:right w:val="nil"/>
            </w:tcBorders>
            <w:shd w:val="clear" w:color="auto" w:fill="auto"/>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Operations, Assets &amp; Leisure</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18,624</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14,255</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4,369</w:t>
            </w:r>
          </w:p>
        </w:tc>
      </w:tr>
      <w:tr w:rsidR="00253484" w:rsidRPr="00253484" w:rsidTr="00253484">
        <w:trPr>
          <w:trHeight w:val="255"/>
        </w:trPr>
        <w:tc>
          <w:tcPr>
            <w:tcW w:w="2270" w:type="pct"/>
            <w:tcBorders>
              <w:top w:val="nil"/>
              <w:left w:val="nil"/>
              <w:bottom w:val="nil"/>
              <w:right w:val="nil"/>
            </w:tcBorders>
            <w:shd w:val="clear" w:color="auto" w:fill="auto"/>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10,531</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5,160</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5,371</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9,840</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8,157</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1,683</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9,771</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8,066</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1,705</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1,812</w:t>
            </w:r>
          </w:p>
        </w:tc>
        <w:tc>
          <w:tcPr>
            <w:tcW w:w="735" w:type="pct"/>
            <w:tcBorders>
              <w:top w:val="nil"/>
              <w:left w:val="nil"/>
              <w:bottom w:val="single" w:sz="4" w:space="0" w:color="auto"/>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1,511</w:t>
            </w:r>
          </w:p>
        </w:tc>
        <w:tc>
          <w:tcPr>
            <w:tcW w:w="735" w:type="pct"/>
            <w:tcBorders>
              <w:top w:val="nil"/>
              <w:left w:val="nil"/>
              <w:bottom w:val="single" w:sz="4" w:space="0" w:color="auto"/>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302</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Total permanent staff expenditure</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50,579</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37,148</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13,431</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Casuals and other expenditure</w:t>
            </w:r>
            <w:r>
              <w:rPr>
                <w:rFonts w:eastAsia="Times New Roman" w:cs="Arial"/>
                <w:sz w:val="20"/>
                <w:szCs w:val="20"/>
                <w:lang w:eastAsia="en-AU"/>
              </w:rPr>
              <w:t>*</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8,506</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r>
      <w:tr w:rsidR="00253484" w:rsidRPr="00253484" w:rsidTr="00253484">
        <w:trPr>
          <w:trHeight w:val="270"/>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Capitalised labour costs</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single" w:sz="8" w:space="0" w:color="auto"/>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1,235</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r>
      <w:tr w:rsidR="00253484" w:rsidRPr="00253484" w:rsidTr="00253484">
        <w:trPr>
          <w:trHeight w:val="255"/>
        </w:trPr>
        <w:tc>
          <w:tcPr>
            <w:tcW w:w="2270" w:type="pct"/>
            <w:tcBorders>
              <w:top w:val="single" w:sz="4" w:space="0" w:color="auto"/>
              <w:left w:val="nil"/>
              <w:bottom w:val="single" w:sz="4" w:space="0" w:color="auto"/>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Total expenditure</w:t>
            </w:r>
          </w:p>
        </w:tc>
        <w:tc>
          <w:tcPr>
            <w:tcW w:w="526" w:type="pct"/>
            <w:tcBorders>
              <w:top w:val="single" w:sz="4" w:space="0" w:color="auto"/>
              <w:left w:val="nil"/>
              <w:bottom w:val="single" w:sz="4" w:space="0" w:color="auto"/>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60,320</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 </w:t>
            </w:r>
          </w:p>
        </w:tc>
      </w:tr>
    </w:tbl>
    <w:p w:rsidR="00E04AAA" w:rsidRPr="00E04AAA" w:rsidRDefault="00E04AAA" w:rsidP="00E04AAA">
      <w:pPr>
        <w:jc w:val="both"/>
        <w:rPr>
          <w:rFonts w:eastAsia="Times New Roman" w:cs="Arial"/>
          <w:bCs/>
          <w:sz w:val="18"/>
          <w:szCs w:val="18"/>
          <w:lang w:eastAsia="en-AU"/>
        </w:rPr>
      </w:pPr>
      <w:r w:rsidRPr="00E04AAA">
        <w:rPr>
          <w:rFonts w:eastAsia="Times New Roman" w:cs="Arial"/>
          <w:bCs/>
          <w:sz w:val="18"/>
          <w:szCs w:val="18"/>
          <w:lang w:eastAsia="en-AU"/>
        </w:rPr>
        <w:t xml:space="preserve">*Seasonal </w:t>
      </w:r>
      <w:r w:rsidRPr="0069383B">
        <w:rPr>
          <w:rFonts w:eastAsia="Times New Roman" w:cs="Arial"/>
          <w:bCs/>
          <w:sz w:val="18"/>
          <w:szCs w:val="18"/>
          <w:lang w:eastAsia="en-AU"/>
        </w:rPr>
        <w:t>employees</w:t>
      </w:r>
      <w:r w:rsidR="00001B7A">
        <w:rPr>
          <w:rFonts w:eastAsia="Times New Roman" w:cs="Arial"/>
          <w:bCs/>
          <w:sz w:val="18"/>
          <w:szCs w:val="18"/>
          <w:lang w:eastAsia="en-AU"/>
        </w:rPr>
        <w:t>,</w:t>
      </w:r>
      <w:r w:rsidRPr="0069383B">
        <w:rPr>
          <w:rFonts w:eastAsia="Times New Roman" w:cs="Arial"/>
          <w:bCs/>
          <w:sz w:val="18"/>
          <w:szCs w:val="18"/>
          <w:lang w:eastAsia="en-AU"/>
        </w:rPr>
        <w:t xml:space="preserve"> </w:t>
      </w:r>
      <w:r w:rsidRPr="00E04AAA">
        <w:rPr>
          <w:rFonts w:eastAsia="Times New Roman" w:cs="Arial"/>
          <w:bCs/>
          <w:sz w:val="18"/>
          <w:szCs w:val="18"/>
          <w:lang w:eastAsia="en-AU"/>
        </w:rPr>
        <w:t>other expenditure relates to Overtime, Travel Allowance, Performance Recognition, Training etc.</w:t>
      </w:r>
    </w:p>
    <w:p w:rsidR="00E04AAA" w:rsidRPr="00E04AAA" w:rsidRDefault="00E04AAA" w:rsidP="00E04AAA">
      <w:pPr>
        <w:jc w:val="both"/>
        <w:rPr>
          <w:rFonts w:eastAsia="Times New Roman" w:cs="Arial"/>
          <w:bCs/>
          <w:sz w:val="18"/>
          <w:szCs w:val="18"/>
          <w:lang w:eastAsia="en-AU"/>
        </w:rPr>
      </w:pPr>
    </w:p>
    <w:p w:rsidR="00E04AAA" w:rsidRDefault="00E04AAA" w:rsidP="00E04AAA">
      <w:pPr>
        <w:jc w:val="both"/>
        <w:rPr>
          <w:rFonts w:eastAsia="Times New Roman" w:cs="Arial"/>
        </w:rPr>
      </w:pPr>
      <w:r w:rsidRPr="00E04AAA">
        <w:rPr>
          <w:rFonts w:eastAsia="Times New Roman" w:cs="Arial"/>
        </w:rPr>
        <w:t>A summary of the number of full time equivalent (</w:t>
      </w:r>
      <w:r w:rsidR="00DC4393">
        <w:rPr>
          <w:rFonts w:eastAsia="Times New Roman" w:cs="Arial"/>
        </w:rPr>
        <w:t>FTE</w:t>
      </w:r>
      <w:r w:rsidRPr="00E04AAA">
        <w:rPr>
          <w:rFonts w:eastAsia="Times New Roman" w:cs="Arial"/>
        </w:rPr>
        <w:t xml:space="preserve">) Council </w:t>
      </w:r>
      <w:r w:rsidR="00966867">
        <w:rPr>
          <w:rFonts w:eastAsia="Times New Roman" w:cs="Arial"/>
        </w:rPr>
        <w:t>employees</w:t>
      </w:r>
      <w:r w:rsidRPr="00E04AAA">
        <w:rPr>
          <w:rFonts w:eastAsia="Times New Roman" w:cs="Arial"/>
        </w:rPr>
        <w:t xml:space="preserve"> in relation to the above expenditure is included below:</w:t>
      </w:r>
    </w:p>
    <w:tbl>
      <w:tblPr>
        <w:tblW w:w="5000" w:type="pct"/>
        <w:tblLook w:val="04A0" w:firstRow="1" w:lastRow="0" w:firstColumn="1" w:lastColumn="0" w:noHBand="0" w:noVBand="1"/>
      </w:tblPr>
      <w:tblGrid>
        <w:gridCol w:w="4365"/>
        <w:gridCol w:w="1011"/>
        <w:gridCol w:w="1414"/>
        <w:gridCol w:w="1414"/>
        <w:gridCol w:w="1412"/>
      </w:tblGrid>
      <w:tr w:rsidR="00253484" w:rsidRPr="00253484" w:rsidTr="00903026">
        <w:trPr>
          <w:trHeight w:val="300"/>
        </w:trPr>
        <w:tc>
          <w:tcPr>
            <w:tcW w:w="2270" w:type="pct"/>
            <w:vMerge w:val="restar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Comprises</w:t>
            </w:r>
          </w:p>
        </w:tc>
      </w:tr>
      <w:tr w:rsidR="00253484" w:rsidRPr="00253484" w:rsidTr="00903026">
        <w:trPr>
          <w:trHeight w:val="255"/>
        </w:trPr>
        <w:tc>
          <w:tcPr>
            <w:tcW w:w="2270" w:type="pct"/>
            <w:vMerge/>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2020/2021</w:t>
            </w:r>
          </w:p>
        </w:tc>
        <w:tc>
          <w:tcPr>
            <w:tcW w:w="1469" w:type="pct"/>
            <w:gridSpan w:val="2"/>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Permanent</w:t>
            </w:r>
          </w:p>
        </w:tc>
      </w:tr>
      <w:tr w:rsidR="00253484" w:rsidRPr="00253484" w:rsidTr="00903026">
        <w:trPr>
          <w:trHeight w:val="255"/>
        </w:trPr>
        <w:tc>
          <w:tcPr>
            <w:tcW w:w="2270" w:type="pct"/>
            <w:vMerge/>
            <w:tcBorders>
              <w:top w:val="nil"/>
              <w:left w:val="nil"/>
              <w:bottom w:val="nil"/>
              <w:right w:val="nil"/>
            </w:tcBorders>
            <w:shd w:val="clear" w:color="auto" w:fill="629DD1" w:themeFill="accent2"/>
            <w:vAlign w:val="center"/>
            <w:hideMark/>
          </w:tcPr>
          <w:p w:rsidR="00253484" w:rsidRPr="00253484" w:rsidRDefault="00253484" w:rsidP="00253484">
            <w:pPr>
              <w:rPr>
                <w:rFonts w:eastAsia="Times New Roman" w:cs="Arial"/>
                <w:b/>
                <w:bCs/>
                <w:color w:val="FFFFFF"/>
                <w:sz w:val="20"/>
                <w:szCs w:val="20"/>
                <w:lang w:eastAsia="en-AU"/>
              </w:rPr>
            </w:pPr>
          </w:p>
        </w:tc>
        <w:tc>
          <w:tcPr>
            <w:tcW w:w="526"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 </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20"/>
                <w:szCs w:val="20"/>
                <w:lang w:eastAsia="en-AU"/>
              </w:rPr>
            </w:pPr>
            <w:r w:rsidRPr="00253484">
              <w:rPr>
                <w:rFonts w:eastAsia="Times New Roman" w:cs="Arial"/>
                <w:b/>
                <w:bCs/>
                <w:color w:val="FFFFFF"/>
                <w:sz w:val="20"/>
                <w:szCs w:val="20"/>
                <w:lang w:eastAsia="en-AU"/>
              </w:rPr>
              <w:t>FTE</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18"/>
                <w:szCs w:val="18"/>
                <w:lang w:eastAsia="en-AU"/>
              </w:rPr>
            </w:pPr>
            <w:r w:rsidRPr="00253484">
              <w:rPr>
                <w:rFonts w:eastAsia="Times New Roman" w:cs="Arial"/>
                <w:b/>
                <w:bCs/>
                <w:color w:val="FFFFFF"/>
                <w:sz w:val="18"/>
                <w:szCs w:val="18"/>
                <w:lang w:eastAsia="en-AU"/>
              </w:rPr>
              <w:t>Full Time</w:t>
            </w:r>
          </w:p>
        </w:tc>
        <w:tc>
          <w:tcPr>
            <w:tcW w:w="735" w:type="pct"/>
            <w:tcBorders>
              <w:top w:val="nil"/>
              <w:left w:val="nil"/>
              <w:bottom w:val="nil"/>
              <w:right w:val="nil"/>
            </w:tcBorders>
            <w:shd w:val="clear" w:color="auto" w:fill="629DD1" w:themeFill="accent2"/>
            <w:vAlign w:val="center"/>
            <w:hideMark/>
          </w:tcPr>
          <w:p w:rsidR="00253484" w:rsidRPr="00253484" w:rsidRDefault="00253484" w:rsidP="00253484">
            <w:pPr>
              <w:jc w:val="center"/>
              <w:rPr>
                <w:rFonts w:eastAsia="Times New Roman" w:cs="Arial"/>
                <w:b/>
                <w:bCs/>
                <w:color w:val="FFFFFF"/>
                <w:sz w:val="18"/>
                <w:szCs w:val="18"/>
                <w:lang w:eastAsia="en-AU"/>
              </w:rPr>
            </w:pPr>
            <w:r w:rsidRPr="00253484">
              <w:rPr>
                <w:rFonts w:eastAsia="Times New Roman" w:cs="Arial"/>
                <w:b/>
                <w:bCs/>
                <w:color w:val="FFFFFF"/>
                <w:sz w:val="18"/>
                <w:szCs w:val="18"/>
                <w:lang w:eastAsia="en-AU"/>
              </w:rPr>
              <w:t>Part Time</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Operations, Assets &amp; Leisure</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190.9</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147.7</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43.2</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94.9</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44.5</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50.3</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89.9</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71.5</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18.4</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89.7</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69.0</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20.7</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13.1</w:t>
            </w:r>
          </w:p>
        </w:tc>
        <w:tc>
          <w:tcPr>
            <w:tcW w:w="735" w:type="pct"/>
            <w:tcBorders>
              <w:top w:val="nil"/>
              <w:left w:val="nil"/>
              <w:bottom w:val="single" w:sz="4" w:space="0" w:color="auto"/>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10.5</w:t>
            </w:r>
          </w:p>
        </w:tc>
        <w:tc>
          <w:tcPr>
            <w:tcW w:w="735" w:type="pct"/>
            <w:tcBorders>
              <w:top w:val="nil"/>
              <w:left w:val="nil"/>
              <w:bottom w:val="single" w:sz="4" w:space="0" w:color="auto"/>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2.6</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xml:space="preserve">Total </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478.5</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343.2</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right"/>
              <w:rPr>
                <w:rFonts w:eastAsia="Times New Roman" w:cs="Arial"/>
                <w:sz w:val="20"/>
                <w:szCs w:val="20"/>
                <w:lang w:eastAsia="en-AU"/>
              </w:rPr>
            </w:pPr>
            <w:r w:rsidRPr="00253484">
              <w:rPr>
                <w:rFonts w:eastAsia="Times New Roman" w:cs="Arial"/>
                <w:sz w:val="20"/>
                <w:szCs w:val="20"/>
                <w:lang w:eastAsia="en-AU"/>
              </w:rPr>
              <w:t>135.3</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Casuals and other</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65.2</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r>
      <w:tr w:rsidR="00253484" w:rsidRPr="00253484" w:rsidTr="00253484">
        <w:trPr>
          <w:trHeight w:val="255"/>
        </w:trPr>
        <w:tc>
          <w:tcPr>
            <w:tcW w:w="2270" w:type="pct"/>
            <w:tcBorders>
              <w:top w:val="nil"/>
              <w:left w:val="nil"/>
              <w:bottom w:val="nil"/>
              <w:right w:val="nil"/>
            </w:tcBorders>
            <w:shd w:val="clear" w:color="000000" w:fill="FFFFFF"/>
            <w:vAlign w:val="center"/>
            <w:hideMark/>
          </w:tcPr>
          <w:p w:rsidR="00253484" w:rsidRPr="00253484" w:rsidRDefault="00253484" w:rsidP="00253484">
            <w:pPr>
              <w:rPr>
                <w:rFonts w:eastAsia="Times New Roman" w:cs="Arial"/>
                <w:sz w:val="20"/>
                <w:szCs w:val="20"/>
                <w:lang w:eastAsia="en-AU"/>
              </w:rPr>
            </w:pPr>
            <w:r w:rsidRPr="00253484">
              <w:rPr>
                <w:rFonts w:eastAsia="Times New Roman" w:cs="Arial"/>
                <w:sz w:val="20"/>
                <w:szCs w:val="20"/>
                <w:lang w:eastAsia="en-AU"/>
              </w:rPr>
              <w:t xml:space="preserve">Capitalised labour </w:t>
            </w:r>
          </w:p>
        </w:tc>
        <w:tc>
          <w:tcPr>
            <w:tcW w:w="526"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11.6</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r>
      <w:tr w:rsidR="00253484" w:rsidRPr="00253484" w:rsidTr="00253484">
        <w:trPr>
          <w:trHeight w:val="255"/>
        </w:trPr>
        <w:tc>
          <w:tcPr>
            <w:tcW w:w="2270" w:type="pct"/>
            <w:tcBorders>
              <w:top w:val="single" w:sz="4" w:space="0" w:color="auto"/>
              <w:left w:val="nil"/>
              <w:bottom w:val="single" w:sz="4" w:space="0" w:color="auto"/>
              <w:right w:val="nil"/>
            </w:tcBorders>
            <w:shd w:val="clear" w:color="000000" w:fill="FFFFFF"/>
            <w:vAlign w:val="center"/>
            <w:hideMark/>
          </w:tcPr>
          <w:p w:rsidR="00253484" w:rsidRPr="00253484" w:rsidRDefault="00253484" w:rsidP="00253484">
            <w:pPr>
              <w:rPr>
                <w:rFonts w:eastAsia="Times New Roman" w:cs="Arial"/>
                <w:b/>
                <w:bCs/>
                <w:sz w:val="20"/>
                <w:szCs w:val="20"/>
                <w:lang w:eastAsia="en-AU"/>
              </w:rPr>
            </w:pPr>
            <w:r w:rsidRPr="00253484">
              <w:rPr>
                <w:rFonts w:eastAsia="Times New Roman" w:cs="Arial"/>
                <w:b/>
                <w:bCs/>
                <w:sz w:val="20"/>
                <w:szCs w:val="20"/>
                <w:lang w:eastAsia="en-AU"/>
              </w:rPr>
              <w:t>Total staff</w:t>
            </w:r>
          </w:p>
        </w:tc>
        <w:tc>
          <w:tcPr>
            <w:tcW w:w="526" w:type="pct"/>
            <w:tcBorders>
              <w:top w:val="single" w:sz="4" w:space="0" w:color="auto"/>
              <w:left w:val="nil"/>
              <w:bottom w:val="single" w:sz="4" w:space="0" w:color="auto"/>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9E1F2"/>
            <w:vAlign w:val="center"/>
            <w:hideMark/>
          </w:tcPr>
          <w:p w:rsidR="00253484" w:rsidRPr="00253484" w:rsidRDefault="00253484" w:rsidP="00253484">
            <w:pPr>
              <w:jc w:val="right"/>
              <w:rPr>
                <w:rFonts w:eastAsia="Times New Roman" w:cs="Arial"/>
                <w:b/>
                <w:bCs/>
                <w:sz w:val="20"/>
                <w:szCs w:val="20"/>
                <w:lang w:eastAsia="en-AU"/>
              </w:rPr>
            </w:pPr>
            <w:r w:rsidRPr="00253484">
              <w:rPr>
                <w:rFonts w:eastAsia="Times New Roman" w:cs="Arial"/>
                <w:b/>
                <w:bCs/>
                <w:sz w:val="20"/>
                <w:szCs w:val="20"/>
                <w:lang w:eastAsia="en-AU"/>
              </w:rPr>
              <w:t>555.3</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253484" w:rsidRPr="00253484" w:rsidRDefault="00253484" w:rsidP="00253484">
            <w:pPr>
              <w:jc w:val="both"/>
              <w:rPr>
                <w:rFonts w:eastAsia="Times New Roman" w:cs="Arial"/>
                <w:sz w:val="20"/>
                <w:szCs w:val="20"/>
                <w:lang w:eastAsia="en-AU"/>
              </w:rPr>
            </w:pPr>
            <w:r w:rsidRPr="00253484">
              <w:rPr>
                <w:rFonts w:eastAsia="Times New Roman" w:cs="Arial"/>
                <w:sz w:val="20"/>
                <w:szCs w:val="20"/>
                <w:lang w:eastAsia="en-AU"/>
              </w:rPr>
              <w:t> </w:t>
            </w:r>
          </w:p>
        </w:tc>
      </w:tr>
    </w:tbl>
    <w:p w:rsidR="00DC4393" w:rsidRDefault="00DC4393" w:rsidP="00E04AAA">
      <w:pPr>
        <w:jc w:val="both"/>
        <w:rPr>
          <w:rFonts w:eastAsia="Times New Roman" w:cs="Arial"/>
        </w:rPr>
      </w:pPr>
    </w:p>
    <w:p w:rsidR="009750D7" w:rsidRDefault="009750D7" w:rsidP="009750D7">
      <w:pPr>
        <w:rPr>
          <w:rFonts w:eastAsia="Times New Roman" w:cs="Arial"/>
        </w:rPr>
        <w:sectPr w:rsidR="009750D7" w:rsidSect="00C37A69">
          <w:pgSz w:w="11907" w:h="16840" w:code="9"/>
          <w:pgMar w:top="568" w:right="1440" w:bottom="1276" w:left="851" w:header="567" w:footer="448" w:gutter="0"/>
          <w:cols w:space="720"/>
          <w:docGrid w:linePitch="299"/>
        </w:sectPr>
      </w:pPr>
    </w:p>
    <w:p w:rsidR="0029462D" w:rsidRPr="0029462D" w:rsidRDefault="00DE2121" w:rsidP="00E851C4">
      <w:pPr>
        <w:pStyle w:val="Heading2"/>
        <w:rPr>
          <w:lang w:eastAsia="en-AU"/>
        </w:rPr>
      </w:pPr>
      <w:bookmarkStart w:id="130" w:name="_Toc4056378"/>
      <w:r w:rsidRPr="0078676E">
        <w:rPr>
          <w:lang w:eastAsia="en-AU"/>
        </w:rPr>
        <w:lastRenderedPageBreak/>
        <w:t>6</w:t>
      </w:r>
      <w:r w:rsidR="00484118" w:rsidRPr="0078676E">
        <w:rPr>
          <w:lang w:eastAsia="en-AU"/>
        </w:rPr>
        <w:t>.</w:t>
      </w:r>
      <w:r w:rsidR="0029462D" w:rsidRPr="0078676E">
        <w:rPr>
          <w:lang w:eastAsia="en-AU"/>
        </w:rPr>
        <w:t xml:space="preserve"> </w:t>
      </w:r>
      <w:r w:rsidR="00484118" w:rsidRPr="0078676E">
        <w:rPr>
          <w:lang w:eastAsia="en-AU"/>
        </w:rPr>
        <w:t>Notes to the financial statements</w:t>
      </w:r>
      <w:bookmarkEnd w:id="130"/>
    </w:p>
    <w:p w:rsidR="0029462D" w:rsidRPr="0029462D" w:rsidRDefault="0029462D" w:rsidP="0029462D">
      <w:pPr>
        <w:spacing w:after="200" w:line="276" w:lineRule="auto"/>
        <w:ind w:left="720"/>
        <w:contextualSpacing/>
        <w:rPr>
          <w:rFonts w:cs="Arial"/>
          <w:b/>
          <w:bCs/>
          <w:color w:val="CC0000"/>
          <w:sz w:val="26"/>
          <w:szCs w:val="26"/>
          <w:lang w:eastAsia="en-AU"/>
        </w:rPr>
      </w:pPr>
    </w:p>
    <w:p w:rsidR="00484118" w:rsidRPr="00DF43D4" w:rsidRDefault="00484118" w:rsidP="0029462D">
      <w:pPr>
        <w:spacing w:after="200" w:line="276" w:lineRule="auto"/>
        <w:contextualSpacing/>
        <w:rPr>
          <w:rFonts w:cs="Arial"/>
          <w:bCs/>
          <w:lang w:eastAsia="en-AU"/>
        </w:rPr>
      </w:pPr>
      <w:r w:rsidRPr="00484118">
        <w:rPr>
          <w:rFonts w:cs="Arial"/>
          <w:bCs/>
          <w:lang w:eastAsia="en-AU"/>
        </w:rPr>
        <w:t>This section presents detailed</w:t>
      </w:r>
      <w:r>
        <w:rPr>
          <w:rFonts w:cs="Arial"/>
          <w:bCs/>
          <w:lang w:eastAsia="en-AU"/>
        </w:rPr>
        <w:t xml:space="preserve"> information on material compon</w:t>
      </w:r>
      <w:r w:rsidRPr="00484118">
        <w:rPr>
          <w:rFonts w:cs="Arial"/>
          <w:bCs/>
          <w:lang w:eastAsia="en-AU"/>
        </w:rPr>
        <w:t>e</w:t>
      </w:r>
      <w:r>
        <w:rPr>
          <w:rFonts w:cs="Arial"/>
          <w:bCs/>
          <w:lang w:eastAsia="en-AU"/>
        </w:rPr>
        <w:t>n</w:t>
      </w:r>
      <w:r w:rsidRPr="00484118">
        <w:rPr>
          <w:rFonts w:cs="Arial"/>
          <w:bCs/>
          <w:lang w:eastAsia="en-AU"/>
        </w:rPr>
        <w:t>ts of the financial statements</w:t>
      </w:r>
      <w:r>
        <w:rPr>
          <w:rFonts w:cs="Arial"/>
          <w:bCs/>
          <w:color w:val="FF0000"/>
          <w:lang w:eastAsia="en-AU"/>
        </w:rPr>
        <w:t>.</w:t>
      </w:r>
    </w:p>
    <w:p w:rsidR="00484118" w:rsidRPr="00DF43D4" w:rsidRDefault="00484118" w:rsidP="0029462D">
      <w:pPr>
        <w:spacing w:after="200" w:line="276" w:lineRule="auto"/>
        <w:contextualSpacing/>
        <w:rPr>
          <w:rFonts w:cs="Arial"/>
          <w:bCs/>
          <w:lang w:eastAsia="en-AU"/>
        </w:rPr>
      </w:pPr>
    </w:p>
    <w:p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.1 Comprehensive Income Statement</w:t>
      </w:r>
    </w:p>
    <w:p w:rsidR="00DF43D4" w:rsidRPr="00DF43D4" w:rsidRDefault="00DF43D4" w:rsidP="0029462D">
      <w:pPr>
        <w:spacing w:after="200" w:line="276" w:lineRule="auto"/>
        <w:contextualSpacing/>
        <w:rPr>
          <w:rFonts w:cs="Arial"/>
          <w:bCs/>
          <w:lang w:eastAsia="en-AU"/>
        </w:rPr>
      </w:pPr>
    </w:p>
    <w:p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 xml:space="preserve">.1.1 </w:t>
      </w:r>
      <w:r w:rsidR="00DF43D4">
        <w:rPr>
          <w:rFonts w:eastAsia="Times New Roman" w:cs="Arial"/>
          <w:b/>
          <w:bCs/>
          <w:color w:val="4A66AC" w:themeColor="accent1"/>
          <w:lang w:eastAsia="en-AU"/>
        </w:rPr>
        <w:t>Rates and charges</w:t>
      </w:r>
    </w:p>
    <w:p w:rsidR="00DF43D4" w:rsidRDefault="00DF43D4" w:rsidP="00DF43D4">
      <w:pPr>
        <w:spacing w:after="20"/>
        <w:rPr>
          <w:rFonts w:eastAsia="Times New Roman" w:cs="Arial"/>
          <w:b/>
          <w:bCs/>
          <w:color w:val="4A66AC" w:themeColor="accent1"/>
          <w:lang w:eastAsia="en-AU"/>
        </w:rPr>
      </w:pPr>
    </w:p>
    <w:p w:rsidR="00DF43D4" w:rsidRDefault="00DF43D4" w:rsidP="00DF43D4">
      <w:pPr>
        <w:rPr>
          <w:rFonts w:cs="Arial"/>
        </w:rPr>
      </w:pPr>
      <w:r w:rsidRPr="00DF43D4">
        <w:rPr>
          <w:rFonts w:cs="Arial"/>
        </w:rPr>
        <w:t>Rates and charges are required by the Act and the Regulations to be disclosed in Council’s annual budget.</w:t>
      </w:r>
    </w:p>
    <w:p w:rsidR="003F16DF" w:rsidRPr="00DF43D4" w:rsidRDefault="003F16DF" w:rsidP="00DF43D4">
      <w:pPr>
        <w:rPr>
          <w:rFonts w:cs="Arial"/>
        </w:rPr>
      </w:pPr>
    </w:p>
    <w:p w:rsidR="003F16DF" w:rsidRPr="00362693" w:rsidRDefault="003F16DF" w:rsidP="003F16DF">
      <w:pPr>
        <w:jc w:val="both"/>
        <w:rPr>
          <w:rFonts w:eastAsia="Times New Roman" w:cs="Arial"/>
        </w:rPr>
      </w:pPr>
      <w:r w:rsidRPr="00362693">
        <w:rPr>
          <w:rFonts w:eastAsia="Times New Roman" w:cs="Arial"/>
        </w:rPr>
        <w:t xml:space="preserve">In developing the Strategic Resource Plan rates and charges were identified as an important source of revenue, </w:t>
      </w:r>
      <w:r w:rsidRPr="00652603">
        <w:rPr>
          <w:rFonts w:eastAsia="Times New Roman" w:cs="Arial"/>
        </w:rPr>
        <w:t xml:space="preserve">accounting </w:t>
      </w:r>
      <w:r w:rsidRPr="007F2045">
        <w:rPr>
          <w:rFonts w:eastAsia="Times New Roman" w:cs="Arial"/>
        </w:rPr>
        <w:t xml:space="preserve">for </w:t>
      </w:r>
      <w:r w:rsidR="00652603" w:rsidRPr="007F2045">
        <w:rPr>
          <w:rFonts w:eastAsia="Times New Roman" w:cs="Arial"/>
        </w:rPr>
        <w:t>5</w:t>
      </w:r>
      <w:r w:rsidR="007F2045" w:rsidRPr="007F2045">
        <w:rPr>
          <w:rFonts w:eastAsia="Times New Roman" w:cs="Arial"/>
        </w:rPr>
        <w:t>9</w:t>
      </w:r>
      <w:r w:rsidR="00652603" w:rsidRPr="007F2045">
        <w:rPr>
          <w:rFonts w:eastAsia="Times New Roman" w:cs="Arial"/>
        </w:rPr>
        <w:t>.</w:t>
      </w:r>
      <w:r w:rsidR="007F2045" w:rsidRPr="007F2045">
        <w:rPr>
          <w:rFonts w:eastAsia="Times New Roman" w:cs="Arial"/>
        </w:rPr>
        <w:t>3</w:t>
      </w:r>
      <w:r w:rsidRPr="007F2045">
        <w:rPr>
          <w:rFonts w:eastAsia="Times New Roman" w:cs="Arial"/>
        </w:rPr>
        <w:t>%</w:t>
      </w:r>
      <w:r w:rsidRPr="00652603">
        <w:rPr>
          <w:rFonts w:eastAsia="Times New Roman" w:cs="Arial"/>
        </w:rPr>
        <w:t xml:space="preserve"> </w:t>
      </w:r>
      <w:r w:rsidRPr="00362693">
        <w:rPr>
          <w:rFonts w:eastAsia="Times New Roman" w:cs="Arial"/>
        </w:rPr>
        <w:t xml:space="preserve">of the total revenue received by Council annually. Planning for future rate increases has therefore been an important component of the Strategic Resource Planning process. The State Government have introduced the </w:t>
      </w:r>
      <w:r w:rsidRPr="00362693">
        <w:rPr>
          <w:rFonts w:eastAsia="Times New Roman" w:cs="Arial"/>
          <w:i/>
        </w:rPr>
        <w:t>Fair Go Rates System (FGRS)</w:t>
      </w:r>
      <w:r w:rsidRPr="00362693">
        <w:rPr>
          <w:rFonts w:eastAsia="Times New Roman" w:cs="Arial"/>
        </w:rPr>
        <w:t xml:space="preserve"> which sets out the maximum amount councils may increase rates in a year. For 20</w:t>
      </w:r>
      <w:r w:rsidR="00D7096B">
        <w:rPr>
          <w:rFonts w:eastAsia="Times New Roman" w:cs="Arial"/>
        </w:rPr>
        <w:t>20</w:t>
      </w:r>
      <w:r w:rsidRPr="00362693">
        <w:rPr>
          <w:rFonts w:eastAsia="Times New Roman" w:cs="Arial"/>
        </w:rPr>
        <w:t>/</w:t>
      </w:r>
      <w:r w:rsidR="00F73ABE">
        <w:rPr>
          <w:rFonts w:eastAsia="Times New Roman" w:cs="Arial"/>
        </w:rPr>
        <w:t>2</w:t>
      </w:r>
      <w:r w:rsidR="00D7096B">
        <w:rPr>
          <w:rFonts w:eastAsia="Times New Roman" w:cs="Arial"/>
        </w:rPr>
        <w:t>1</w:t>
      </w:r>
      <w:r w:rsidRPr="00362693">
        <w:rPr>
          <w:rFonts w:eastAsia="Times New Roman" w:cs="Arial"/>
        </w:rPr>
        <w:t xml:space="preserve"> the FGRS cap has been set at 2.</w:t>
      </w:r>
      <w:r w:rsidR="00D7096B">
        <w:rPr>
          <w:rFonts w:eastAsia="Times New Roman" w:cs="Arial"/>
        </w:rPr>
        <w:t>0</w:t>
      </w:r>
      <w:r w:rsidRPr="00362693">
        <w:rPr>
          <w:rFonts w:eastAsia="Times New Roman" w:cs="Arial"/>
        </w:rPr>
        <w:t xml:space="preserve">%. The cap applies to general rates and is calculated on the basis of council’s base average property rate. The formulae provided by the Essential Services Commission (ESC) and agreed by the State Government is: </w:t>
      </w:r>
    </w:p>
    <w:p w:rsidR="003F16DF" w:rsidRPr="00362693" w:rsidRDefault="003F16DF" w:rsidP="003F16DF">
      <w:pPr>
        <w:jc w:val="both"/>
        <w:rPr>
          <w:rFonts w:eastAsia="Times New Roman" w:cs="Arial"/>
        </w:rPr>
      </w:pPr>
    </w:p>
    <w:p w:rsidR="003F16DF" w:rsidRPr="003F16DF" w:rsidRDefault="003F16DF" w:rsidP="003F16DF">
      <w:pPr>
        <w:pBdr>
          <w:bottom w:val="single" w:sz="4" w:space="1" w:color="auto"/>
        </w:pBd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201</w:t>
      </w:r>
      <w:r w:rsidR="00D7096B">
        <w:rPr>
          <w:rFonts w:eastAsia="Times New Roman" w:cs="Arial"/>
          <w:color w:val="000000"/>
          <w:szCs w:val="20"/>
          <w:lang w:eastAsia="en-AU"/>
        </w:rPr>
        <w:t>9</w:t>
      </w:r>
      <w:r w:rsidRPr="003F16DF">
        <w:rPr>
          <w:rFonts w:eastAsia="Times New Roman" w:cs="Arial"/>
          <w:color w:val="000000"/>
          <w:szCs w:val="20"/>
          <w:lang w:eastAsia="en-AU"/>
        </w:rPr>
        <w:t>/</w:t>
      </w:r>
      <w:r w:rsidR="00D7096B">
        <w:rPr>
          <w:rFonts w:eastAsia="Times New Roman" w:cs="Arial"/>
          <w:color w:val="000000"/>
          <w:szCs w:val="20"/>
          <w:lang w:eastAsia="en-AU"/>
        </w:rPr>
        <w:t>20</w:t>
      </w:r>
      <w:r w:rsidRPr="003F16DF">
        <w:rPr>
          <w:rFonts w:eastAsia="Times New Roman" w:cs="Arial"/>
          <w:color w:val="000000"/>
          <w:szCs w:val="20"/>
          <w:lang w:eastAsia="en-AU"/>
        </w:rPr>
        <w:t xml:space="preserve"> Adopted General Rate Income + 201</w:t>
      </w:r>
      <w:r w:rsidR="00D7096B">
        <w:rPr>
          <w:rFonts w:eastAsia="Times New Roman" w:cs="Arial"/>
          <w:color w:val="000000"/>
          <w:szCs w:val="20"/>
          <w:lang w:eastAsia="en-AU"/>
        </w:rPr>
        <w:t>9</w:t>
      </w:r>
      <w:r w:rsidRPr="003F16DF">
        <w:rPr>
          <w:rFonts w:eastAsia="Times New Roman" w:cs="Arial"/>
          <w:color w:val="000000"/>
          <w:szCs w:val="20"/>
          <w:lang w:eastAsia="en-AU"/>
        </w:rPr>
        <w:t>/</w:t>
      </w:r>
      <w:r w:rsidR="00D7096B">
        <w:rPr>
          <w:rFonts w:eastAsia="Times New Roman" w:cs="Arial"/>
          <w:color w:val="000000"/>
          <w:szCs w:val="20"/>
          <w:lang w:eastAsia="en-AU"/>
        </w:rPr>
        <w:t>20</w:t>
      </w:r>
      <w:r w:rsidRPr="003F16DF">
        <w:rPr>
          <w:rFonts w:eastAsia="Times New Roman" w:cs="Arial"/>
          <w:color w:val="000000"/>
          <w:szCs w:val="20"/>
          <w:lang w:eastAsia="en-AU"/>
        </w:rPr>
        <w:t xml:space="preserve"> Annualised Supplementary Rate Income</w:t>
      </w:r>
    </w:p>
    <w:p w:rsidR="003F16DF" w:rsidRPr="003F16DF" w:rsidRDefault="003F16DF" w:rsidP="003F16DF">
      <w:pPr>
        <w:autoSpaceDE w:val="0"/>
        <w:autoSpaceDN w:val="0"/>
        <w:adjustRightInd w:val="0"/>
        <w:jc w:val="center"/>
        <w:rPr>
          <w:rFonts w:eastAsia="Times New Roman" w:cs="Arial"/>
          <w:color w:val="000000"/>
          <w:szCs w:val="20"/>
          <w:lang w:eastAsia="en-AU"/>
        </w:rPr>
      </w:pPr>
      <w:r w:rsidRPr="003F16DF">
        <w:rPr>
          <w:rFonts w:eastAsia="Times New Roman" w:cs="Arial"/>
          <w:color w:val="000000"/>
          <w:szCs w:val="20"/>
          <w:lang w:eastAsia="en-AU"/>
        </w:rPr>
        <w:t>No. of Assessments 201</w:t>
      </w:r>
      <w:r w:rsidR="00D7096B">
        <w:rPr>
          <w:rFonts w:eastAsia="Times New Roman" w:cs="Arial"/>
          <w:color w:val="000000"/>
          <w:szCs w:val="20"/>
          <w:lang w:eastAsia="en-AU"/>
        </w:rPr>
        <w:t>9</w:t>
      </w:r>
      <w:r w:rsidRPr="003F16DF">
        <w:rPr>
          <w:rFonts w:eastAsia="Times New Roman" w:cs="Arial"/>
          <w:color w:val="000000"/>
          <w:szCs w:val="20"/>
          <w:lang w:eastAsia="en-AU"/>
        </w:rPr>
        <w:t>/</w:t>
      </w:r>
      <w:r w:rsidR="00D7096B">
        <w:rPr>
          <w:rFonts w:eastAsia="Times New Roman" w:cs="Arial"/>
          <w:color w:val="000000"/>
          <w:szCs w:val="20"/>
          <w:lang w:eastAsia="en-AU"/>
        </w:rPr>
        <w:t>20</w:t>
      </w:r>
    </w:p>
    <w:p w:rsidR="003F16DF" w:rsidRPr="003F16DF"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Base Average Rate x 2.</w:t>
      </w:r>
      <w:r w:rsidR="00D7096B">
        <w:rPr>
          <w:rFonts w:eastAsia="Times New Roman" w:cs="Arial"/>
          <w:color w:val="000000"/>
          <w:szCs w:val="20"/>
          <w:lang w:eastAsia="en-AU"/>
        </w:rPr>
        <w:t>0</w:t>
      </w:r>
      <w:r w:rsidRPr="003F16DF">
        <w:rPr>
          <w:rFonts w:eastAsia="Times New Roman" w:cs="Arial"/>
          <w:color w:val="000000"/>
          <w:szCs w:val="20"/>
          <w:lang w:eastAsia="en-AU"/>
        </w:rPr>
        <w:t>%</w:t>
      </w:r>
    </w:p>
    <w:p w:rsidR="003F16DF" w:rsidRPr="00362693"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maximum allowable Capped Average Rate</w:t>
      </w:r>
    </w:p>
    <w:p w:rsidR="003F16DF" w:rsidRPr="00362693" w:rsidRDefault="003F16DF" w:rsidP="003F16DF">
      <w:pPr>
        <w:jc w:val="both"/>
        <w:rPr>
          <w:rFonts w:eastAsia="Times New Roman" w:cs="Arial"/>
        </w:rPr>
      </w:pPr>
    </w:p>
    <w:p w:rsidR="003F16DF" w:rsidRPr="00362693" w:rsidRDefault="003F16DF" w:rsidP="003F16DF">
      <w:pPr>
        <w:jc w:val="both"/>
        <w:rPr>
          <w:rFonts w:eastAsia="Times New Roman" w:cs="Arial"/>
        </w:rPr>
      </w:pPr>
      <w:r w:rsidRPr="00362693">
        <w:rPr>
          <w:rFonts w:eastAsia="Times New Roman" w:cs="Arial"/>
        </w:rPr>
        <w:t>The level of required rates and charges has been considered in this context, with reference to Council's other sources of income and the planned expenditure on services and works to be undertaken for the Maroondah community.</w:t>
      </w:r>
    </w:p>
    <w:p w:rsidR="003F16DF" w:rsidRPr="00362693" w:rsidRDefault="003F16DF" w:rsidP="003F16DF">
      <w:pPr>
        <w:jc w:val="both"/>
        <w:rPr>
          <w:rFonts w:eastAsia="Times New Roman" w:cs="Arial"/>
        </w:rPr>
      </w:pPr>
    </w:p>
    <w:p w:rsidR="003F16DF" w:rsidRPr="00082F1B" w:rsidRDefault="003F16DF" w:rsidP="003F16DF">
      <w:pPr>
        <w:jc w:val="both"/>
        <w:rPr>
          <w:rFonts w:eastAsia="Times New Roman" w:cs="Arial"/>
          <w:color w:val="FF0000"/>
          <w:lang w:eastAsia="en-AU"/>
        </w:rPr>
      </w:pPr>
      <w:r w:rsidRPr="00362693">
        <w:rPr>
          <w:rFonts w:eastAsia="Times New Roman" w:cs="Arial"/>
          <w:lang w:eastAsia="en-AU"/>
        </w:rPr>
        <w:t>In order to achieve the levels set out in the Strategic Resources Plan which maintains services and service levels and a strong capital expenditure program, the average general property rate will increase by 2.</w:t>
      </w:r>
      <w:r w:rsidR="00082F1B">
        <w:rPr>
          <w:rFonts w:eastAsia="Times New Roman" w:cs="Arial"/>
          <w:lang w:eastAsia="en-AU"/>
        </w:rPr>
        <w:t>0</w:t>
      </w:r>
      <w:r w:rsidRPr="00362693">
        <w:rPr>
          <w:rFonts w:eastAsia="Times New Roman" w:cs="Arial"/>
          <w:lang w:eastAsia="en-AU"/>
        </w:rPr>
        <w:t xml:space="preserve">% in line with the rate cap formulae and </w:t>
      </w:r>
      <w:r w:rsidRPr="007308C5">
        <w:rPr>
          <w:rFonts w:eastAsia="Times New Roman" w:cs="Arial"/>
          <w:lang w:eastAsia="en-AU"/>
        </w:rPr>
        <w:t xml:space="preserve">the waste collection charges </w:t>
      </w:r>
      <w:r w:rsidRPr="00C05990">
        <w:rPr>
          <w:rFonts w:eastAsia="Times New Roman" w:cs="Arial"/>
          <w:lang w:eastAsia="en-AU"/>
        </w:rPr>
        <w:t>will</w:t>
      </w:r>
      <w:r w:rsidR="00082F1B">
        <w:rPr>
          <w:rFonts w:eastAsia="Times New Roman" w:cs="Arial"/>
          <w:lang w:eastAsia="en-AU"/>
        </w:rPr>
        <w:t xml:space="preserve"> </w:t>
      </w:r>
      <w:r w:rsidR="00082F1B" w:rsidRPr="0030302B">
        <w:rPr>
          <w:rFonts w:eastAsia="Times New Roman" w:cs="Arial"/>
          <w:lang w:eastAsia="en-AU"/>
        </w:rPr>
        <w:t xml:space="preserve">increase by </w:t>
      </w:r>
      <w:r w:rsidR="00B5777F" w:rsidRPr="0030302B">
        <w:rPr>
          <w:rFonts w:eastAsia="Times New Roman" w:cs="Arial"/>
          <w:lang w:eastAsia="en-AU"/>
        </w:rPr>
        <w:t>6.4</w:t>
      </w:r>
      <w:r w:rsidR="00082F1B" w:rsidRPr="0030302B">
        <w:rPr>
          <w:rFonts w:eastAsia="Times New Roman" w:cs="Arial"/>
          <w:lang w:eastAsia="en-AU"/>
        </w:rPr>
        <w:t>%</w:t>
      </w:r>
      <w:r w:rsidRPr="0030302B">
        <w:rPr>
          <w:rFonts w:eastAsia="Times New Roman" w:cs="Arial"/>
          <w:lang w:eastAsia="en-AU"/>
        </w:rPr>
        <w:t>. This will raise total rates and charges for 20</w:t>
      </w:r>
      <w:r w:rsidR="00215629" w:rsidRPr="0030302B">
        <w:rPr>
          <w:rFonts w:eastAsia="Times New Roman" w:cs="Arial"/>
          <w:lang w:eastAsia="en-AU"/>
        </w:rPr>
        <w:t>20</w:t>
      </w:r>
      <w:r w:rsidRPr="0030302B">
        <w:rPr>
          <w:rFonts w:eastAsia="Times New Roman" w:cs="Arial"/>
          <w:lang w:eastAsia="en-AU"/>
        </w:rPr>
        <w:t>/</w:t>
      </w:r>
      <w:r w:rsidR="00DC6F0B" w:rsidRPr="0030302B">
        <w:rPr>
          <w:rFonts w:eastAsia="Times New Roman" w:cs="Arial"/>
          <w:lang w:eastAsia="en-AU"/>
        </w:rPr>
        <w:t>2</w:t>
      </w:r>
      <w:r w:rsidR="00215629" w:rsidRPr="0030302B">
        <w:rPr>
          <w:rFonts w:eastAsia="Times New Roman" w:cs="Arial"/>
          <w:lang w:eastAsia="en-AU"/>
        </w:rPr>
        <w:t>1</w:t>
      </w:r>
      <w:r w:rsidRPr="0030302B">
        <w:rPr>
          <w:rFonts w:eastAsia="Times New Roman" w:cs="Arial"/>
          <w:lang w:eastAsia="en-AU"/>
        </w:rPr>
        <w:t xml:space="preserve"> of $</w:t>
      </w:r>
      <w:r w:rsidR="00652603" w:rsidRPr="0030302B">
        <w:rPr>
          <w:rFonts w:eastAsia="Times New Roman" w:cs="Arial"/>
          <w:lang w:eastAsia="en-AU"/>
        </w:rPr>
        <w:t>96.2</w:t>
      </w:r>
      <w:r w:rsidR="00B5777F" w:rsidRPr="0030302B">
        <w:rPr>
          <w:rFonts w:eastAsia="Times New Roman" w:cs="Arial"/>
          <w:lang w:eastAsia="en-AU"/>
        </w:rPr>
        <w:t>4</w:t>
      </w:r>
      <w:r w:rsidRPr="0030302B">
        <w:rPr>
          <w:rFonts w:eastAsia="Times New Roman" w:cs="Arial"/>
          <w:lang w:eastAsia="en-AU"/>
        </w:rPr>
        <w:t xml:space="preserve"> million, which includes $0.</w:t>
      </w:r>
      <w:r w:rsidR="00254341" w:rsidRPr="0030302B">
        <w:rPr>
          <w:rFonts w:eastAsia="Times New Roman" w:cs="Arial"/>
          <w:lang w:eastAsia="en-AU"/>
        </w:rPr>
        <w:t>67</w:t>
      </w:r>
      <w:r w:rsidRPr="0030302B">
        <w:rPr>
          <w:rFonts w:eastAsia="Times New Roman" w:cs="Arial"/>
          <w:lang w:eastAsia="en-AU"/>
        </w:rPr>
        <w:t xml:space="preserve"> </w:t>
      </w:r>
      <w:r w:rsidRPr="00215629">
        <w:rPr>
          <w:rFonts w:eastAsia="Times New Roman" w:cs="Arial"/>
          <w:lang w:eastAsia="en-AU"/>
        </w:rPr>
        <w:t xml:space="preserve">million generated from supplementary rates. </w:t>
      </w:r>
    </w:p>
    <w:p w:rsidR="00DF43D4" w:rsidRPr="00082F1B" w:rsidRDefault="00DF43D4" w:rsidP="0029462D">
      <w:pPr>
        <w:spacing w:after="200" w:line="276" w:lineRule="auto"/>
        <w:contextualSpacing/>
        <w:rPr>
          <w:rFonts w:cs="Arial"/>
          <w:bCs/>
          <w:color w:val="FF0000"/>
          <w:lang w:eastAsia="en-AU"/>
        </w:rPr>
      </w:pPr>
    </w:p>
    <w:p w:rsidR="00C535FE" w:rsidRDefault="00C535FE">
      <w:pPr>
        <w:rPr>
          <w:rFonts w:cs="Arial"/>
          <w:lang w:eastAsia="en-AU"/>
        </w:rPr>
      </w:pPr>
      <w:r>
        <w:rPr>
          <w:rFonts w:cs="Arial"/>
          <w:lang w:eastAsia="en-AU"/>
        </w:rPr>
        <w:br w:type="page"/>
      </w:r>
    </w:p>
    <w:p w:rsidR="00F25D0E" w:rsidRDefault="00DE2121" w:rsidP="00F25D0E">
      <w:pPr>
        <w:jc w:val="both"/>
        <w:rPr>
          <w:rFonts w:eastAsia="Times New Roman" w:cs="Arial"/>
          <w:lang w:eastAsia="en-AU"/>
        </w:rPr>
      </w:pPr>
      <w:r w:rsidRPr="007E3A0B">
        <w:rPr>
          <w:rFonts w:eastAsia="Times New Roman" w:cs="Arial"/>
          <w:lang w:eastAsia="en-AU"/>
        </w:rPr>
        <w:lastRenderedPageBreak/>
        <w:t>6</w:t>
      </w:r>
      <w:r w:rsidR="00F25D0E" w:rsidRPr="007E3A0B">
        <w:rPr>
          <w:rFonts w:eastAsia="Times New Roman" w:cs="Arial"/>
          <w:lang w:eastAsia="en-AU"/>
        </w:rPr>
        <w:t>.1.1(a) The reconciliation of the total rates and charges to the Comprehensive Income Statement is as follows:</w:t>
      </w:r>
    </w:p>
    <w:p w:rsidR="00BE3420" w:rsidRDefault="00BE3420" w:rsidP="00F25D0E">
      <w:pPr>
        <w:jc w:val="both"/>
        <w:rPr>
          <w:rFonts w:eastAsia="Times New Roman" w:cs="Arial"/>
          <w:lang w:eastAsia="en-AU"/>
        </w:rPr>
      </w:pPr>
    </w:p>
    <w:tbl>
      <w:tblPr>
        <w:tblW w:w="5000" w:type="pct"/>
        <w:tblLook w:val="04A0" w:firstRow="1" w:lastRow="0" w:firstColumn="1" w:lastColumn="0" w:noHBand="0" w:noVBand="1"/>
      </w:tblPr>
      <w:tblGrid>
        <w:gridCol w:w="3265"/>
        <w:gridCol w:w="1615"/>
        <w:gridCol w:w="1615"/>
        <w:gridCol w:w="1615"/>
        <w:gridCol w:w="917"/>
      </w:tblGrid>
      <w:tr w:rsidR="00FE7E4D" w:rsidRPr="00FE7E4D" w:rsidTr="003E6EF8">
        <w:trPr>
          <w:trHeight w:val="520"/>
        </w:trPr>
        <w:tc>
          <w:tcPr>
            <w:tcW w:w="1815"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 </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Forecast Actual 2019/20</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Budget                       2020/21</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Change</w:t>
            </w:r>
          </w:p>
        </w:tc>
        <w:tc>
          <w:tcPr>
            <w:tcW w:w="477"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w:t>
            </w:r>
          </w:p>
        </w:tc>
      </w:tr>
      <w:tr w:rsidR="00FE7E4D" w:rsidRPr="00FE7E4D" w:rsidTr="003E6EF8">
        <w:trPr>
          <w:trHeight w:val="520"/>
        </w:trPr>
        <w:tc>
          <w:tcPr>
            <w:tcW w:w="1815"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 </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$’000</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$’000</w:t>
            </w:r>
          </w:p>
        </w:tc>
        <w:tc>
          <w:tcPr>
            <w:tcW w:w="902"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$’000</w:t>
            </w:r>
          </w:p>
        </w:tc>
        <w:tc>
          <w:tcPr>
            <w:tcW w:w="477" w:type="pct"/>
            <w:tcBorders>
              <w:top w:val="nil"/>
              <w:left w:val="nil"/>
              <w:bottom w:val="nil"/>
              <w:right w:val="nil"/>
            </w:tcBorders>
            <w:shd w:val="clear" w:color="000000" w:fill="629DD1"/>
            <w:vAlign w:val="center"/>
            <w:hideMark/>
          </w:tcPr>
          <w:p w:rsidR="003E6EF8" w:rsidRPr="00FE7E4D" w:rsidRDefault="003E6EF8" w:rsidP="003E6EF8">
            <w:pPr>
              <w:jc w:val="center"/>
              <w:rPr>
                <w:rFonts w:eastAsia="Times New Roman" w:cs="Arial"/>
                <w:b/>
                <w:bCs/>
                <w:sz w:val="20"/>
                <w:szCs w:val="20"/>
                <w:lang w:eastAsia="en-AU"/>
              </w:rPr>
            </w:pPr>
            <w:r w:rsidRPr="00FE7E4D">
              <w:rPr>
                <w:rFonts w:eastAsia="Times New Roman" w:cs="Arial"/>
                <w:b/>
                <w:bCs/>
                <w:sz w:val="20"/>
                <w:szCs w:val="20"/>
                <w:lang w:eastAsia="en-AU"/>
              </w:rPr>
              <w:t> </w:t>
            </w:r>
          </w:p>
        </w:tc>
      </w:tr>
      <w:tr w:rsidR="00FE7E4D" w:rsidRPr="00FE7E4D" w:rsidTr="00745256">
        <w:trPr>
          <w:trHeight w:val="290"/>
        </w:trPr>
        <w:tc>
          <w:tcPr>
            <w:tcW w:w="1815" w:type="pct"/>
            <w:tcBorders>
              <w:top w:val="nil"/>
              <w:left w:val="nil"/>
              <w:bottom w:val="nil"/>
              <w:right w:val="nil"/>
            </w:tcBorders>
            <w:shd w:val="clear" w:color="auto" w:fill="auto"/>
            <w:vAlign w:val="center"/>
            <w:hideMark/>
          </w:tcPr>
          <w:p w:rsidR="003E6EF8" w:rsidRPr="00FE7E4D" w:rsidRDefault="003E6EF8" w:rsidP="003E6EF8">
            <w:pPr>
              <w:jc w:val="both"/>
              <w:rPr>
                <w:rFonts w:eastAsia="Times New Roman" w:cs="Arial"/>
                <w:sz w:val="20"/>
                <w:szCs w:val="20"/>
                <w:lang w:eastAsia="en-AU"/>
              </w:rPr>
            </w:pPr>
            <w:r w:rsidRPr="00FE7E4D">
              <w:rPr>
                <w:rFonts w:eastAsia="Times New Roman" w:cs="Arial"/>
                <w:sz w:val="20"/>
                <w:szCs w:val="20"/>
                <w:lang w:eastAsia="en-AU"/>
              </w:rPr>
              <w:t>General rates*</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76,886 </w:t>
            </w:r>
          </w:p>
        </w:tc>
        <w:tc>
          <w:tcPr>
            <w:tcW w:w="902" w:type="pct"/>
            <w:tcBorders>
              <w:top w:val="nil"/>
              <w:left w:val="nil"/>
              <w:bottom w:val="nil"/>
              <w:right w:val="nil"/>
            </w:tcBorders>
            <w:shd w:val="clear" w:color="000000" w:fill="DDEBF7"/>
            <w:vAlign w:val="center"/>
            <w:hideMark/>
          </w:tcPr>
          <w:p w:rsidR="003E6EF8" w:rsidRPr="00FE7E4D" w:rsidRDefault="003E6EF8" w:rsidP="003E6EF8">
            <w:pPr>
              <w:jc w:val="right"/>
              <w:rPr>
                <w:rFonts w:eastAsia="Times New Roman" w:cs="Arial"/>
                <w:b/>
                <w:bCs/>
                <w:sz w:val="20"/>
                <w:szCs w:val="20"/>
                <w:lang w:eastAsia="en-AU"/>
              </w:rPr>
            </w:pPr>
            <w:r w:rsidRPr="00FE7E4D">
              <w:rPr>
                <w:rFonts w:eastAsia="Times New Roman" w:cs="Arial"/>
                <w:b/>
                <w:bCs/>
                <w:sz w:val="20"/>
                <w:szCs w:val="20"/>
                <w:lang w:eastAsia="en-AU"/>
              </w:rPr>
              <w:t xml:space="preserve">                      79,397 </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2,511 </w:t>
            </w:r>
          </w:p>
        </w:tc>
        <w:tc>
          <w:tcPr>
            <w:tcW w:w="477"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3.3%</w:t>
            </w:r>
          </w:p>
        </w:tc>
      </w:tr>
      <w:tr w:rsidR="00FE7E4D" w:rsidRPr="00FE7E4D" w:rsidTr="00745256">
        <w:trPr>
          <w:trHeight w:val="290"/>
        </w:trPr>
        <w:tc>
          <w:tcPr>
            <w:tcW w:w="1815" w:type="pct"/>
            <w:tcBorders>
              <w:top w:val="nil"/>
              <w:left w:val="nil"/>
              <w:bottom w:val="nil"/>
              <w:right w:val="nil"/>
            </w:tcBorders>
            <w:shd w:val="clear" w:color="auto" w:fill="auto"/>
            <w:vAlign w:val="center"/>
            <w:hideMark/>
          </w:tcPr>
          <w:p w:rsidR="003E6EF8" w:rsidRPr="00FE7E4D" w:rsidRDefault="003E6EF8" w:rsidP="003E6EF8">
            <w:pPr>
              <w:jc w:val="both"/>
              <w:rPr>
                <w:rFonts w:eastAsia="Times New Roman" w:cs="Arial"/>
                <w:sz w:val="20"/>
                <w:szCs w:val="20"/>
                <w:lang w:eastAsia="en-AU"/>
              </w:rPr>
            </w:pPr>
            <w:r w:rsidRPr="00FE7E4D">
              <w:rPr>
                <w:rFonts w:eastAsia="Times New Roman" w:cs="Arial"/>
                <w:sz w:val="20"/>
                <w:szCs w:val="20"/>
                <w:lang w:eastAsia="en-AU"/>
              </w:rPr>
              <w:t>Waste management charge</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14,835 </w:t>
            </w:r>
          </w:p>
        </w:tc>
        <w:tc>
          <w:tcPr>
            <w:tcW w:w="902" w:type="pct"/>
            <w:tcBorders>
              <w:top w:val="nil"/>
              <w:left w:val="nil"/>
              <w:bottom w:val="nil"/>
              <w:right w:val="nil"/>
            </w:tcBorders>
            <w:shd w:val="clear" w:color="000000" w:fill="DDEBF7"/>
            <w:vAlign w:val="center"/>
            <w:hideMark/>
          </w:tcPr>
          <w:p w:rsidR="003E6EF8" w:rsidRPr="00FE7E4D" w:rsidRDefault="003E6EF8" w:rsidP="003E6EF8">
            <w:pPr>
              <w:jc w:val="right"/>
              <w:rPr>
                <w:rFonts w:eastAsia="Times New Roman" w:cs="Arial"/>
                <w:b/>
                <w:bCs/>
                <w:sz w:val="20"/>
                <w:szCs w:val="20"/>
                <w:lang w:eastAsia="en-AU"/>
              </w:rPr>
            </w:pPr>
            <w:r w:rsidRPr="00FE7E4D">
              <w:rPr>
                <w:rFonts w:eastAsia="Times New Roman" w:cs="Arial"/>
                <w:b/>
                <w:bCs/>
                <w:sz w:val="20"/>
                <w:szCs w:val="20"/>
                <w:lang w:eastAsia="en-AU"/>
              </w:rPr>
              <w:t xml:space="preserve">                      15,782 </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947 </w:t>
            </w:r>
          </w:p>
        </w:tc>
        <w:tc>
          <w:tcPr>
            <w:tcW w:w="477"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6.4%</w:t>
            </w:r>
          </w:p>
        </w:tc>
      </w:tr>
      <w:tr w:rsidR="00FE7E4D" w:rsidRPr="00FE7E4D" w:rsidTr="00745256">
        <w:trPr>
          <w:trHeight w:val="290"/>
        </w:trPr>
        <w:tc>
          <w:tcPr>
            <w:tcW w:w="1815" w:type="pct"/>
            <w:tcBorders>
              <w:top w:val="nil"/>
              <w:left w:val="nil"/>
              <w:bottom w:val="nil"/>
              <w:right w:val="nil"/>
            </w:tcBorders>
            <w:shd w:val="clear" w:color="auto" w:fill="auto"/>
            <w:vAlign w:val="center"/>
            <w:hideMark/>
          </w:tcPr>
          <w:p w:rsidR="003E6EF8" w:rsidRPr="00FE7E4D" w:rsidRDefault="003E6EF8" w:rsidP="003E6EF8">
            <w:pPr>
              <w:jc w:val="both"/>
              <w:rPr>
                <w:rFonts w:eastAsia="Times New Roman" w:cs="Arial"/>
                <w:sz w:val="20"/>
                <w:szCs w:val="20"/>
                <w:lang w:eastAsia="en-AU"/>
              </w:rPr>
            </w:pPr>
            <w:r w:rsidRPr="00FE7E4D">
              <w:rPr>
                <w:rFonts w:eastAsia="Times New Roman" w:cs="Arial"/>
                <w:sz w:val="20"/>
                <w:szCs w:val="20"/>
                <w:lang w:eastAsia="en-AU"/>
              </w:rPr>
              <w:t>Special rates and charges</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152 </w:t>
            </w:r>
          </w:p>
        </w:tc>
        <w:tc>
          <w:tcPr>
            <w:tcW w:w="902" w:type="pct"/>
            <w:tcBorders>
              <w:top w:val="nil"/>
              <w:left w:val="nil"/>
              <w:bottom w:val="nil"/>
              <w:right w:val="nil"/>
            </w:tcBorders>
            <w:shd w:val="clear" w:color="000000" w:fill="DDEBF7"/>
            <w:vAlign w:val="center"/>
            <w:hideMark/>
          </w:tcPr>
          <w:p w:rsidR="003E6EF8" w:rsidRPr="00FE7E4D" w:rsidRDefault="003E6EF8" w:rsidP="003E6EF8">
            <w:pPr>
              <w:jc w:val="right"/>
              <w:rPr>
                <w:rFonts w:eastAsia="Times New Roman" w:cs="Arial"/>
                <w:b/>
                <w:bCs/>
                <w:sz w:val="20"/>
                <w:szCs w:val="20"/>
                <w:lang w:eastAsia="en-AU"/>
              </w:rPr>
            </w:pPr>
            <w:r w:rsidRPr="00FE7E4D">
              <w:rPr>
                <w:rFonts w:eastAsia="Times New Roman" w:cs="Arial"/>
                <w:b/>
                <w:bCs/>
                <w:sz w:val="20"/>
                <w:szCs w:val="20"/>
                <w:lang w:eastAsia="en-AU"/>
              </w:rPr>
              <w:t xml:space="preserve">                          121 </w:t>
            </w:r>
          </w:p>
        </w:tc>
        <w:tc>
          <w:tcPr>
            <w:tcW w:w="902"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(31)</w:t>
            </w:r>
          </w:p>
        </w:tc>
        <w:tc>
          <w:tcPr>
            <w:tcW w:w="477"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(20.4%)</w:t>
            </w:r>
          </w:p>
        </w:tc>
      </w:tr>
      <w:tr w:rsidR="00FE7E4D" w:rsidRPr="00FE7E4D" w:rsidTr="00745256">
        <w:trPr>
          <w:trHeight w:val="500"/>
        </w:trPr>
        <w:tc>
          <w:tcPr>
            <w:tcW w:w="1815" w:type="pct"/>
            <w:tcBorders>
              <w:top w:val="nil"/>
              <w:left w:val="nil"/>
              <w:bottom w:val="nil"/>
              <w:right w:val="nil"/>
            </w:tcBorders>
            <w:shd w:val="clear" w:color="auto" w:fill="auto"/>
            <w:vAlign w:val="center"/>
            <w:hideMark/>
          </w:tcPr>
          <w:p w:rsidR="003E6EF8" w:rsidRPr="00FE7E4D" w:rsidRDefault="003E6EF8" w:rsidP="003E6EF8">
            <w:pPr>
              <w:jc w:val="both"/>
              <w:rPr>
                <w:rFonts w:eastAsia="Times New Roman" w:cs="Arial"/>
                <w:sz w:val="20"/>
                <w:szCs w:val="20"/>
                <w:lang w:eastAsia="en-AU"/>
              </w:rPr>
            </w:pPr>
            <w:r w:rsidRPr="00FE7E4D">
              <w:rPr>
                <w:rFonts w:eastAsia="Times New Roman" w:cs="Arial"/>
                <w:sz w:val="20"/>
                <w:szCs w:val="20"/>
                <w:lang w:eastAsia="en-AU"/>
              </w:rPr>
              <w:t>Supplementary rates and rate adjustments</w:t>
            </w:r>
          </w:p>
        </w:tc>
        <w:tc>
          <w:tcPr>
            <w:tcW w:w="902" w:type="pct"/>
            <w:tcBorders>
              <w:top w:val="nil"/>
              <w:left w:val="nil"/>
              <w:bottom w:val="nil"/>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702 </w:t>
            </w:r>
          </w:p>
        </w:tc>
        <w:tc>
          <w:tcPr>
            <w:tcW w:w="902" w:type="pct"/>
            <w:tcBorders>
              <w:top w:val="nil"/>
              <w:left w:val="nil"/>
              <w:bottom w:val="nil"/>
              <w:right w:val="nil"/>
            </w:tcBorders>
            <w:shd w:val="clear" w:color="000000" w:fill="DDEBF7"/>
            <w:vAlign w:val="center"/>
            <w:hideMark/>
          </w:tcPr>
          <w:p w:rsidR="003E6EF8" w:rsidRPr="00FE7E4D" w:rsidRDefault="003E6EF8" w:rsidP="003E6EF8">
            <w:pPr>
              <w:jc w:val="right"/>
              <w:rPr>
                <w:rFonts w:eastAsia="Times New Roman" w:cs="Arial"/>
                <w:b/>
                <w:bCs/>
                <w:sz w:val="20"/>
                <w:szCs w:val="20"/>
                <w:lang w:eastAsia="en-AU"/>
              </w:rPr>
            </w:pPr>
            <w:r w:rsidRPr="00FE7E4D">
              <w:rPr>
                <w:rFonts w:eastAsia="Times New Roman" w:cs="Arial"/>
                <w:b/>
                <w:bCs/>
                <w:sz w:val="20"/>
                <w:szCs w:val="20"/>
                <w:lang w:eastAsia="en-AU"/>
              </w:rPr>
              <w:t xml:space="preserve">                          670 </w:t>
            </w:r>
          </w:p>
        </w:tc>
        <w:tc>
          <w:tcPr>
            <w:tcW w:w="902"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(32)</w:t>
            </w:r>
          </w:p>
        </w:tc>
        <w:tc>
          <w:tcPr>
            <w:tcW w:w="477"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(4.6%)</w:t>
            </w:r>
          </w:p>
        </w:tc>
      </w:tr>
      <w:tr w:rsidR="00FE7E4D" w:rsidRPr="00FE7E4D" w:rsidTr="00745256">
        <w:trPr>
          <w:trHeight w:val="315"/>
        </w:trPr>
        <w:tc>
          <w:tcPr>
            <w:tcW w:w="1815" w:type="pct"/>
            <w:tcBorders>
              <w:top w:val="nil"/>
              <w:left w:val="nil"/>
              <w:bottom w:val="nil"/>
              <w:right w:val="nil"/>
            </w:tcBorders>
            <w:shd w:val="clear" w:color="auto" w:fill="auto"/>
            <w:vAlign w:val="center"/>
            <w:hideMark/>
          </w:tcPr>
          <w:p w:rsidR="003E6EF8" w:rsidRPr="00FE7E4D" w:rsidRDefault="003E6EF8" w:rsidP="003E6EF8">
            <w:pPr>
              <w:jc w:val="both"/>
              <w:rPr>
                <w:rFonts w:eastAsia="Times New Roman" w:cs="Arial"/>
                <w:sz w:val="20"/>
                <w:szCs w:val="20"/>
                <w:lang w:eastAsia="en-AU"/>
              </w:rPr>
            </w:pPr>
            <w:r w:rsidRPr="00FE7E4D">
              <w:rPr>
                <w:rFonts w:eastAsia="Times New Roman" w:cs="Arial"/>
                <w:sz w:val="20"/>
                <w:szCs w:val="20"/>
                <w:lang w:eastAsia="en-AU"/>
              </w:rPr>
              <w:t>Interest on rates and charges</w:t>
            </w:r>
          </w:p>
        </w:tc>
        <w:tc>
          <w:tcPr>
            <w:tcW w:w="902" w:type="pct"/>
            <w:tcBorders>
              <w:top w:val="nil"/>
              <w:left w:val="nil"/>
              <w:bottom w:val="single" w:sz="8" w:space="0" w:color="auto"/>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175 </w:t>
            </w:r>
          </w:p>
        </w:tc>
        <w:tc>
          <w:tcPr>
            <w:tcW w:w="902" w:type="pct"/>
            <w:tcBorders>
              <w:top w:val="nil"/>
              <w:left w:val="nil"/>
              <w:bottom w:val="single" w:sz="8" w:space="0" w:color="auto"/>
              <w:right w:val="nil"/>
            </w:tcBorders>
            <w:shd w:val="clear" w:color="000000" w:fill="DDEBF7"/>
            <w:vAlign w:val="center"/>
            <w:hideMark/>
          </w:tcPr>
          <w:p w:rsidR="003E6EF8" w:rsidRPr="00FE7E4D" w:rsidRDefault="003E6EF8" w:rsidP="003E6EF8">
            <w:pPr>
              <w:jc w:val="right"/>
              <w:rPr>
                <w:rFonts w:eastAsia="Times New Roman" w:cs="Arial"/>
                <w:b/>
                <w:bCs/>
                <w:sz w:val="20"/>
                <w:szCs w:val="20"/>
                <w:lang w:eastAsia="en-AU"/>
              </w:rPr>
            </w:pPr>
            <w:r w:rsidRPr="00FE7E4D">
              <w:rPr>
                <w:rFonts w:eastAsia="Times New Roman" w:cs="Arial"/>
                <w:b/>
                <w:bCs/>
                <w:sz w:val="20"/>
                <w:szCs w:val="20"/>
                <w:lang w:eastAsia="en-AU"/>
              </w:rPr>
              <w:t xml:space="preserve">                          271 </w:t>
            </w:r>
          </w:p>
        </w:tc>
        <w:tc>
          <w:tcPr>
            <w:tcW w:w="902" w:type="pct"/>
            <w:tcBorders>
              <w:top w:val="nil"/>
              <w:left w:val="nil"/>
              <w:bottom w:val="single" w:sz="8" w:space="0" w:color="auto"/>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95 </w:t>
            </w:r>
          </w:p>
        </w:tc>
        <w:tc>
          <w:tcPr>
            <w:tcW w:w="477" w:type="pct"/>
            <w:tcBorders>
              <w:top w:val="nil"/>
              <w:left w:val="nil"/>
              <w:bottom w:val="nil"/>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54.3%</w:t>
            </w:r>
          </w:p>
        </w:tc>
      </w:tr>
      <w:tr w:rsidR="00FE7E4D" w:rsidRPr="00FE7E4D" w:rsidTr="00745256">
        <w:trPr>
          <w:trHeight w:val="300"/>
        </w:trPr>
        <w:tc>
          <w:tcPr>
            <w:tcW w:w="1815" w:type="pct"/>
            <w:tcBorders>
              <w:top w:val="nil"/>
              <w:left w:val="nil"/>
              <w:bottom w:val="single" w:sz="8" w:space="0" w:color="auto"/>
              <w:right w:val="nil"/>
            </w:tcBorders>
            <w:shd w:val="clear" w:color="auto" w:fill="auto"/>
            <w:vAlign w:val="center"/>
            <w:hideMark/>
          </w:tcPr>
          <w:p w:rsidR="003E6EF8" w:rsidRPr="00FE7E4D" w:rsidRDefault="003E6EF8" w:rsidP="003E6EF8">
            <w:pPr>
              <w:jc w:val="both"/>
              <w:rPr>
                <w:rFonts w:eastAsia="Times New Roman" w:cs="Arial"/>
                <w:b/>
                <w:bCs/>
                <w:sz w:val="20"/>
                <w:szCs w:val="20"/>
                <w:lang w:eastAsia="en-AU"/>
              </w:rPr>
            </w:pPr>
            <w:r w:rsidRPr="00FE7E4D">
              <w:rPr>
                <w:rFonts w:eastAsia="Times New Roman" w:cs="Arial"/>
                <w:b/>
                <w:bCs/>
                <w:sz w:val="20"/>
                <w:szCs w:val="20"/>
                <w:lang w:eastAsia="en-AU"/>
              </w:rPr>
              <w:t>Total rates and charges</w:t>
            </w:r>
          </w:p>
        </w:tc>
        <w:tc>
          <w:tcPr>
            <w:tcW w:w="902" w:type="pct"/>
            <w:tcBorders>
              <w:top w:val="nil"/>
              <w:left w:val="nil"/>
              <w:bottom w:val="single" w:sz="8" w:space="0" w:color="auto"/>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92,750 </w:t>
            </w:r>
          </w:p>
        </w:tc>
        <w:tc>
          <w:tcPr>
            <w:tcW w:w="902" w:type="pct"/>
            <w:tcBorders>
              <w:top w:val="nil"/>
              <w:left w:val="nil"/>
              <w:bottom w:val="single" w:sz="8" w:space="0" w:color="auto"/>
              <w:right w:val="nil"/>
            </w:tcBorders>
            <w:shd w:val="clear" w:color="000000" w:fill="DDEBF7"/>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96,240 </w:t>
            </w:r>
          </w:p>
        </w:tc>
        <w:tc>
          <w:tcPr>
            <w:tcW w:w="902" w:type="pct"/>
            <w:tcBorders>
              <w:top w:val="nil"/>
              <w:left w:val="nil"/>
              <w:bottom w:val="single" w:sz="8" w:space="0" w:color="auto"/>
              <w:right w:val="nil"/>
            </w:tcBorders>
            <w:shd w:val="clear" w:color="auto" w:fill="auto"/>
            <w:vAlign w:val="center"/>
            <w:hideMark/>
          </w:tcPr>
          <w:p w:rsidR="003E6EF8" w:rsidRPr="00FE7E4D" w:rsidRDefault="003E6EF8" w:rsidP="003E6EF8">
            <w:pPr>
              <w:jc w:val="right"/>
              <w:rPr>
                <w:rFonts w:eastAsia="Times New Roman" w:cs="Arial"/>
                <w:sz w:val="20"/>
                <w:szCs w:val="20"/>
                <w:lang w:eastAsia="en-AU"/>
              </w:rPr>
            </w:pPr>
            <w:r w:rsidRPr="00FE7E4D">
              <w:rPr>
                <w:rFonts w:eastAsia="Times New Roman" w:cs="Arial"/>
                <w:sz w:val="20"/>
                <w:szCs w:val="20"/>
                <w:lang w:eastAsia="en-AU"/>
              </w:rPr>
              <w:t xml:space="preserve">                        3,490 </w:t>
            </w:r>
          </w:p>
        </w:tc>
        <w:tc>
          <w:tcPr>
            <w:tcW w:w="477" w:type="pct"/>
            <w:tcBorders>
              <w:top w:val="single" w:sz="8" w:space="0" w:color="auto"/>
              <w:left w:val="nil"/>
              <w:bottom w:val="single" w:sz="8" w:space="0" w:color="auto"/>
              <w:right w:val="nil"/>
            </w:tcBorders>
            <w:shd w:val="clear" w:color="auto" w:fill="auto"/>
            <w:vAlign w:val="bottom"/>
            <w:hideMark/>
          </w:tcPr>
          <w:p w:rsidR="003E6EF8" w:rsidRPr="00FE7E4D" w:rsidRDefault="003E6EF8" w:rsidP="00745256">
            <w:pPr>
              <w:jc w:val="right"/>
              <w:rPr>
                <w:rFonts w:eastAsia="Times New Roman" w:cs="Arial"/>
                <w:sz w:val="20"/>
                <w:szCs w:val="20"/>
                <w:lang w:eastAsia="en-AU"/>
              </w:rPr>
            </w:pPr>
            <w:r w:rsidRPr="00FE7E4D">
              <w:rPr>
                <w:rFonts w:eastAsia="Times New Roman" w:cs="Arial"/>
                <w:sz w:val="20"/>
                <w:szCs w:val="20"/>
                <w:lang w:eastAsia="en-AU"/>
              </w:rPr>
              <w:t>3.8%</w:t>
            </w:r>
          </w:p>
        </w:tc>
      </w:tr>
    </w:tbl>
    <w:p w:rsidR="00F25D0E" w:rsidRDefault="00F25D0E" w:rsidP="00F25D0E">
      <w:pPr>
        <w:jc w:val="both"/>
        <w:rPr>
          <w:rFonts w:eastAsia="Times New Roman" w:cs="Arial"/>
          <w:lang w:eastAsia="en-AU"/>
        </w:rPr>
      </w:pPr>
    </w:p>
    <w:p w:rsidR="00F25D0E" w:rsidRPr="00F25D0E" w:rsidRDefault="00F25D0E" w:rsidP="00F25D0E">
      <w:pPr>
        <w:jc w:val="both"/>
        <w:rPr>
          <w:rFonts w:eastAsia="Times New Roman" w:cs="Arial"/>
          <w:sz w:val="20"/>
          <w:szCs w:val="20"/>
          <w:lang w:eastAsia="en-AU"/>
        </w:rPr>
      </w:pPr>
      <w:r w:rsidRPr="00F25D0E">
        <w:rPr>
          <w:rFonts w:eastAsia="Times New Roman" w:cs="Arial"/>
          <w:sz w:val="20"/>
          <w:szCs w:val="20"/>
          <w:lang w:eastAsia="en-AU"/>
        </w:rPr>
        <w:t>*These items are subject to the rat</w:t>
      </w:r>
      <w:r>
        <w:rPr>
          <w:rFonts w:eastAsia="Times New Roman" w:cs="Arial"/>
          <w:sz w:val="20"/>
          <w:szCs w:val="20"/>
          <w:lang w:eastAsia="en-AU"/>
        </w:rPr>
        <w:t>e</w:t>
      </w:r>
      <w:r w:rsidRPr="00F25D0E">
        <w:rPr>
          <w:rFonts w:eastAsia="Times New Roman" w:cs="Arial"/>
          <w:sz w:val="20"/>
          <w:szCs w:val="20"/>
          <w:lang w:eastAsia="en-AU"/>
        </w:rPr>
        <w:t xml:space="preserve"> cap established under the FGRS</w:t>
      </w:r>
    </w:p>
    <w:p w:rsidR="00DF0C78" w:rsidRPr="0029462D" w:rsidRDefault="00DF0C78" w:rsidP="00DF0C78">
      <w:pPr>
        <w:jc w:val="both"/>
        <w:rPr>
          <w:rFonts w:eastAsia="Times New Roman" w:cs="Arial"/>
        </w:rPr>
      </w:pPr>
    </w:p>
    <w:p w:rsidR="00DF0C78" w:rsidRPr="0029462D" w:rsidRDefault="00DE2121" w:rsidP="00DF0C78">
      <w:pPr>
        <w:ind w:left="426" w:hanging="426"/>
        <w:jc w:val="both"/>
        <w:rPr>
          <w:rFonts w:eastAsia="Times New Roman" w:cs="Arial"/>
          <w:bCs/>
          <w:iCs/>
          <w:lang w:eastAsia="en-AU"/>
        </w:rPr>
      </w:pPr>
      <w:r w:rsidRPr="007E3A0B">
        <w:rPr>
          <w:rFonts w:eastAsia="Times New Roman" w:cs="Arial"/>
          <w:lang w:eastAsia="en-AU"/>
        </w:rPr>
        <w:t>6</w:t>
      </w:r>
      <w:r w:rsidR="00510D19" w:rsidRPr="007E3A0B">
        <w:rPr>
          <w:rFonts w:eastAsia="Times New Roman" w:cs="Arial"/>
          <w:lang w:eastAsia="en-AU"/>
        </w:rPr>
        <w:t>.1.1(b)</w:t>
      </w:r>
      <w:r w:rsidR="00DF0C78" w:rsidRPr="007E3A0B">
        <w:rPr>
          <w:rFonts w:eastAsia="Times New Roman" w:cs="Arial"/>
          <w:bCs/>
          <w:iCs/>
          <w:lang w:eastAsia="en-AU"/>
        </w:rPr>
        <w:t>The rate in the dollar to be levied as general rates under Section 158 of the Act for each type or class of land compared with the previous financial year</w:t>
      </w:r>
    </w:p>
    <w:tbl>
      <w:tblPr>
        <w:tblW w:w="5000" w:type="pct"/>
        <w:tblLook w:val="04A0" w:firstRow="1" w:lastRow="0" w:firstColumn="1" w:lastColumn="0" w:noHBand="0" w:noVBand="1"/>
      </w:tblPr>
      <w:tblGrid>
        <w:gridCol w:w="4440"/>
        <w:gridCol w:w="1529"/>
        <w:gridCol w:w="1529"/>
        <w:gridCol w:w="1529"/>
      </w:tblGrid>
      <w:tr w:rsidR="00805383" w:rsidRPr="00805383" w:rsidTr="00805383">
        <w:trPr>
          <w:trHeight w:val="290"/>
        </w:trPr>
        <w:tc>
          <w:tcPr>
            <w:tcW w:w="2459" w:type="pct"/>
            <w:vMerge w:val="restart"/>
            <w:tcBorders>
              <w:top w:val="nil"/>
              <w:left w:val="nil"/>
              <w:bottom w:val="nil"/>
              <w:right w:val="nil"/>
            </w:tcBorders>
            <w:shd w:val="clear" w:color="000000" w:fill="5B9BD5"/>
            <w:vAlign w:val="center"/>
            <w:hideMark/>
          </w:tcPr>
          <w:p w:rsidR="00805383" w:rsidRPr="00805383" w:rsidRDefault="00805383" w:rsidP="00805383">
            <w:pPr>
              <w:jc w:val="center"/>
              <w:rPr>
                <w:rFonts w:eastAsia="Times New Roman" w:cs="Arial"/>
                <w:b/>
                <w:bCs/>
                <w:color w:val="FFFFFF"/>
                <w:sz w:val="18"/>
                <w:szCs w:val="18"/>
                <w:lang w:eastAsia="en-AU"/>
              </w:rPr>
            </w:pPr>
            <w:r w:rsidRPr="00805383">
              <w:rPr>
                <w:rFonts w:eastAsia="Times New Roman" w:cs="Arial"/>
                <w:b/>
                <w:bCs/>
                <w:color w:val="FFFFFF"/>
                <w:sz w:val="18"/>
                <w:szCs w:val="18"/>
                <w:lang w:eastAsia="en-AU"/>
              </w:rPr>
              <w:t>Type or class of land</w:t>
            </w:r>
          </w:p>
        </w:tc>
        <w:tc>
          <w:tcPr>
            <w:tcW w:w="847" w:type="pct"/>
            <w:tcBorders>
              <w:top w:val="nil"/>
              <w:left w:val="nil"/>
              <w:bottom w:val="nil"/>
              <w:right w:val="nil"/>
            </w:tcBorders>
            <w:shd w:val="clear" w:color="000000" w:fill="5B9BD5"/>
            <w:vAlign w:val="center"/>
            <w:hideMark/>
          </w:tcPr>
          <w:p w:rsidR="00805383" w:rsidRPr="00805383" w:rsidRDefault="00805383" w:rsidP="00805383">
            <w:pPr>
              <w:jc w:val="center"/>
              <w:rPr>
                <w:rFonts w:eastAsia="Times New Roman" w:cs="Arial"/>
                <w:b/>
                <w:bCs/>
                <w:color w:val="FFFFFF"/>
                <w:sz w:val="18"/>
                <w:szCs w:val="18"/>
                <w:lang w:eastAsia="en-AU"/>
              </w:rPr>
            </w:pPr>
            <w:r w:rsidRPr="00805383">
              <w:rPr>
                <w:rFonts w:eastAsia="Times New Roman" w:cs="Arial"/>
                <w:b/>
                <w:bCs/>
                <w:color w:val="FFFFFF"/>
                <w:sz w:val="18"/>
                <w:szCs w:val="18"/>
                <w:lang w:eastAsia="en-AU"/>
              </w:rPr>
              <w:t>2019/20</w:t>
            </w:r>
          </w:p>
        </w:tc>
        <w:tc>
          <w:tcPr>
            <w:tcW w:w="847" w:type="pct"/>
            <w:tcBorders>
              <w:top w:val="nil"/>
              <w:left w:val="nil"/>
              <w:bottom w:val="nil"/>
              <w:right w:val="nil"/>
            </w:tcBorders>
            <w:shd w:val="clear" w:color="000000" w:fill="5B9BD5"/>
            <w:vAlign w:val="center"/>
            <w:hideMark/>
          </w:tcPr>
          <w:p w:rsidR="00805383" w:rsidRPr="00805383" w:rsidRDefault="00805383" w:rsidP="00805383">
            <w:pPr>
              <w:jc w:val="center"/>
              <w:rPr>
                <w:rFonts w:eastAsia="Times New Roman" w:cs="Arial"/>
                <w:b/>
                <w:bCs/>
                <w:color w:val="FFFFFF"/>
                <w:sz w:val="18"/>
                <w:szCs w:val="18"/>
                <w:lang w:eastAsia="en-AU"/>
              </w:rPr>
            </w:pPr>
            <w:r w:rsidRPr="00805383">
              <w:rPr>
                <w:rFonts w:eastAsia="Times New Roman" w:cs="Arial"/>
                <w:b/>
                <w:bCs/>
                <w:color w:val="FFFFFF"/>
                <w:sz w:val="18"/>
                <w:szCs w:val="18"/>
                <w:lang w:eastAsia="en-AU"/>
              </w:rPr>
              <w:t>2020/21</w:t>
            </w:r>
          </w:p>
        </w:tc>
        <w:tc>
          <w:tcPr>
            <w:tcW w:w="847" w:type="pct"/>
            <w:vMerge w:val="restart"/>
            <w:tcBorders>
              <w:top w:val="nil"/>
              <w:left w:val="nil"/>
              <w:bottom w:val="nil"/>
              <w:right w:val="nil"/>
            </w:tcBorders>
            <w:shd w:val="clear" w:color="000000" w:fill="5B9BD5"/>
            <w:vAlign w:val="center"/>
            <w:hideMark/>
          </w:tcPr>
          <w:p w:rsidR="00805383" w:rsidRPr="00805383" w:rsidRDefault="00805383" w:rsidP="00805383">
            <w:pPr>
              <w:jc w:val="center"/>
              <w:rPr>
                <w:rFonts w:eastAsia="Times New Roman" w:cs="Arial"/>
                <w:b/>
                <w:bCs/>
                <w:color w:val="FFFFFF"/>
                <w:sz w:val="18"/>
                <w:szCs w:val="18"/>
                <w:lang w:eastAsia="en-AU"/>
              </w:rPr>
            </w:pPr>
            <w:r w:rsidRPr="00805383">
              <w:rPr>
                <w:rFonts w:eastAsia="Times New Roman" w:cs="Arial"/>
                <w:b/>
                <w:bCs/>
                <w:color w:val="FFFFFF"/>
                <w:sz w:val="18"/>
                <w:szCs w:val="18"/>
                <w:lang w:eastAsia="en-AU"/>
              </w:rPr>
              <w:t>Change</w:t>
            </w:r>
          </w:p>
        </w:tc>
      </w:tr>
      <w:tr w:rsidR="00805383" w:rsidRPr="00805383" w:rsidTr="00805383">
        <w:trPr>
          <w:trHeight w:val="290"/>
        </w:trPr>
        <w:tc>
          <w:tcPr>
            <w:tcW w:w="2459" w:type="pct"/>
            <w:vMerge/>
            <w:tcBorders>
              <w:top w:val="nil"/>
              <w:left w:val="nil"/>
              <w:bottom w:val="nil"/>
              <w:right w:val="nil"/>
            </w:tcBorders>
            <w:vAlign w:val="center"/>
            <w:hideMark/>
          </w:tcPr>
          <w:p w:rsidR="00805383" w:rsidRPr="00805383" w:rsidRDefault="00805383" w:rsidP="00805383">
            <w:pPr>
              <w:rPr>
                <w:rFonts w:eastAsia="Times New Roman" w:cs="Arial"/>
                <w:b/>
                <w:bCs/>
                <w:color w:val="FFFFFF"/>
                <w:sz w:val="18"/>
                <w:szCs w:val="18"/>
                <w:lang w:eastAsia="en-AU"/>
              </w:rPr>
            </w:pPr>
          </w:p>
        </w:tc>
        <w:tc>
          <w:tcPr>
            <w:tcW w:w="847" w:type="pct"/>
            <w:tcBorders>
              <w:top w:val="nil"/>
              <w:left w:val="nil"/>
              <w:bottom w:val="nil"/>
              <w:right w:val="nil"/>
            </w:tcBorders>
            <w:shd w:val="clear" w:color="000000" w:fill="5B9BD5"/>
            <w:hideMark/>
          </w:tcPr>
          <w:p w:rsidR="00805383" w:rsidRPr="00805383" w:rsidRDefault="00805383" w:rsidP="00805383">
            <w:pPr>
              <w:jc w:val="right"/>
              <w:rPr>
                <w:rFonts w:eastAsia="Times New Roman" w:cs="Arial"/>
                <w:b/>
                <w:bCs/>
                <w:color w:val="FFFFFF"/>
                <w:sz w:val="18"/>
                <w:szCs w:val="18"/>
                <w:lang w:eastAsia="en-AU"/>
              </w:rPr>
            </w:pPr>
            <w:r w:rsidRPr="00805383">
              <w:rPr>
                <w:rFonts w:eastAsia="Times New Roman" w:cs="Arial"/>
                <w:b/>
                <w:bCs/>
                <w:color w:val="FFFFFF"/>
                <w:sz w:val="18"/>
                <w:szCs w:val="18"/>
                <w:lang w:eastAsia="en-AU"/>
              </w:rPr>
              <w:t>cents/$CIV*</w:t>
            </w:r>
          </w:p>
        </w:tc>
        <w:tc>
          <w:tcPr>
            <w:tcW w:w="847" w:type="pct"/>
            <w:tcBorders>
              <w:top w:val="nil"/>
              <w:left w:val="nil"/>
              <w:bottom w:val="nil"/>
              <w:right w:val="nil"/>
            </w:tcBorders>
            <w:shd w:val="clear" w:color="000000" w:fill="5B9BD5"/>
            <w:hideMark/>
          </w:tcPr>
          <w:p w:rsidR="00805383" w:rsidRPr="00805383" w:rsidRDefault="00805383" w:rsidP="00805383">
            <w:pPr>
              <w:jc w:val="right"/>
              <w:rPr>
                <w:rFonts w:eastAsia="Times New Roman" w:cs="Arial"/>
                <w:b/>
                <w:bCs/>
                <w:color w:val="FFFFFF"/>
                <w:sz w:val="18"/>
                <w:szCs w:val="18"/>
                <w:lang w:eastAsia="en-AU"/>
              </w:rPr>
            </w:pPr>
            <w:r w:rsidRPr="00805383">
              <w:rPr>
                <w:rFonts w:eastAsia="Times New Roman" w:cs="Arial"/>
                <w:b/>
                <w:bCs/>
                <w:color w:val="FFFFFF"/>
                <w:sz w:val="18"/>
                <w:szCs w:val="18"/>
                <w:lang w:eastAsia="en-AU"/>
              </w:rPr>
              <w:t>cents/$CIV*</w:t>
            </w:r>
          </w:p>
        </w:tc>
        <w:tc>
          <w:tcPr>
            <w:tcW w:w="847" w:type="pct"/>
            <w:vMerge/>
            <w:tcBorders>
              <w:top w:val="nil"/>
              <w:left w:val="nil"/>
              <w:bottom w:val="nil"/>
              <w:right w:val="nil"/>
            </w:tcBorders>
            <w:vAlign w:val="center"/>
            <w:hideMark/>
          </w:tcPr>
          <w:p w:rsidR="00805383" w:rsidRPr="00805383" w:rsidRDefault="00805383" w:rsidP="00805383">
            <w:pPr>
              <w:rPr>
                <w:rFonts w:eastAsia="Times New Roman" w:cs="Arial"/>
                <w:b/>
                <w:bCs/>
                <w:color w:val="FFFFFF"/>
                <w:sz w:val="18"/>
                <w:szCs w:val="18"/>
                <w:lang w:eastAsia="en-AU"/>
              </w:rPr>
            </w:pPr>
          </w:p>
        </w:tc>
      </w:tr>
      <w:tr w:rsidR="00805383" w:rsidRPr="00805383" w:rsidTr="00830721">
        <w:trPr>
          <w:trHeight w:val="290"/>
        </w:trPr>
        <w:tc>
          <w:tcPr>
            <w:tcW w:w="2459" w:type="pct"/>
            <w:tcBorders>
              <w:top w:val="nil"/>
              <w:left w:val="nil"/>
              <w:bottom w:val="nil"/>
              <w:right w:val="nil"/>
            </w:tcBorders>
            <w:shd w:val="clear" w:color="auto" w:fill="auto"/>
            <w:vAlign w:val="center"/>
            <w:hideMark/>
          </w:tcPr>
          <w:p w:rsidR="00805383" w:rsidRPr="00805383" w:rsidRDefault="00805383" w:rsidP="00805383">
            <w:pPr>
              <w:jc w:val="both"/>
              <w:rPr>
                <w:rFonts w:eastAsia="Times New Roman" w:cs="Arial"/>
                <w:sz w:val="20"/>
                <w:szCs w:val="20"/>
                <w:lang w:eastAsia="en-AU"/>
              </w:rPr>
            </w:pPr>
            <w:r w:rsidRPr="00805383">
              <w:rPr>
                <w:rFonts w:eastAsia="Times New Roman" w:cs="Arial"/>
                <w:sz w:val="20"/>
                <w:szCs w:val="20"/>
                <w:lang w:eastAsia="en-AU"/>
              </w:rPr>
              <w:t>General Land</w:t>
            </w:r>
          </w:p>
        </w:tc>
        <w:tc>
          <w:tcPr>
            <w:tcW w:w="847" w:type="pct"/>
            <w:tcBorders>
              <w:top w:val="nil"/>
              <w:left w:val="nil"/>
              <w:bottom w:val="nil"/>
              <w:right w:val="nil"/>
            </w:tcBorders>
            <w:shd w:val="clear" w:color="auto" w:fill="auto"/>
            <w:vAlign w:val="center"/>
            <w:hideMark/>
          </w:tcPr>
          <w:p w:rsidR="00805383" w:rsidRPr="00805383" w:rsidRDefault="00805383" w:rsidP="00805383">
            <w:pPr>
              <w:jc w:val="right"/>
              <w:rPr>
                <w:rFonts w:eastAsia="Times New Roman" w:cs="Arial"/>
                <w:sz w:val="20"/>
                <w:szCs w:val="20"/>
                <w:lang w:eastAsia="en-AU"/>
              </w:rPr>
            </w:pPr>
            <w:r w:rsidRPr="00805383">
              <w:rPr>
                <w:rFonts w:eastAsia="Times New Roman" w:cs="Arial"/>
                <w:sz w:val="20"/>
                <w:szCs w:val="20"/>
                <w:lang w:eastAsia="en-AU"/>
              </w:rPr>
              <w:t xml:space="preserve">              0.210025 </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0.206408</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(1.7%)</w:t>
            </w:r>
          </w:p>
        </w:tc>
      </w:tr>
      <w:tr w:rsidR="00805383" w:rsidRPr="00805383" w:rsidTr="00830721">
        <w:trPr>
          <w:trHeight w:val="290"/>
        </w:trPr>
        <w:tc>
          <w:tcPr>
            <w:tcW w:w="2459" w:type="pct"/>
            <w:tcBorders>
              <w:top w:val="nil"/>
              <w:left w:val="nil"/>
              <w:bottom w:val="nil"/>
              <w:right w:val="nil"/>
            </w:tcBorders>
            <w:shd w:val="clear" w:color="auto" w:fill="auto"/>
            <w:vAlign w:val="center"/>
            <w:hideMark/>
          </w:tcPr>
          <w:p w:rsidR="00805383" w:rsidRPr="00805383" w:rsidRDefault="00805383" w:rsidP="00805383">
            <w:pPr>
              <w:jc w:val="both"/>
              <w:rPr>
                <w:rFonts w:eastAsia="Times New Roman" w:cs="Arial"/>
                <w:sz w:val="20"/>
                <w:szCs w:val="20"/>
                <w:lang w:eastAsia="en-AU"/>
              </w:rPr>
            </w:pPr>
            <w:r w:rsidRPr="00805383">
              <w:rPr>
                <w:rFonts w:eastAsia="Times New Roman" w:cs="Arial"/>
                <w:sz w:val="20"/>
                <w:szCs w:val="20"/>
                <w:lang w:eastAsia="en-AU"/>
              </w:rPr>
              <w:t>Differential Rate:</w:t>
            </w:r>
          </w:p>
        </w:tc>
        <w:tc>
          <w:tcPr>
            <w:tcW w:w="847" w:type="pct"/>
            <w:tcBorders>
              <w:top w:val="nil"/>
              <w:left w:val="nil"/>
              <w:bottom w:val="nil"/>
              <w:right w:val="nil"/>
            </w:tcBorders>
            <w:shd w:val="clear" w:color="000000" w:fill="D9D9D9"/>
            <w:vAlign w:val="center"/>
            <w:hideMark/>
          </w:tcPr>
          <w:p w:rsidR="00805383" w:rsidRPr="00805383" w:rsidRDefault="00805383" w:rsidP="00805383">
            <w:pPr>
              <w:jc w:val="right"/>
              <w:rPr>
                <w:rFonts w:eastAsia="Times New Roman" w:cs="Arial"/>
                <w:color w:val="FF0000"/>
                <w:sz w:val="20"/>
                <w:szCs w:val="20"/>
                <w:lang w:eastAsia="en-AU"/>
              </w:rPr>
            </w:pPr>
            <w:r w:rsidRPr="00805383">
              <w:rPr>
                <w:rFonts w:eastAsia="Times New Roman" w:cs="Arial"/>
                <w:color w:val="FF0000"/>
                <w:sz w:val="20"/>
                <w:szCs w:val="20"/>
                <w:lang w:eastAsia="en-AU"/>
              </w:rPr>
              <w:t> </w:t>
            </w:r>
          </w:p>
        </w:tc>
        <w:tc>
          <w:tcPr>
            <w:tcW w:w="847" w:type="pct"/>
            <w:tcBorders>
              <w:top w:val="nil"/>
              <w:left w:val="nil"/>
              <w:bottom w:val="nil"/>
              <w:right w:val="nil"/>
            </w:tcBorders>
            <w:shd w:val="clear" w:color="000000" w:fill="D9D9D9"/>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 </w:t>
            </w:r>
          </w:p>
        </w:tc>
        <w:tc>
          <w:tcPr>
            <w:tcW w:w="847" w:type="pct"/>
            <w:tcBorders>
              <w:top w:val="nil"/>
              <w:left w:val="nil"/>
              <w:bottom w:val="nil"/>
              <w:right w:val="nil"/>
            </w:tcBorders>
            <w:shd w:val="clear" w:color="000000" w:fill="D9D9D9"/>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 </w:t>
            </w:r>
          </w:p>
        </w:tc>
      </w:tr>
      <w:tr w:rsidR="00805383" w:rsidRPr="00805383" w:rsidTr="00830721">
        <w:trPr>
          <w:trHeight w:val="290"/>
        </w:trPr>
        <w:tc>
          <w:tcPr>
            <w:tcW w:w="2459" w:type="pct"/>
            <w:tcBorders>
              <w:top w:val="nil"/>
              <w:left w:val="nil"/>
              <w:bottom w:val="nil"/>
              <w:right w:val="nil"/>
            </w:tcBorders>
            <w:shd w:val="clear" w:color="auto" w:fill="auto"/>
            <w:vAlign w:val="center"/>
            <w:hideMark/>
          </w:tcPr>
          <w:p w:rsidR="00805383" w:rsidRPr="00805383" w:rsidRDefault="00805383" w:rsidP="00805383">
            <w:pPr>
              <w:jc w:val="both"/>
              <w:rPr>
                <w:rFonts w:eastAsia="Times New Roman" w:cs="Arial"/>
                <w:color w:val="000000"/>
                <w:sz w:val="20"/>
                <w:szCs w:val="20"/>
                <w:lang w:eastAsia="en-AU"/>
              </w:rPr>
            </w:pPr>
            <w:r w:rsidRPr="00805383">
              <w:rPr>
                <w:rFonts w:eastAsia="Times New Roman" w:cs="Arial"/>
                <w:color w:val="000000"/>
                <w:sz w:val="20"/>
                <w:szCs w:val="20"/>
                <w:lang w:eastAsia="en-AU"/>
              </w:rPr>
              <w:t xml:space="preserve">    Vacant Land</w:t>
            </w:r>
          </w:p>
        </w:tc>
        <w:tc>
          <w:tcPr>
            <w:tcW w:w="847" w:type="pct"/>
            <w:tcBorders>
              <w:top w:val="nil"/>
              <w:left w:val="nil"/>
              <w:bottom w:val="nil"/>
              <w:right w:val="nil"/>
            </w:tcBorders>
            <w:shd w:val="clear" w:color="auto" w:fill="auto"/>
            <w:vAlign w:val="center"/>
            <w:hideMark/>
          </w:tcPr>
          <w:p w:rsidR="00805383" w:rsidRPr="00805383" w:rsidRDefault="00805383" w:rsidP="00805383">
            <w:pPr>
              <w:jc w:val="right"/>
              <w:rPr>
                <w:rFonts w:eastAsia="Times New Roman" w:cs="Arial"/>
                <w:sz w:val="20"/>
                <w:szCs w:val="20"/>
                <w:lang w:eastAsia="en-AU"/>
              </w:rPr>
            </w:pPr>
            <w:r w:rsidRPr="00805383">
              <w:rPr>
                <w:rFonts w:eastAsia="Times New Roman" w:cs="Arial"/>
                <w:sz w:val="20"/>
                <w:szCs w:val="20"/>
                <w:lang w:eastAsia="en-AU"/>
              </w:rPr>
              <w:t xml:space="preserve">              0.315038 </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0.309612</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(1.7%)</w:t>
            </w:r>
          </w:p>
        </w:tc>
      </w:tr>
      <w:tr w:rsidR="00805383" w:rsidRPr="00805383" w:rsidTr="00830721">
        <w:trPr>
          <w:trHeight w:val="290"/>
        </w:trPr>
        <w:tc>
          <w:tcPr>
            <w:tcW w:w="2459" w:type="pct"/>
            <w:tcBorders>
              <w:top w:val="nil"/>
              <w:left w:val="nil"/>
              <w:bottom w:val="nil"/>
              <w:right w:val="nil"/>
            </w:tcBorders>
            <w:shd w:val="clear" w:color="auto" w:fill="auto"/>
            <w:vAlign w:val="center"/>
            <w:hideMark/>
          </w:tcPr>
          <w:p w:rsidR="00805383" w:rsidRPr="00805383" w:rsidRDefault="00805383" w:rsidP="00805383">
            <w:pPr>
              <w:jc w:val="both"/>
              <w:rPr>
                <w:rFonts w:eastAsia="Times New Roman" w:cs="Arial"/>
                <w:color w:val="000000"/>
                <w:sz w:val="20"/>
                <w:szCs w:val="20"/>
                <w:lang w:eastAsia="en-AU"/>
              </w:rPr>
            </w:pPr>
            <w:r w:rsidRPr="00805383">
              <w:rPr>
                <w:rFonts w:eastAsia="Times New Roman" w:cs="Arial"/>
                <w:color w:val="000000"/>
                <w:sz w:val="20"/>
                <w:szCs w:val="20"/>
                <w:lang w:eastAsia="en-AU"/>
              </w:rPr>
              <w:t xml:space="preserve">    Commercial Land</w:t>
            </w:r>
          </w:p>
        </w:tc>
        <w:tc>
          <w:tcPr>
            <w:tcW w:w="847" w:type="pct"/>
            <w:tcBorders>
              <w:top w:val="nil"/>
              <w:left w:val="nil"/>
              <w:bottom w:val="nil"/>
              <w:right w:val="nil"/>
            </w:tcBorders>
            <w:shd w:val="clear" w:color="auto" w:fill="auto"/>
            <w:vAlign w:val="center"/>
            <w:hideMark/>
          </w:tcPr>
          <w:p w:rsidR="00805383" w:rsidRPr="00805383" w:rsidRDefault="00805383" w:rsidP="00805383">
            <w:pPr>
              <w:jc w:val="right"/>
              <w:rPr>
                <w:rFonts w:eastAsia="Times New Roman" w:cs="Arial"/>
                <w:sz w:val="20"/>
                <w:szCs w:val="20"/>
                <w:lang w:eastAsia="en-AU"/>
              </w:rPr>
            </w:pPr>
            <w:r w:rsidRPr="00805383">
              <w:rPr>
                <w:rFonts w:eastAsia="Times New Roman" w:cs="Arial"/>
                <w:sz w:val="20"/>
                <w:szCs w:val="20"/>
                <w:lang w:eastAsia="en-AU"/>
              </w:rPr>
              <w:t xml:space="preserve">              0.252030 </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0.247690</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(1.7%)</w:t>
            </w:r>
          </w:p>
        </w:tc>
      </w:tr>
      <w:tr w:rsidR="00805383" w:rsidRPr="00805383" w:rsidTr="00830721">
        <w:trPr>
          <w:trHeight w:val="290"/>
        </w:trPr>
        <w:tc>
          <w:tcPr>
            <w:tcW w:w="2459" w:type="pct"/>
            <w:tcBorders>
              <w:top w:val="nil"/>
              <w:left w:val="nil"/>
              <w:bottom w:val="nil"/>
              <w:right w:val="nil"/>
            </w:tcBorders>
            <w:shd w:val="clear" w:color="auto" w:fill="auto"/>
            <w:vAlign w:val="center"/>
            <w:hideMark/>
          </w:tcPr>
          <w:p w:rsidR="00805383" w:rsidRPr="00805383" w:rsidRDefault="00805383" w:rsidP="00805383">
            <w:pPr>
              <w:jc w:val="both"/>
              <w:rPr>
                <w:rFonts w:eastAsia="Times New Roman" w:cs="Arial"/>
                <w:color w:val="000000"/>
                <w:sz w:val="20"/>
                <w:szCs w:val="20"/>
                <w:lang w:eastAsia="en-AU"/>
              </w:rPr>
            </w:pPr>
            <w:r w:rsidRPr="00805383">
              <w:rPr>
                <w:rFonts w:eastAsia="Times New Roman" w:cs="Arial"/>
                <w:color w:val="000000"/>
                <w:sz w:val="20"/>
                <w:szCs w:val="20"/>
                <w:lang w:eastAsia="en-AU"/>
              </w:rPr>
              <w:t xml:space="preserve">    Industrial Land</w:t>
            </w:r>
          </w:p>
        </w:tc>
        <w:tc>
          <w:tcPr>
            <w:tcW w:w="847" w:type="pct"/>
            <w:tcBorders>
              <w:top w:val="nil"/>
              <w:left w:val="nil"/>
              <w:bottom w:val="nil"/>
              <w:right w:val="nil"/>
            </w:tcBorders>
            <w:shd w:val="clear" w:color="auto" w:fill="auto"/>
            <w:vAlign w:val="center"/>
            <w:hideMark/>
          </w:tcPr>
          <w:p w:rsidR="00805383" w:rsidRPr="00805383" w:rsidRDefault="00805383" w:rsidP="00805383">
            <w:pPr>
              <w:jc w:val="right"/>
              <w:rPr>
                <w:rFonts w:eastAsia="Times New Roman" w:cs="Arial"/>
                <w:sz w:val="20"/>
                <w:szCs w:val="20"/>
                <w:lang w:eastAsia="en-AU"/>
              </w:rPr>
            </w:pPr>
            <w:r w:rsidRPr="00805383">
              <w:rPr>
                <w:rFonts w:eastAsia="Times New Roman" w:cs="Arial"/>
                <w:sz w:val="20"/>
                <w:szCs w:val="20"/>
                <w:lang w:eastAsia="en-AU"/>
              </w:rPr>
              <w:t xml:space="preserve">              0.252030 </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0.247690</w:t>
            </w:r>
          </w:p>
        </w:tc>
        <w:tc>
          <w:tcPr>
            <w:tcW w:w="847" w:type="pct"/>
            <w:tcBorders>
              <w:top w:val="nil"/>
              <w:left w:val="nil"/>
              <w:bottom w:val="nil"/>
              <w:right w:val="nil"/>
            </w:tcBorders>
            <w:shd w:val="clear" w:color="auto" w:fill="auto"/>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(1.7%)</w:t>
            </w:r>
          </w:p>
        </w:tc>
      </w:tr>
      <w:tr w:rsidR="00805383" w:rsidRPr="00805383" w:rsidTr="00830721">
        <w:trPr>
          <w:trHeight w:val="300"/>
        </w:trPr>
        <w:tc>
          <w:tcPr>
            <w:tcW w:w="2459" w:type="pct"/>
            <w:tcBorders>
              <w:top w:val="nil"/>
              <w:left w:val="nil"/>
              <w:bottom w:val="single" w:sz="8" w:space="0" w:color="auto"/>
              <w:right w:val="nil"/>
            </w:tcBorders>
            <w:shd w:val="clear" w:color="auto" w:fill="auto"/>
            <w:vAlign w:val="center"/>
            <w:hideMark/>
          </w:tcPr>
          <w:p w:rsidR="00805383" w:rsidRPr="00805383" w:rsidRDefault="00805383" w:rsidP="00805383">
            <w:pPr>
              <w:jc w:val="both"/>
              <w:rPr>
                <w:rFonts w:eastAsia="Times New Roman" w:cs="Arial"/>
                <w:color w:val="000000"/>
                <w:sz w:val="20"/>
                <w:szCs w:val="20"/>
                <w:lang w:eastAsia="en-AU"/>
              </w:rPr>
            </w:pPr>
            <w:r w:rsidRPr="00805383">
              <w:rPr>
                <w:rFonts w:eastAsia="Times New Roman" w:cs="Arial"/>
                <w:color w:val="000000"/>
                <w:sz w:val="20"/>
                <w:szCs w:val="20"/>
                <w:lang w:eastAsia="en-AU"/>
              </w:rPr>
              <w:t xml:space="preserve">    Derelict Land</w:t>
            </w:r>
          </w:p>
        </w:tc>
        <w:tc>
          <w:tcPr>
            <w:tcW w:w="847" w:type="pct"/>
            <w:tcBorders>
              <w:top w:val="nil"/>
              <w:left w:val="nil"/>
              <w:bottom w:val="single" w:sz="8" w:space="0" w:color="auto"/>
              <w:right w:val="nil"/>
            </w:tcBorders>
            <w:shd w:val="clear" w:color="auto" w:fill="auto"/>
            <w:vAlign w:val="center"/>
            <w:hideMark/>
          </w:tcPr>
          <w:p w:rsidR="00805383" w:rsidRPr="00805383" w:rsidRDefault="00805383" w:rsidP="00805383">
            <w:pPr>
              <w:jc w:val="right"/>
              <w:rPr>
                <w:rFonts w:eastAsia="Times New Roman" w:cs="Arial"/>
                <w:sz w:val="20"/>
                <w:szCs w:val="20"/>
                <w:lang w:eastAsia="en-AU"/>
              </w:rPr>
            </w:pPr>
            <w:r w:rsidRPr="00805383">
              <w:rPr>
                <w:rFonts w:eastAsia="Times New Roman" w:cs="Arial"/>
                <w:sz w:val="20"/>
                <w:szCs w:val="20"/>
                <w:lang w:eastAsia="en-AU"/>
              </w:rPr>
              <w:t xml:space="preserve">              0.630075 </w:t>
            </w:r>
          </w:p>
        </w:tc>
        <w:tc>
          <w:tcPr>
            <w:tcW w:w="847" w:type="pct"/>
            <w:tcBorders>
              <w:top w:val="nil"/>
              <w:left w:val="nil"/>
              <w:bottom w:val="single" w:sz="8" w:space="0" w:color="auto"/>
              <w:right w:val="nil"/>
            </w:tcBorders>
            <w:shd w:val="clear" w:color="auto" w:fill="auto"/>
            <w:vAlign w:val="bottom"/>
            <w:hideMark/>
          </w:tcPr>
          <w:p w:rsidR="00805383" w:rsidRPr="00805383" w:rsidRDefault="00805383" w:rsidP="00805383">
            <w:pPr>
              <w:jc w:val="right"/>
              <w:rPr>
                <w:rFonts w:eastAsia="Times New Roman" w:cs="Arial"/>
                <w:b/>
                <w:bCs/>
                <w:color w:val="000000"/>
                <w:sz w:val="20"/>
                <w:szCs w:val="20"/>
                <w:lang w:eastAsia="en-AU"/>
              </w:rPr>
            </w:pPr>
            <w:r w:rsidRPr="00805383">
              <w:rPr>
                <w:rFonts w:eastAsia="Times New Roman" w:cs="Arial"/>
                <w:b/>
                <w:bCs/>
                <w:color w:val="000000"/>
                <w:sz w:val="20"/>
                <w:szCs w:val="20"/>
                <w:lang w:eastAsia="en-AU"/>
              </w:rPr>
              <w:t>0.619224</w:t>
            </w:r>
          </w:p>
        </w:tc>
        <w:tc>
          <w:tcPr>
            <w:tcW w:w="847" w:type="pct"/>
            <w:tcBorders>
              <w:top w:val="nil"/>
              <w:left w:val="nil"/>
              <w:bottom w:val="single" w:sz="8" w:space="0" w:color="auto"/>
              <w:right w:val="nil"/>
            </w:tcBorders>
            <w:shd w:val="clear" w:color="auto" w:fill="auto"/>
            <w:vAlign w:val="bottom"/>
            <w:hideMark/>
          </w:tcPr>
          <w:p w:rsidR="00805383" w:rsidRPr="00805383" w:rsidRDefault="00805383" w:rsidP="00805383">
            <w:pPr>
              <w:jc w:val="right"/>
              <w:rPr>
                <w:rFonts w:eastAsia="Times New Roman" w:cs="Arial"/>
                <w:b/>
                <w:bCs/>
                <w:sz w:val="20"/>
                <w:szCs w:val="20"/>
                <w:lang w:eastAsia="en-AU"/>
              </w:rPr>
            </w:pPr>
            <w:r w:rsidRPr="00805383">
              <w:rPr>
                <w:rFonts w:eastAsia="Times New Roman" w:cs="Arial"/>
                <w:b/>
                <w:bCs/>
                <w:sz w:val="20"/>
                <w:szCs w:val="20"/>
                <w:lang w:eastAsia="en-AU"/>
              </w:rPr>
              <w:t>(1.7%)</w:t>
            </w:r>
          </w:p>
        </w:tc>
      </w:tr>
    </w:tbl>
    <w:p w:rsidR="00DF0C78" w:rsidRDefault="00D0011D" w:rsidP="00DF0C78">
      <w:pPr>
        <w:rPr>
          <w:rFonts w:eastAsia="Times New Roman" w:cs="Arial"/>
          <w:i/>
          <w:sz w:val="16"/>
          <w:szCs w:val="16"/>
        </w:rPr>
      </w:pPr>
      <w:r w:rsidRPr="00D0011D">
        <w:rPr>
          <w:rFonts w:eastAsia="Times New Roman" w:cs="Arial"/>
          <w:i/>
          <w:sz w:val="16"/>
          <w:szCs w:val="16"/>
        </w:rPr>
        <w:t>* Capital Improved Value</w:t>
      </w:r>
    </w:p>
    <w:p w:rsidR="00D0011D" w:rsidRPr="00D0011D" w:rsidRDefault="00D0011D" w:rsidP="00DF0C78">
      <w:pPr>
        <w:rPr>
          <w:rFonts w:eastAsia="Times New Roman" w:cs="Arial"/>
          <w:i/>
          <w:sz w:val="16"/>
          <w:szCs w:val="16"/>
        </w:rPr>
      </w:pPr>
    </w:p>
    <w:p w:rsidR="00DF0C78" w:rsidRPr="0029462D" w:rsidRDefault="00DE2121" w:rsidP="009A5AA8">
      <w:pPr>
        <w:ind w:left="426" w:hanging="426"/>
        <w:jc w:val="both"/>
        <w:rPr>
          <w:rFonts w:eastAsia="Times New Roman" w:cs="Arial"/>
        </w:rPr>
      </w:pPr>
      <w:r w:rsidRPr="007E3A0B">
        <w:rPr>
          <w:rFonts w:eastAsia="Times New Roman" w:cs="Arial"/>
          <w:lang w:eastAsia="en-AU"/>
        </w:rPr>
        <w:t>6</w:t>
      </w:r>
      <w:r w:rsidR="00510D19" w:rsidRPr="007E3A0B">
        <w:rPr>
          <w:rFonts w:eastAsia="Times New Roman" w:cs="Arial"/>
          <w:lang w:eastAsia="en-AU"/>
        </w:rPr>
        <w:t xml:space="preserve">.1.1(c) </w:t>
      </w:r>
      <w:r w:rsidR="00DF0C78" w:rsidRPr="007E3A0B">
        <w:rPr>
          <w:rFonts w:eastAsia="Times New Roman" w:cs="Arial"/>
          <w:bCs/>
          <w:iCs/>
          <w:lang w:eastAsia="en-AU"/>
        </w:rPr>
        <w:t>The estimated total amount to be raised by general rates in relation to each type or class of land, and the estimated total amount to be raised by general rates, compared with the previous financial year</w:t>
      </w:r>
    </w:p>
    <w:tbl>
      <w:tblPr>
        <w:tblW w:w="5000" w:type="pct"/>
        <w:tblLook w:val="04A0" w:firstRow="1" w:lastRow="0" w:firstColumn="1" w:lastColumn="0" w:noHBand="0" w:noVBand="1"/>
      </w:tblPr>
      <w:tblGrid>
        <w:gridCol w:w="3796"/>
        <w:gridCol w:w="1308"/>
        <w:gridCol w:w="1307"/>
        <w:gridCol w:w="1307"/>
        <w:gridCol w:w="1309"/>
      </w:tblGrid>
      <w:tr w:rsidR="00C96DFE" w:rsidRPr="00C96DFE" w:rsidTr="00C96DFE">
        <w:trPr>
          <w:trHeight w:val="290"/>
        </w:trPr>
        <w:tc>
          <w:tcPr>
            <w:tcW w:w="2102" w:type="pct"/>
            <w:vMerge w:val="restar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Type or class of land</w:t>
            </w: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2019/20</w:t>
            </w: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2020/21</w:t>
            </w:r>
          </w:p>
        </w:tc>
        <w:tc>
          <w:tcPr>
            <w:tcW w:w="1449" w:type="pct"/>
            <w:gridSpan w:val="2"/>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Change</w:t>
            </w:r>
          </w:p>
        </w:tc>
      </w:tr>
      <w:tr w:rsidR="00C96DFE" w:rsidRPr="00C96DFE" w:rsidTr="00C96DFE">
        <w:trPr>
          <w:trHeight w:val="290"/>
        </w:trPr>
        <w:tc>
          <w:tcPr>
            <w:tcW w:w="2102" w:type="pct"/>
            <w:vMerge/>
            <w:tcBorders>
              <w:top w:val="nil"/>
              <w:left w:val="nil"/>
              <w:bottom w:val="nil"/>
              <w:right w:val="nil"/>
            </w:tcBorders>
            <w:vAlign w:val="center"/>
            <w:hideMark/>
          </w:tcPr>
          <w:p w:rsidR="00C96DFE" w:rsidRPr="00C96DFE" w:rsidRDefault="00C96DFE" w:rsidP="00C96DFE">
            <w:pPr>
              <w:rPr>
                <w:rFonts w:eastAsia="Times New Roman" w:cs="Arial"/>
                <w:b/>
                <w:bCs/>
                <w:color w:val="FFFFFF"/>
                <w:sz w:val="18"/>
                <w:szCs w:val="18"/>
                <w:lang w:eastAsia="en-AU"/>
              </w:rPr>
            </w:pP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96DFE" w:rsidRPr="00C96DFE" w:rsidRDefault="00C96DFE" w:rsidP="00C96DFE">
            <w:pPr>
              <w:jc w:val="center"/>
              <w:rPr>
                <w:rFonts w:eastAsia="Times New Roman" w:cs="Arial"/>
                <w:b/>
                <w:bCs/>
                <w:color w:val="FFFFFF"/>
                <w:sz w:val="18"/>
                <w:szCs w:val="18"/>
                <w:lang w:eastAsia="en-AU"/>
              </w:rPr>
            </w:pPr>
            <w:r w:rsidRPr="00C96DFE">
              <w:rPr>
                <w:rFonts w:eastAsia="Times New Roman" w:cs="Arial"/>
                <w:b/>
                <w:bCs/>
                <w:color w:val="FFFFFF"/>
                <w:sz w:val="18"/>
                <w:szCs w:val="18"/>
                <w:lang w:eastAsia="en-AU"/>
              </w:rPr>
              <w:t>%</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sz w:val="20"/>
                <w:szCs w:val="20"/>
                <w:lang w:eastAsia="en-AU"/>
              </w:rPr>
            </w:pPr>
            <w:r w:rsidRPr="00C96DFE">
              <w:rPr>
                <w:rFonts w:eastAsia="Times New Roman" w:cs="Arial"/>
                <w:sz w:val="20"/>
                <w:szCs w:val="20"/>
                <w:lang w:eastAsia="en-AU"/>
              </w:rPr>
              <w:t>General Land</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65,219,065</w:t>
            </w:r>
          </w:p>
        </w:tc>
        <w:tc>
          <w:tcPr>
            <w:tcW w:w="724" w:type="pct"/>
            <w:tcBorders>
              <w:top w:val="nil"/>
              <w:left w:val="nil"/>
              <w:bottom w:val="nil"/>
              <w:right w:val="nil"/>
            </w:tcBorders>
            <w:shd w:val="clear" w:color="000000" w:fill="DDEBF7"/>
            <w:noWrap/>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67,514,758</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2,295,693</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3.5%</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sz w:val="20"/>
                <w:szCs w:val="20"/>
                <w:lang w:eastAsia="en-AU"/>
              </w:rPr>
            </w:pPr>
            <w:r w:rsidRPr="00C96DFE">
              <w:rPr>
                <w:rFonts w:eastAsia="Times New Roman" w:cs="Arial"/>
                <w:sz w:val="20"/>
                <w:szCs w:val="20"/>
                <w:lang w:eastAsia="en-AU"/>
              </w:rPr>
              <w:t>Differential Rate:</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 </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 xml:space="preserve">    Vacant Land</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621,900</w:t>
            </w:r>
          </w:p>
        </w:tc>
        <w:tc>
          <w:tcPr>
            <w:tcW w:w="724" w:type="pct"/>
            <w:tcBorders>
              <w:top w:val="nil"/>
              <w:left w:val="nil"/>
              <w:bottom w:val="nil"/>
              <w:right w:val="nil"/>
            </w:tcBorders>
            <w:shd w:val="clear" w:color="000000" w:fill="DDEBF7"/>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552,792</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(69,108)</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(11.1%)</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 xml:space="preserve">    Commercial Land</w:t>
            </w:r>
          </w:p>
        </w:tc>
        <w:tc>
          <w:tcPr>
            <w:tcW w:w="724" w:type="pct"/>
            <w:tcBorders>
              <w:top w:val="nil"/>
              <w:left w:val="nil"/>
              <w:bottom w:val="nil"/>
              <w:right w:val="nil"/>
            </w:tcBorders>
            <w:shd w:val="clear" w:color="auto" w:fill="auto"/>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xml:space="preserve">             7,050,257 </w:t>
            </w:r>
          </w:p>
        </w:tc>
        <w:tc>
          <w:tcPr>
            <w:tcW w:w="724" w:type="pct"/>
            <w:tcBorders>
              <w:top w:val="nil"/>
              <w:left w:val="nil"/>
              <w:bottom w:val="nil"/>
              <w:right w:val="nil"/>
            </w:tcBorders>
            <w:shd w:val="clear" w:color="000000" w:fill="DDEBF7"/>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7,103,532</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53,275</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0.8%</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 xml:space="preserve">    Industrial Land</w:t>
            </w:r>
          </w:p>
        </w:tc>
        <w:tc>
          <w:tcPr>
            <w:tcW w:w="724" w:type="pct"/>
            <w:tcBorders>
              <w:top w:val="nil"/>
              <w:left w:val="nil"/>
              <w:bottom w:val="nil"/>
              <w:right w:val="nil"/>
            </w:tcBorders>
            <w:shd w:val="clear" w:color="auto" w:fill="auto"/>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xml:space="preserve">             3,976,529 </w:t>
            </w:r>
          </w:p>
        </w:tc>
        <w:tc>
          <w:tcPr>
            <w:tcW w:w="724" w:type="pct"/>
            <w:tcBorders>
              <w:top w:val="nil"/>
              <w:left w:val="nil"/>
              <w:bottom w:val="nil"/>
              <w:right w:val="nil"/>
            </w:tcBorders>
            <w:shd w:val="clear" w:color="000000" w:fill="DDEBF7"/>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4,207,455</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230,926</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5.8%</w:t>
            </w:r>
          </w:p>
        </w:tc>
      </w:tr>
      <w:tr w:rsidR="00C96DFE" w:rsidRPr="00C96DFE" w:rsidTr="00C96DFE">
        <w:trPr>
          <w:trHeight w:val="290"/>
        </w:trPr>
        <w:tc>
          <w:tcPr>
            <w:tcW w:w="2102" w:type="pct"/>
            <w:tcBorders>
              <w:top w:val="nil"/>
              <w:left w:val="nil"/>
              <w:bottom w:val="single" w:sz="4" w:space="0" w:color="auto"/>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 xml:space="preserve">    Derelict Land</w:t>
            </w:r>
          </w:p>
        </w:tc>
        <w:tc>
          <w:tcPr>
            <w:tcW w:w="724" w:type="pct"/>
            <w:tcBorders>
              <w:top w:val="nil"/>
              <w:left w:val="nil"/>
              <w:bottom w:val="nil"/>
              <w:right w:val="nil"/>
            </w:tcBorders>
            <w:shd w:val="clear" w:color="auto" w:fill="auto"/>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xml:space="preserve">                         -    </w:t>
            </w:r>
          </w:p>
        </w:tc>
        <w:tc>
          <w:tcPr>
            <w:tcW w:w="724" w:type="pct"/>
            <w:tcBorders>
              <w:top w:val="nil"/>
              <w:left w:val="nil"/>
              <w:bottom w:val="nil"/>
              <w:right w:val="nil"/>
            </w:tcBorders>
            <w:shd w:val="clear" w:color="auto" w:fill="auto"/>
            <w:vAlign w:val="bottom"/>
          </w:tcPr>
          <w:p w:rsidR="00C96DFE" w:rsidRPr="00C96DFE" w:rsidRDefault="00C96DFE" w:rsidP="00C96DFE">
            <w:pPr>
              <w:jc w:val="right"/>
              <w:rPr>
                <w:rFonts w:eastAsia="Times New Roman" w:cs="Arial"/>
                <w:color w:val="000000"/>
                <w:sz w:val="20"/>
                <w:szCs w:val="20"/>
                <w:lang w:eastAsia="en-AU"/>
              </w:rPr>
            </w:pPr>
            <w:r w:rsidRPr="00C96DFE">
              <w:rPr>
                <w:rFonts w:eastAsia="Times New Roman" w:cs="Arial"/>
                <w:sz w:val="20"/>
                <w:szCs w:val="20"/>
                <w:lang w:eastAsia="en-AU"/>
              </w:rPr>
              <w:t>-</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xml:space="preserve">                        -   </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xml:space="preserve">                         -    </w:t>
            </w:r>
          </w:p>
        </w:tc>
      </w:tr>
      <w:tr w:rsidR="00C96DFE" w:rsidRPr="00C96DFE" w:rsidTr="00C96DFE">
        <w:trPr>
          <w:trHeight w:val="29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Amounts in Lieu of Rates:</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 </w:t>
            </w:r>
          </w:p>
        </w:tc>
        <w:tc>
          <w:tcPr>
            <w:tcW w:w="724" w:type="pct"/>
            <w:tcBorders>
              <w:top w:val="nil"/>
              <w:left w:val="nil"/>
              <w:bottom w:val="nil"/>
              <w:right w:val="nil"/>
            </w:tcBorders>
            <w:shd w:val="clear" w:color="000000" w:fill="D9D9D9"/>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 </w:t>
            </w:r>
          </w:p>
        </w:tc>
      </w:tr>
      <w:tr w:rsidR="00C96DFE" w:rsidRPr="00C96DFE" w:rsidTr="00C96DFE">
        <w:trPr>
          <w:trHeight w:val="300"/>
        </w:trPr>
        <w:tc>
          <w:tcPr>
            <w:tcW w:w="2102" w:type="pct"/>
            <w:tcBorders>
              <w:top w:val="nil"/>
              <w:left w:val="nil"/>
              <w:bottom w:val="nil"/>
              <w:right w:val="nil"/>
            </w:tcBorders>
            <w:shd w:val="clear" w:color="auto" w:fill="auto"/>
            <w:vAlign w:val="center"/>
            <w:hideMark/>
          </w:tcPr>
          <w:p w:rsidR="00C96DFE" w:rsidRPr="00C96DFE" w:rsidRDefault="00C96DFE" w:rsidP="00C96DFE">
            <w:pPr>
              <w:jc w:val="both"/>
              <w:rPr>
                <w:rFonts w:eastAsia="Times New Roman" w:cs="Arial"/>
                <w:color w:val="000000"/>
                <w:sz w:val="20"/>
                <w:szCs w:val="20"/>
                <w:lang w:eastAsia="en-AU"/>
              </w:rPr>
            </w:pPr>
            <w:r w:rsidRPr="00C96DFE">
              <w:rPr>
                <w:rFonts w:eastAsia="Times New Roman" w:cs="Arial"/>
                <w:color w:val="000000"/>
                <w:sz w:val="20"/>
                <w:szCs w:val="20"/>
                <w:lang w:eastAsia="en-AU"/>
              </w:rPr>
              <w:t>Cultural and Recreational Lands Act</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18,047</w:t>
            </w:r>
          </w:p>
        </w:tc>
        <w:tc>
          <w:tcPr>
            <w:tcW w:w="724" w:type="pct"/>
            <w:tcBorders>
              <w:top w:val="nil"/>
              <w:left w:val="nil"/>
              <w:bottom w:val="nil"/>
              <w:right w:val="nil"/>
            </w:tcBorders>
            <w:shd w:val="clear" w:color="000000" w:fill="DDEBF7"/>
            <w:noWrap/>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18,173</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126</w:t>
            </w:r>
          </w:p>
        </w:tc>
        <w:tc>
          <w:tcPr>
            <w:tcW w:w="724" w:type="pct"/>
            <w:tcBorders>
              <w:top w:val="nil"/>
              <w:left w:val="nil"/>
              <w:bottom w:val="nil"/>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0.7%</w:t>
            </w:r>
          </w:p>
        </w:tc>
      </w:tr>
      <w:tr w:rsidR="00C96DFE" w:rsidRPr="00C96DFE" w:rsidTr="00C96DFE">
        <w:trPr>
          <w:trHeight w:val="300"/>
        </w:trPr>
        <w:tc>
          <w:tcPr>
            <w:tcW w:w="2102" w:type="pct"/>
            <w:tcBorders>
              <w:top w:val="nil"/>
              <w:left w:val="nil"/>
              <w:bottom w:val="single" w:sz="8" w:space="0" w:color="auto"/>
              <w:right w:val="nil"/>
            </w:tcBorders>
            <w:shd w:val="clear" w:color="auto" w:fill="auto"/>
            <w:vAlign w:val="center"/>
            <w:hideMark/>
          </w:tcPr>
          <w:p w:rsidR="00C96DFE" w:rsidRPr="00C96DFE" w:rsidRDefault="00C96DFE" w:rsidP="00C96DFE">
            <w:pPr>
              <w:jc w:val="both"/>
              <w:rPr>
                <w:rFonts w:eastAsia="Times New Roman" w:cs="Arial"/>
                <w:b/>
                <w:bCs/>
                <w:sz w:val="20"/>
                <w:szCs w:val="20"/>
                <w:lang w:eastAsia="en-AU"/>
              </w:rPr>
            </w:pPr>
            <w:r w:rsidRPr="00C96DFE">
              <w:rPr>
                <w:rFonts w:eastAsia="Times New Roman" w:cs="Arial"/>
                <w:b/>
                <w:bCs/>
                <w:sz w:val="20"/>
                <w:szCs w:val="20"/>
                <w:lang w:eastAsia="en-AU"/>
              </w:rPr>
              <w:t>Total amount to be raised by general rates</w:t>
            </w:r>
          </w:p>
        </w:tc>
        <w:tc>
          <w:tcPr>
            <w:tcW w:w="724" w:type="pct"/>
            <w:tcBorders>
              <w:top w:val="single" w:sz="8" w:space="0" w:color="auto"/>
              <w:left w:val="nil"/>
              <w:bottom w:val="single" w:sz="8" w:space="0" w:color="auto"/>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76,885,798</w:t>
            </w:r>
          </w:p>
        </w:tc>
        <w:tc>
          <w:tcPr>
            <w:tcW w:w="724" w:type="pct"/>
            <w:tcBorders>
              <w:top w:val="single" w:sz="8" w:space="0" w:color="auto"/>
              <w:left w:val="nil"/>
              <w:bottom w:val="single" w:sz="8" w:space="0" w:color="auto"/>
              <w:right w:val="nil"/>
            </w:tcBorders>
            <w:shd w:val="clear" w:color="000000" w:fill="DDEBF7"/>
            <w:vAlign w:val="center"/>
            <w:hideMark/>
          </w:tcPr>
          <w:p w:rsidR="00C96DFE" w:rsidRPr="00C96DFE" w:rsidRDefault="00C96DFE" w:rsidP="00C96DFE">
            <w:pPr>
              <w:jc w:val="right"/>
              <w:rPr>
                <w:rFonts w:eastAsia="Times New Roman" w:cs="Arial"/>
                <w:b/>
                <w:bCs/>
                <w:color w:val="000000"/>
                <w:sz w:val="20"/>
                <w:szCs w:val="20"/>
                <w:lang w:eastAsia="en-AU"/>
              </w:rPr>
            </w:pPr>
            <w:r w:rsidRPr="00C96DFE">
              <w:rPr>
                <w:rFonts w:eastAsia="Times New Roman" w:cs="Arial"/>
                <w:b/>
                <w:bCs/>
                <w:color w:val="000000"/>
                <w:sz w:val="20"/>
                <w:szCs w:val="20"/>
                <w:lang w:eastAsia="en-AU"/>
              </w:rPr>
              <w:t>79,396,710</w:t>
            </w:r>
          </w:p>
        </w:tc>
        <w:tc>
          <w:tcPr>
            <w:tcW w:w="724" w:type="pct"/>
            <w:tcBorders>
              <w:top w:val="single" w:sz="8" w:space="0" w:color="auto"/>
              <w:left w:val="nil"/>
              <w:bottom w:val="single" w:sz="8" w:space="0" w:color="auto"/>
              <w:right w:val="nil"/>
            </w:tcBorders>
            <w:shd w:val="clear" w:color="auto" w:fill="auto"/>
            <w:vAlign w:val="center"/>
            <w:hideMark/>
          </w:tcPr>
          <w:p w:rsidR="00C96DFE" w:rsidRPr="00C96DFE" w:rsidRDefault="00C96DFE" w:rsidP="00C96DFE">
            <w:pPr>
              <w:jc w:val="right"/>
              <w:rPr>
                <w:rFonts w:eastAsia="Times New Roman" w:cs="Arial"/>
                <w:sz w:val="20"/>
                <w:szCs w:val="20"/>
                <w:lang w:eastAsia="en-AU"/>
              </w:rPr>
            </w:pPr>
            <w:r w:rsidRPr="00C96DFE">
              <w:rPr>
                <w:rFonts w:eastAsia="Times New Roman" w:cs="Arial"/>
                <w:sz w:val="20"/>
                <w:szCs w:val="20"/>
                <w:lang w:eastAsia="en-AU"/>
              </w:rPr>
              <w:t>2,510,912</w:t>
            </w:r>
          </w:p>
        </w:tc>
        <w:tc>
          <w:tcPr>
            <w:tcW w:w="724" w:type="pct"/>
            <w:tcBorders>
              <w:top w:val="single" w:sz="8" w:space="0" w:color="auto"/>
              <w:left w:val="nil"/>
              <w:bottom w:val="single" w:sz="8" w:space="0" w:color="auto"/>
              <w:right w:val="nil"/>
            </w:tcBorders>
            <w:shd w:val="clear" w:color="auto" w:fill="auto"/>
            <w:vAlign w:val="center"/>
            <w:hideMark/>
          </w:tcPr>
          <w:p w:rsidR="00C96DFE" w:rsidRPr="00C96DFE" w:rsidRDefault="00C96DFE" w:rsidP="00C96DFE">
            <w:pPr>
              <w:jc w:val="right"/>
              <w:rPr>
                <w:rFonts w:eastAsia="Times New Roman" w:cs="Arial"/>
                <w:b/>
                <w:bCs/>
                <w:sz w:val="20"/>
                <w:szCs w:val="20"/>
                <w:lang w:eastAsia="en-AU"/>
              </w:rPr>
            </w:pPr>
            <w:r w:rsidRPr="00C96DFE">
              <w:rPr>
                <w:rFonts w:eastAsia="Times New Roman" w:cs="Arial"/>
                <w:b/>
                <w:bCs/>
                <w:sz w:val="20"/>
                <w:szCs w:val="20"/>
                <w:lang w:eastAsia="en-AU"/>
              </w:rPr>
              <w:t>3.3%</w:t>
            </w:r>
          </w:p>
        </w:tc>
      </w:tr>
    </w:tbl>
    <w:p w:rsidR="00DF0C78" w:rsidRPr="0029462D" w:rsidRDefault="00DF0C78" w:rsidP="00DF0C78">
      <w:pPr>
        <w:rPr>
          <w:rFonts w:eastAsia="Times New Roman" w:cs="Arial"/>
        </w:rPr>
      </w:pPr>
      <w:r w:rsidRPr="0029462D">
        <w:rPr>
          <w:rFonts w:eastAsia="Times New Roman" w:cs="Arial"/>
        </w:rPr>
        <w:br w:type="page"/>
      </w:r>
    </w:p>
    <w:p w:rsidR="00DF0C78" w:rsidRPr="0029462D" w:rsidRDefault="00DE2121" w:rsidP="00DF0C78">
      <w:pPr>
        <w:ind w:left="426" w:hanging="426"/>
        <w:jc w:val="both"/>
        <w:rPr>
          <w:rFonts w:eastAsia="Times New Roman" w:cs="Arial"/>
          <w:bCs/>
          <w:iCs/>
          <w:lang w:eastAsia="en-AU"/>
        </w:rPr>
      </w:pPr>
      <w:r w:rsidRPr="007E3A0B">
        <w:rPr>
          <w:rFonts w:eastAsia="Times New Roman" w:cs="Arial"/>
          <w:lang w:eastAsia="en-AU"/>
        </w:rPr>
        <w:lastRenderedPageBreak/>
        <w:t>6</w:t>
      </w:r>
      <w:r w:rsidR="008F4163" w:rsidRPr="007E3A0B">
        <w:rPr>
          <w:rFonts w:eastAsia="Times New Roman" w:cs="Arial"/>
          <w:lang w:eastAsia="en-AU"/>
        </w:rPr>
        <w:t xml:space="preserve">.1.1(d) </w:t>
      </w:r>
      <w:r w:rsidR="00DF0C78" w:rsidRPr="007E3A0B">
        <w:rPr>
          <w:rFonts w:eastAsia="Times New Roman" w:cs="Arial"/>
          <w:bCs/>
          <w:iCs/>
          <w:lang w:eastAsia="en-AU"/>
        </w:rPr>
        <w:t>The number of assessments in relation to each type or class of land, and the total number of assessments compared with the previous financial year</w:t>
      </w:r>
    </w:p>
    <w:p w:rsidR="00DF0C78" w:rsidRPr="00872B69" w:rsidRDefault="00DF0C78" w:rsidP="00DF0C78">
      <w:pPr>
        <w:rPr>
          <w:rFonts w:eastAsia="Times New Roman" w:cs="Arial"/>
          <w:sz w:val="18"/>
          <w:szCs w:val="18"/>
        </w:rPr>
      </w:pPr>
    </w:p>
    <w:tbl>
      <w:tblPr>
        <w:tblW w:w="5000" w:type="pct"/>
        <w:tblLook w:val="04A0" w:firstRow="1" w:lastRow="0" w:firstColumn="1" w:lastColumn="0" w:noHBand="0" w:noVBand="1"/>
      </w:tblPr>
      <w:tblGrid>
        <w:gridCol w:w="3796"/>
        <w:gridCol w:w="1308"/>
        <w:gridCol w:w="1307"/>
        <w:gridCol w:w="1307"/>
        <w:gridCol w:w="1309"/>
      </w:tblGrid>
      <w:tr w:rsidR="00A9450E" w:rsidRPr="00A9450E" w:rsidTr="00A9450E">
        <w:trPr>
          <w:trHeight w:val="290"/>
        </w:trPr>
        <w:tc>
          <w:tcPr>
            <w:tcW w:w="2102" w:type="pct"/>
            <w:vMerge w:val="restart"/>
            <w:tcBorders>
              <w:top w:val="nil"/>
              <w:left w:val="nil"/>
              <w:bottom w:val="nil"/>
              <w:right w:val="nil"/>
            </w:tcBorders>
            <w:shd w:val="clear" w:color="000000" w:fill="5B9BD5"/>
            <w:vAlign w:val="center"/>
            <w:hideMark/>
          </w:tcPr>
          <w:p w:rsidR="00A9450E" w:rsidRPr="00A9450E" w:rsidRDefault="00A9450E" w:rsidP="00A9450E">
            <w:pPr>
              <w:rPr>
                <w:rFonts w:eastAsia="Times New Roman" w:cs="Arial"/>
                <w:b/>
                <w:bCs/>
                <w:color w:val="FFFFFF"/>
                <w:sz w:val="18"/>
                <w:szCs w:val="18"/>
                <w:lang w:eastAsia="en-AU"/>
              </w:rPr>
            </w:pPr>
            <w:r w:rsidRPr="00A9450E">
              <w:rPr>
                <w:rFonts w:eastAsia="Times New Roman" w:cs="Arial"/>
                <w:b/>
                <w:bCs/>
                <w:color w:val="FFFFFF"/>
                <w:sz w:val="18"/>
                <w:szCs w:val="18"/>
                <w:lang w:eastAsia="en-AU"/>
              </w:rPr>
              <w:t>Type or class of land</w:t>
            </w:r>
          </w:p>
        </w:tc>
        <w:tc>
          <w:tcPr>
            <w:tcW w:w="724" w:type="pct"/>
            <w:tcBorders>
              <w:top w:val="nil"/>
              <w:left w:val="nil"/>
              <w:bottom w:val="nil"/>
              <w:right w:val="nil"/>
            </w:tcBorders>
            <w:shd w:val="clear" w:color="000000" w:fill="5B9BD5"/>
            <w:vAlign w:val="center"/>
            <w:hideMark/>
          </w:tcPr>
          <w:p w:rsidR="00A9450E" w:rsidRPr="00A9450E" w:rsidRDefault="00A9450E" w:rsidP="00A9450E">
            <w:pPr>
              <w:jc w:val="right"/>
              <w:rPr>
                <w:rFonts w:eastAsia="Times New Roman" w:cs="Arial"/>
                <w:b/>
                <w:bCs/>
                <w:color w:val="FFFFFF"/>
                <w:sz w:val="18"/>
                <w:szCs w:val="18"/>
                <w:lang w:eastAsia="en-AU"/>
              </w:rPr>
            </w:pPr>
            <w:r w:rsidRPr="00A9450E">
              <w:rPr>
                <w:rFonts w:eastAsia="Times New Roman" w:cs="Arial"/>
                <w:b/>
                <w:bCs/>
                <w:color w:val="FFFFFF"/>
                <w:sz w:val="18"/>
                <w:szCs w:val="18"/>
                <w:lang w:eastAsia="en-AU"/>
              </w:rPr>
              <w:t>2019/20</w:t>
            </w:r>
          </w:p>
        </w:tc>
        <w:tc>
          <w:tcPr>
            <w:tcW w:w="724" w:type="pct"/>
            <w:tcBorders>
              <w:top w:val="nil"/>
              <w:left w:val="nil"/>
              <w:bottom w:val="nil"/>
              <w:right w:val="nil"/>
            </w:tcBorders>
            <w:shd w:val="clear" w:color="000000" w:fill="5B9BD5"/>
            <w:vAlign w:val="center"/>
            <w:hideMark/>
          </w:tcPr>
          <w:p w:rsidR="00A9450E" w:rsidRPr="00A9450E" w:rsidRDefault="00A9450E" w:rsidP="00A9450E">
            <w:pPr>
              <w:jc w:val="right"/>
              <w:rPr>
                <w:rFonts w:eastAsia="Times New Roman" w:cs="Arial"/>
                <w:b/>
                <w:bCs/>
                <w:color w:val="FFFFFF"/>
                <w:sz w:val="18"/>
                <w:szCs w:val="18"/>
                <w:lang w:eastAsia="en-AU"/>
              </w:rPr>
            </w:pPr>
            <w:r w:rsidRPr="00A9450E">
              <w:rPr>
                <w:rFonts w:eastAsia="Times New Roman" w:cs="Arial"/>
                <w:b/>
                <w:bCs/>
                <w:color w:val="FFFFFF"/>
                <w:sz w:val="18"/>
                <w:szCs w:val="18"/>
                <w:lang w:eastAsia="en-AU"/>
              </w:rPr>
              <w:t>2020/21</w:t>
            </w:r>
          </w:p>
        </w:tc>
        <w:tc>
          <w:tcPr>
            <w:tcW w:w="1449" w:type="pct"/>
            <w:gridSpan w:val="2"/>
            <w:tcBorders>
              <w:top w:val="nil"/>
              <w:left w:val="nil"/>
              <w:bottom w:val="nil"/>
              <w:right w:val="nil"/>
            </w:tcBorders>
            <w:shd w:val="clear" w:color="000000" w:fill="5B9BD5"/>
            <w:vAlign w:val="center"/>
            <w:hideMark/>
          </w:tcPr>
          <w:p w:rsidR="00A9450E" w:rsidRPr="00A9450E" w:rsidRDefault="00A9450E" w:rsidP="00A9450E">
            <w:pPr>
              <w:jc w:val="center"/>
              <w:rPr>
                <w:rFonts w:eastAsia="Times New Roman" w:cs="Arial"/>
                <w:b/>
                <w:bCs/>
                <w:color w:val="FFFFFF"/>
                <w:sz w:val="18"/>
                <w:szCs w:val="18"/>
                <w:lang w:eastAsia="en-AU"/>
              </w:rPr>
            </w:pPr>
            <w:r w:rsidRPr="00A9450E">
              <w:rPr>
                <w:rFonts w:eastAsia="Times New Roman" w:cs="Arial"/>
                <w:b/>
                <w:bCs/>
                <w:color w:val="FFFFFF"/>
                <w:sz w:val="18"/>
                <w:szCs w:val="18"/>
                <w:lang w:eastAsia="en-AU"/>
              </w:rPr>
              <w:t>Change</w:t>
            </w:r>
          </w:p>
        </w:tc>
      </w:tr>
      <w:tr w:rsidR="00A9450E" w:rsidRPr="00A9450E" w:rsidTr="00A9450E">
        <w:trPr>
          <w:trHeight w:val="290"/>
        </w:trPr>
        <w:tc>
          <w:tcPr>
            <w:tcW w:w="2102" w:type="pct"/>
            <w:vMerge/>
            <w:tcBorders>
              <w:top w:val="nil"/>
              <w:left w:val="nil"/>
              <w:bottom w:val="nil"/>
              <w:right w:val="nil"/>
            </w:tcBorders>
            <w:vAlign w:val="center"/>
            <w:hideMark/>
          </w:tcPr>
          <w:p w:rsidR="00A9450E" w:rsidRPr="00A9450E" w:rsidRDefault="00A9450E" w:rsidP="00A9450E">
            <w:pPr>
              <w:rPr>
                <w:rFonts w:eastAsia="Times New Roman" w:cs="Arial"/>
                <w:b/>
                <w:bCs/>
                <w:color w:val="FFFFFF"/>
                <w:sz w:val="18"/>
                <w:szCs w:val="18"/>
                <w:lang w:eastAsia="en-AU"/>
              </w:rPr>
            </w:pPr>
          </w:p>
        </w:tc>
        <w:tc>
          <w:tcPr>
            <w:tcW w:w="724" w:type="pct"/>
            <w:tcBorders>
              <w:top w:val="nil"/>
              <w:left w:val="nil"/>
              <w:bottom w:val="nil"/>
              <w:right w:val="nil"/>
            </w:tcBorders>
            <w:shd w:val="clear" w:color="000000" w:fill="5B9BD5"/>
            <w:vAlign w:val="center"/>
            <w:hideMark/>
          </w:tcPr>
          <w:p w:rsidR="00A9450E" w:rsidRPr="00A9450E" w:rsidRDefault="00A9450E" w:rsidP="00A9450E">
            <w:pPr>
              <w:jc w:val="right"/>
              <w:rPr>
                <w:rFonts w:eastAsia="Times New Roman" w:cs="Arial"/>
                <w:b/>
                <w:bCs/>
                <w:color w:val="FFFFFF"/>
                <w:sz w:val="18"/>
                <w:szCs w:val="18"/>
                <w:lang w:eastAsia="en-AU"/>
              </w:rPr>
            </w:pPr>
            <w:r w:rsidRPr="00A9450E">
              <w:rPr>
                <w:rFonts w:eastAsia="Times New Roman" w:cs="Arial"/>
                <w:b/>
                <w:bCs/>
                <w:color w:val="FFFFFF"/>
                <w:sz w:val="18"/>
                <w:szCs w:val="18"/>
                <w:lang w:eastAsia="en-AU"/>
              </w:rPr>
              <w:t>Number</w:t>
            </w:r>
          </w:p>
        </w:tc>
        <w:tc>
          <w:tcPr>
            <w:tcW w:w="724" w:type="pct"/>
            <w:tcBorders>
              <w:top w:val="nil"/>
              <w:left w:val="nil"/>
              <w:bottom w:val="nil"/>
              <w:right w:val="nil"/>
            </w:tcBorders>
            <w:shd w:val="clear" w:color="000000" w:fill="5B9BD5"/>
            <w:vAlign w:val="center"/>
            <w:hideMark/>
          </w:tcPr>
          <w:p w:rsidR="00A9450E" w:rsidRPr="00A9450E" w:rsidRDefault="00A9450E" w:rsidP="00A9450E">
            <w:pPr>
              <w:jc w:val="right"/>
              <w:rPr>
                <w:rFonts w:eastAsia="Times New Roman" w:cs="Arial"/>
                <w:b/>
                <w:bCs/>
                <w:color w:val="FFFFFF"/>
                <w:sz w:val="18"/>
                <w:szCs w:val="18"/>
                <w:lang w:eastAsia="en-AU"/>
              </w:rPr>
            </w:pPr>
            <w:r w:rsidRPr="00A9450E">
              <w:rPr>
                <w:rFonts w:eastAsia="Times New Roman" w:cs="Arial"/>
                <w:b/>
                <w:bCs/>
                <w:color w:val="FFFFFF"/>
                <w:sz w:val="18"/>
                <w:szCs w:val="18"/>
                <w:lang w:eastAsia="en-AU"/>
              </w:rPr>
              <w:t>Number</w:t>
            </w:r>
          </w:p>
        </w:tc>
        <w:tc>
          <w:tcPr>
            <w:tcW w:w="724" w:type="pct"/>
            <w:tcBorders>
              <w:top w:val="nil"/>
              <w:left w:val="nil"/>
              <w:bottom w:val="nil"/>
              <w:right w:val="nil"/>
            </w:tcBorders>
            <w:shd w:val="clear" w:color="000000" w:fill="5B9BD5"/>
            <w:vAlign w:val="center"/>
            <w:hideMark/>
          </w:tcPr>
          <w:p w:rsidR="00A9450E" w:rsidRPr="00A9450E" w:rsidRDefault="00A9450E" w:rsidP="00A9450E">
            <w:pPr>
              <w:jc w:val="center"/>
              <w:rPr>
                <w:rFonts w:eastAsia="Times New Roman" w:cs="Arial"/>
                <w:b/>
                <w:bCs/>
                <w:color w:val="FFFFFF"/>
                <w:sz w:val="18"/>
                <w:szCs w:val="18"/>
                <w:lang w:eastAsia="en-AU"/>
              </w:rPr>
            </w:pPr>
            <w:r w:rsidRPr="00A9450E">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A9450E" w:rsidRPr="00A9450E" w:rsidRDefault="00A9450E" w:rsidP="00A9450E">
            <w:pPr>
              <w:jc w:val="right"/>
              <w:rPr>
                <w:rFonts w:eastAsia="Times New Roman" w:cs="Arial"/>
                <w:b/>
                <w:bCs/>
                <w:color w:val="FFFFFF"/>
                <w:sz w:val="18"/>
                <w:szCs w:val="18"/>
                <w:lang w:eastAsia="en-AU"/>
              </w:rPr>
            </w:pPr>
            <w:r w:rsidRPr="00A9450E">
              <w:rPr>
                <w:rFonts w:eastAsia="Times New Roman" w:cs="Arial"/>
                <w:b/>
                <w:bCs/>
                <w:color w:val="FFFFFF"/>
                <w:sz w:val="18"/>
                <w:szCs w:val="18"/>
                <w:lang w:eastAsia="en-AU"/>
              </w:rPr>
              <w:t>%</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General Land</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45,760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46,614</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854</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1.9%</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Differential Rate:</w:t>
            </w:r>
          </w:p>
        </w:tc>
        <w:tc>
          <w:tcPr>
            <w:tcW w:w="724" w:type="pct"/>
            <w:tcBorders>
              <w:top w:val="nil"/>
              <w:left w:val="nil"/>
              <w:bottom w:val="nil"/>
              <w:right w:val="nil"/>
            </w:tcBorders>
            <w:shd w:val="clear" w:color="000000" w:fill="D9D9D9"/>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w:t>
            </w:r>
          </w:p>
        </w:tc>
        <w:tc>
          <w:tcPr>
            <w:tcW w:w="724" w:type="pct"/>
            <w:tcBorders>
              <w:top w:val="nil"/>
              <w:left w:val="nil"/>
              <w:bottom w:val="nil"/>
              <w:right w:val="nil"/>
            </w:tcBorders>
            <w:shd w:val="clear" w:color="000000" w:fill="D9D9D9"/>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 </w:t>
            </w:r>
          </w:p>
        </w:tc>
        <w:tc>
          <w:tcPr>
            <w:tcW w:w="724" w:type="pct"/>
            <w:tcBorders>
              <w:top w:val="nil"/>
              <w:left w:val="nil"/>
              <w:bottom w:val="nil"/>
              <w:right w:val="nil"/>
            </w:tcBorders>
            <w:shd w:val="clear" w:color="000000" w:fill="D9D9D9"/>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w:t>
            </w:r>
          </w:p>
        </w:tc>
        <w:tc>
          <w:tcPr>
            <w:tcW w:w="724" w:type="pct"/>
            <w:tcBorders>
              <w:top w:val="nil"/>
              <w:left w:val="nil"/>
              <w:bottom w:val="nil"/>
              <w:right w:val="nil"/>
            </w:tcBorders>
            <w:shd w:val="clear" w:color="000000" w:fill="D9D9D9"/>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 </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 xml:space="preserve">    Vacant Land</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223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196</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(27)</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(12.1%)</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 xml:space="preserve">    Commercial Land</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2,195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2,212</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17</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0.8%</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 xml:space="preserve">    Industrial Land</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1,967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2,020</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53</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2.7%</w:t>
            </w:r>
          </w:p>
        </w:tc>
      </w:tr>
      <w:tr w:rsidR="00A9450E" w:rsidRPr="00A9450E" w:rsidTr="00A9450E">
        <w:trPr>
          <w:trHeight w:val="290"/>
        </w:trPr>
        <w:tc>
          <w:tcPr>
            <w:tcW w:w="2102" w:type="pct"/>
            <w:tcBorders>
              <w:top w:val="nil"/>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 xml:space="preserve">    Derelict Land</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 xml:space="preserve"> - </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 </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  </w:t>
            </w:r>
          </w:p>
        </w:tc>
      </w:tr>
      <w:tr w:rsidR="00A9450E" w:rsidRPr="00A9450E" w:rsidTr="00A9450E">
        <w:trPr>
          <w:trHeight w:val="300"/>
        </w:trPr>
        <w:tc>
          <w:tcPr>
            <w:tcW w:w="2102" w:type="pct"/>
            <w:tcBorders>
              <w:top w:val="single" w:sz="4" w:space="0" w:color="auto"/>
              <w:left w:val="nil"/>
              <w:bottom w:val="nil"/>
              <w:right w:val="nil"/>
            </w:tcBorders>
            <w:shd w:val="clear" w:color="auto" w:fill="auto"/>
            <w:vAlign w:val="center"/>
            <w:hideMark/>
          </w:tcPr>
          <w:p w:rsidR="00A9450E" w:rsidRPr="00A9450E" w:rsidRDefault="00A9450E" w:rsidP="00A9450E">
            <w:pPr>
              <w:jc w:val="both"/>
              <w:rPr>
                <w:rFonts w:eastAsia="Times New Roman" w:cs="Arial"/>
                <w:sz w:val="20"/>
                <w:szCs w:val="20"/>
                <w:lang w:eastAsia="en-AU"/>
              </w:rPr>
            </w:pPr>
            <w:r w:rsidRPr="00A9450E">
              <w:rPr>
                <w:rFonts w:eastAsia="Times New Roman" w:cs="Arial"/>
                <w:sz w:val="20"/>
                <w:szCs w:val="20"/>
                <w:lang w:eastAsia="en-AU"/>
              </w:rPr>
              <w:t>Cultural and Recreational Lands Act</w:t>
            </w:r>
          </w:p>
        </w:tc>
        <w:tc>
          <w:tcPr>
            <w:tcW w:w="724" w:type="pct"/>
            <w:tcBorders>
              <w:top w:val="nil"/>
              <w:left w:val="nil"/>
              <w:bottom w:val="nil"/>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3 </w:t>
            </w:r>
          </w:p>
        </w:tc>
        <w:tc>
          <w:tcPr>
            <w:tcW w:w="724" w:type="pct"/>
            <w:tcBorders>
              <w:top w:val="nil"/>
              <w:left w:val="nil"/>
              <w:bottom w:val="nil"/>
              <w:right w:val="nil"/>
            </w:tcBorders>
            <w:shd w:val="clear" w:color="000000" w:fill="DDEBF7"/>
            <w:vAlign w:val="bottom"/>
            <w:hideMark/>
          </w:tcPr>
          <w:p w:rsidR="00A9450E" w:rsidRPr="00A9450E" w:rsidRDefault="00A9450E" w:rsidP="00A9450E">
            <w:pPr>
              <w:jc w:val="right"/>
              <w:rPr>
                <w:rFonts w:eastAsia="Times New Roman" w:cs="Arial"/>
                <w:b/>
                <w:bCs/>
                <w:color w:val="000000"/>
                <w:sz w:val="20"/>
                <w:szCs w:val="20"/>
                <w:lang w:eastAsia="en-AU"/>
              </w:rPr>
            </w:pPr>
            <w:r w:rsidRPr="00A9450E">
              <w:rPr>
                <w:rFonts w:eastAsia="Times New Roman" w:cs="Arial"/>
                <w:b/>
                <w:bCs/>
                <w:color w:val="000000"/>
                <w:sz w:val="20"/>
                <w:szCs w:val="20"/>
                <w:lang w:eastAsia="en-AU"/>
              </w:rPr>
              <w:t>3</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0</w:t>
            </w:r>
          </w:p>
        </w:tc>
        <w:tc>
          <w:tcPr>
            <w:tcW w:w="724" w:type="pct"/>
            <w:tcBorders>
              <w:top w:val="nil"/>
              <w:left w:val="nil"/>
              <w:bottom w:val="nil"/>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   </w:t>
            </w:r>
          </w:p>
        </w:tc>
      </w:tr>
      <w:tr w:rsidR="00A9450E" w:rsidRPr="00A9450E" w:rsidTr="00A9450E">
        <w:trPr>
          <w:trHeight w:val="300"/>
        </w:trPr>
        <w:tc>
          <w:tcPr>
            <w:tcW w:w="2102" w:type="pct"/>
            <w:tcBorders>
              <w:top w:val="nil"/>
              <w:left w:val="nil"/>
              <w:bottom w:val="single" w:sz="8" w:space="0" w:color="auto"/>
              <w:right w:val="nil"/>
            </w:tcBorders>
            <w:shd w:val="clear" w:color="auto" w:fill="auto"/>
            <w:vAlign w:val="center"/>
            <w:hideMark/>
          </w:tcPr>
          <w:p w:rsidR="00A9450E" w:rsidRPr="00A9450E" w:rsidRDefault="00A9450E" w:rsidP="00A9450E">
            <w:pPr>
              <w:jc w:val="both"/>
              <w:rPr>
                <w:rFonts w:eastAsia="Times New Roman" w:cs="Arial"/>
                <w:b/>
                <w:bCs/>
                <w:sz w:val="20"/>
                <w:szCs w:val="20"/>
                <w:lang w:eastAsia="en-AU"/>
              </w:rPr>
            </w:pPr>
            <w:r w:rsidRPr="00A9450E">
              <w:rPr>
                <w:rFonts w:eastAsia="Times New Roman" w:cs="Arial"/>
                <w:b/>
                <w:bCs/>
                <w:sz w:val="20"/>
                <w:szCs w:val="20"/>
                <w:lang w:eastAsia="en-AU"/>
              </w:rPr>
              <w:t>Total number of assessments</w:t>
            </w:r>
          </w:p>
        </w:tc>
        <w:tc>
          <w:tcPr>
            <w:tcW w:w="724" w:type="pct"/>
            <w:tcBorders>
              <w:top w:val="single" w:sz="8" w:space="0" w:color="auto"/>
              <w:left w:val="nil"/>
              <w:bottom w:val="single" w:sz="8" w:space="0" w:color="auto"/>
              <w:right w:val="nil"/>
            </w:tcBorders>
            <w:shd w:val="clear" w:color="auto" w:fill="auto"/>
            <w:vAlign w:val="center"/>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50,148 </w:t>
            </w:r>
          </w:p>
        </w:tc>
        <w:tc>
          <w:tcPr>
            <w:tcW w:w="724" w:type="pct"/>
            <w:tcBorders>
              <w:top w:val="single" w:sz="8" w:space="0" w:color="auto"/>
              <w:left w:val="nil"/>
              <w:bottom w:val="single" w:sz="8" w:space="0" w:color="auto"/>
              <w:right w:val="nil"/>
            </w:tcBorders>
            <w:shd w:val="clear" w:color="000000" w:fill="DDEBF7"/>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 xml:space="preserve">                  51,045 </w:t>
            </w:r>
          </w:p>
        </w:tc>
        <w:tc>
          <w:tcPr>
            <w:tcW w:w="724" w:type="pct"/>
            <w:tcBorders>
              <w:top w:val="single" w:sz="8" w:space="0" w:color="auto"/>
              <w:left w:val="nil"/>
              <w:bottom w:val="single" w:sz="8" w:space="0" w:color="auto"/>
              <w:right w:val="nil"/>
            </w:tcBorders>
            <w:shd w:val="clear" w:color="auto" w:fill="auto"/>
            <w:vAlign w:val="bottom"/>
            <w:hideMark/>
          </w:tcPr>
          <w:p w:rsidR="00A9450E" w:rsidRPr="00A9450E" w:rsidRDefault="00A9450E" w:rsidP="00A9450E">
            <w:pPr>
              <w:jc w:val="right"/>
              <w:rPr>
                <w:rFonts w:eastAsia="Times New Roman" w:cs="Arial"/>
                <w:sz w:val="20"/>
                <w:szCs w:val="20"/>
                <w:lang w:eastAsia="en-AU"/>
              </w:rPr>
            </w:pPr>
            <w:r w:rsidRPr="00A9450E">
              <w:rPr>
                <w:rFonts w:eastAsia="Times New Roman" w:cs="Arial"/>
                <w:sz w:val="20"/>
                <w:szCs w:val="20"/>
                <w:lang w:eastAsia="en-AU"/>
              </w:rPr>
              <w:t xml:space="preserve">                       897 </w:t>
            </w:r>
          </w:p>
        </w:tc>
        <w:tc>
          <w:tcPr>
            <w:tcW w:w="724" w:type="pct"/>
            <w:tcBorders>
              <w:top w:val="single" w:sz="8" w:space="0" w:color="auto"/>
              <w:left w:val="nil"/>
              <w:bottom w:val="single" w:sz="8" w:space="0" w:color="auto"/>
              <w:right w:val="nil"/>
            </w:tcBorders>
            <w:shd w:val="clear" w:color="auto" w:fill="auto"/>
            <w:vAlign w:val="bottom"/>
            <w:hideMark/>
          </w:tcPr>
          <w:p w:rsidR="00A9450E" w:rsidRPr="00A9450E" w:rsidRDefault="00A9450E" w:rsidP="00A9450E">
            <w:pPr>
              <w:jc w:val="right"/>
              <w:rPr>
                <w:rFonts w:eastAsia="Times New Roman" w:cs="Arial"/>
                <w:b/>
                <w:bCs/>
                <w:sz w:val="20"/>
                <w:szCs w:val="20"/>
                <w:lang w:eastAsia="en-AU"/>
              </w:rPr>
            </w:pPr>
            <w:r w:rsidRPr="00A9450E">
              <w:rPr>
                <w:rFonts w:eastAsia="Times New Roman" w:cs="Arial"/>
                <w:b/>
                <w:bCs/>
                <w:sz w:val="20"/>
                <w:szCs w:val="20"/>
                <w:lang w:eastAsia="en-AU"/>
              </w:rPr>
              <w:t>1.8%</w:t>
            </w:r>
          </w:p>
        </w:tc>
      </w:tr>
    </w:tbl>
    <w:p w:rsidR="00DF0C78" w:rsidRPr="0029462D" w:rsidRDefault="00DF0C78" w:rsidP="00DF0C78">
      <w:pPr>
        <w:ind w:left="426" w:hanging="426"/>
        <w:jc w:val="both"/>
        <w:rPr>
          <w:rFonts w:eastAsia="Times New Roman" w:cs="Arial"/>
        </w:rPr>
      </w:pPr>
    </w:p>
    <w:p w:rsidR="00DF0C78" w:rsidRPr="007E3A0B" w:rsidRDefault="00DE2121" w:rsidP="00DF0C78">
      <w:pPr>
        <w:ind w:left="426" w:hanging="426"/>
        <w:jc w:val="both"/>
        <w:rPr>
          <w:rFonts w:eastAsia="Times New Roman" w:cs="Arial"/>
          <w:bCs/>
          <w:iCs/>
          <w:lang w:eastAsia="en-AU"/>
        </w:rPr>
      </w:pPr>
      <w:r w:rsidRPr="007E3A0B">
        <w:rPr>
          <w:rFonts w:eastAsia="Times New Roman" w:cs="Arial"/>
        </w:rPr>
        <w:t>6</w:t>
      </w:r>
      <w:r w:rsidR="001E10BA" w:rsidRPr="007E3A0B">
        <w:rPr>
          <w:rFonts w:eastAsia="Times New Roman" w:cs="Arial"/>
        </w:rPr>
        <w:t xml:space="preserve">.1.1(e) </w:t>
      </w:r>
      <w:r w:rsidR="00DF0C78" w:rsidRPr="007E3A0B">
        <w:rPr>
          <w:rFonts w:eastAsia="Times New Roman" w:cs="Arial"/>
          <w:bCs/>
          <w:iCs/>
          <w:lang w:eastAsia="en-AU"/>
        </w:rPr>
        <w:t>The basis of valuation to be used is the Capital Improved Value (CIV)</w:t>
      </w:r>
    </w:p>
    <w:p w:rsidR="00DF0C78" w:rsidRPr="007E3A0B" w:rsidRDefault="00DF0C78" w:rsidP="00DF0C78">
      <w:pPr>
        <w:rPr>
          <w:rFonts w:eastAsia="Times New Roman" w:cs="Arial"/>
        </w:rPr>
      </w:pPr>
    </w:p>
    <w:p w:rsidR="00DF0C78" w:rsidRPr="0029462D" w:rsidRDefault="00DE2121" w:rsidP="00DF0C78">
      <w:pPr>
        <w:ind w:left="426" w:hanging="426"/>
        <w:jc w:val="both"/>
        <w:rPr>
          <w:rFonts w:eastAsia="Times New Roman" w:cs="Arial"/>
          <w:bCs/>
          <w:iCs/>
          <w:lang w:eastAsia="en-AU"/>
        </w:rPr>
      </w:pPr>
      <w:r w:rsidRPr="007E3A0B">
        <w:rPr>
          <w:rFonts w:eastAsia="Times New Roman" w:cs="Arial"/>
        </w:rPr>
        <w:t>6</w:t>
      </w:r>
      <w:r w:rsidR="001E10BA" w:rsidRPr="007E3A0B">
        <w:rPr>
          <w:rFonts w:eastAsia="Times New Roman" w:cs="Arial"/>
        </w:rPr>
        <w:t xml:space="preserve">.1.1(f) </w:t>
      </w:r>
      <w:r w:rsidR="00DF0C78" w:rsidRPr="007E3A0B">
        <w:rPr>
          <w:rFonts w:eastAsia="Times New Roman" w:cs="Arial"/>
          <w:bCs/>
          <w:iCs/>
          <w:lang w:eastAsia="en-AU"/>
        </w:rPr>
        <w:t>The estimated total value of each type or class of land, and the estimated total value of land, compared with the previous financial year</w:t>
      </w:r>
    </w:p>
    <w:p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3401"/>
        <w:gridCol w:w="1607"/>
        <w:gridCol w:w="1607"/>
        <w:gridCol w:w="1496"/>
        <w:gridCol w:w="916"/>
      </w:tblGrid>
      <w:tr w:rsidR="00C411CD" w:rsidRPr="00C411CD" w:rsidTr="00C411CD">
        <w:trPr>
          <w:trHeight w:val="290"/>
        </w:trPr>
        <w:tc>
          <w:tcPr>
            <w:tcW w:w="2102" w:type="pct"/>
            <w:vMerge w:val="restar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Type or class of land</w:t>
            </w: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2019/20</w:t>
            </w: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2020/21</w:t>
            </w:r>
          </w:p>
        </w:tc>
        <w:tc>
          <w:tcPr>
            <w:tcW w:w="1449" w:type="pct"/>
            <w:gridSpan w:val="2"/>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Change</w:t>
            </w:r>
          </w:p>
        </w:tc>
      </w:tr>
      <w:tr w:rsidR="00C411CD" w:rsidRPr="00C411CD" w:rsidTr="00C411CD">
        <w:trPr>
          <w:trHeight w:val="290"/>
        </w:trPr>
        <w:tc>
          <w:tcPr>
            <w:tcW w:w="2102" w:type="pct"/>
            <w:vMerge/>
            <w:tcBorders>
              <w:top w:val="nil"/>
              <w:left w:val="nil"/>
              <w:bottom w:val="nil"/>
              <w:right w:val="nil"/>
            </w:tcBorders>
            <w:vAlign w:val="center"/>
            <w:hideMark/>
          </w:tcPr>
          <w:p w:rsidR="00C411CD" w:rsidRPr="00C411CD" w:rsidRDefault="00C411CD" w:rsidP="00C411CD">
            <w:pPr>
              <w:rPr>
                <w:rFonts w:eastAsia="Times New Roman" w:cs="Arial"/>
                <w:b/>
                <w:bCs/>
                <w:color w:val="FFFFFF"/>
                <w:sz w:val="18"/>
                <w:szCs w:val="18"/>
                <w:lang w:eastAsia="en-AU"/>
              </w:rPr>
            </w:pP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$’000</w:t>
            </w:r>
          </w:p>
        </w:tc>
        <w:tc>
          <w:tcPr>
            <w:tcW w:w="724" w:type="pct"/>
            <w:tcBorders>
              <w:top w:val="nil"/>
              <w:left w:val="nil"/>
              <w:bottom w:val="nil"/>
              <w:right w:val="nil"/>
            </w:tcBorders>
            <w:shd w:val="clear" w:color="000000" w:fill="5B9BD5"/>
            <w:vAlign w:val="center"/>
            <w:hideMark/>
          </w:tcPr>
          <w:p w:rsidR="00C411CD" w:rsidRPr="00C411CD" w:rsidRDefault="00C411CD" w:rsidP="00C411CD">
            <w:pPr>
              <w:jc w:val="center"/>
              <w:rPr>
                <w:rFonts w:eastAsia="Times New Roman" w:cs="Arial"/>
                <w:b/>
                <w:bCs/>
                <w:color w:val="FFFFFF"/>
                <w:sz w:val="18"/>
                <w:szCs w:val="18"/>
                <w:lang w:eastAsia="en-AU"/>
              </w:rPr>
            </w:pPr>
            <w:r w:rsidRPr="00C411CD">
              <w:rPr>
                <w:rFonts w:eastAsia="Times New Roman" w:cs="Arial"/>
                <w:b/>
                <w:bCs/>
                <w:color w:val="FFFFFF"/>
                <w:sz w:val="18"/>
                <w:szCs w:val="18"/>
                <w:lang w:eastAsia="en-AU"/>
              </w:rPr>
              <w:t>%</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General Land</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31,053,000,000 </w:t>
            </w:r>
          </w:p>
        </w:tc>
        <w:tc>
          <w:tcPr>
            <w:tcW w:w="724" w:type="pct"/>
            <w:tcBorders>
              <w:top w:val="nil"/>
              <w:left w:val="nil"/>
              <w:bottom w:val="nil"/>
              <w:right w:val="nil"/>
            </w:tcBorders>
            <w:shd w:val="clear" w:color="000000" w:fill="DDEBF7"/>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32,709,550,000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1,656,550,000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5.3%</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Differential Rate:</w:t>
            </w:r>
          </w:p>
        </w:tc>
        <w:tc>
          <w:tcPr>
            <w:tcW w:w="724" w:type="pct"/>
            <w:tcBorders>
              <w:top w:val="nil"/>
              <w:left w:val="nil"/>
              <w:bottom w:val="nil"/>
              <w:right w:val="nil"/>
            </w:tcBorders>
            <w:shd w:val="clear" w:color="000000" w:fill="D9D9D9"/>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w:t>
            </w:r>
          </w:p>
        </w:tc>
        <w:tc>
          <w:tcPr>
            <w:tcW w:w="724" w:type="pct"/>
            <w:tcBorders>
              <w:top w:val="nil"/>
              <w:left w:val="nil"/>
              <w:bottom w:val="nil"/>
              <w:right w:val="nil"/>
            </w:tcBorders>
            <w:shd w:val="clear" w:color="000000" w:fill="D9D9D9"/>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 </w:t>
            </w:r>
          </w:p>
        </w:tc>
        <w:tc>
          <w:tcPr>
            <w:tcW w:w="724" w:type="pct"/>
            <w:tcBorders>
              <w:top w:val="nil"/>
              <w:left w:val="nil"/>
              <w:bottom w:val="nil"/>
              <w:right w:val="nil"/>
            </w:tcBorders>
            <w:shd w:val="clear" w:color="000000" w:fill="D9D9D9"/>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w:t>
            </w:r>
          </w:p>
        </w:tc>
        <w:tc>
          <w:tcPr>
            <w:tcW w:w="724" w:type="pct"/>
            <w:tcBorders>
              <w:top w:val="nil"/>
              <w:left w:val="nil"/>
              <w:bottom w:val="nil"/>
              <w:right w:val="nil"/>
            </w:tcBorders>
            <w:shd w:val="clear" w:color="000000" w:fill="D9D9D9"/>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 </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 xml:space="preserve">    Vacant Land</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197,405,000 </w:t>
            </w:r>
          </w:p>
        </w:tc>
        <w:tc>
          <w:tcPr>
            <w:tcW w:w="724" w:type="pct"/>
            <w:tcBorders>
              <w:top w:val="nil"/>
              <w:left w:val="nil"/>
              <w:bottom w:val="nil"/>
              <w:right w:val="nil"/>
            </w:tcBorders>
            <w:shd w:val="clear" w:color="000000" w:fill="DDEBF7"/>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178,545,000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(18,860,000)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(9.6%)</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 xml:space="preserve">    Commercial Land</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2,797,388,000 </w:t>
            </w:r>
          </w:p>
        </w:tc>
        <w:tc>
          <w:tcPr>
            <w:tcW w:w="724" w:type="pct"/>
            <w:tcBorders>
              <w:top w:val="nil"/>
              <w:left w:val="nil"/>
              <w:bottom w:val="nil"/>
              <w:right w:val="nil"/>
            </w:tcBorders>
            <w:shd w:val="clear" w:color="000000" w:fill="DDEBF7"/>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2,867,934,000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70,546,000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2.5%</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 xml:space="preserve">    Industrial Land</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1,577,800,000 </w:t>
            </w:r>
          </w:p>
        </w:tc>
        <w:tc>
          <w:tcPr>
            <w:tcW w:w="724" w:type="pct"/>
            <w:tcBorders>
              <w:top w:val="nil"/>
              <w:left w:val="nil"/>
              <w:bottom w:val="nil"/>
              <w:right w:val="nil"/>
            </w:tcBorders>
            <w:shd w:val="clear" w:color="000000" w:fill="DDEBF7"/>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1,698,698,000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120,898,000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7.7%</w:t>
            </w:r>
          </w:p>
        </w:tc>
      </w:tr>
      <w:tr w:rsidR="00C411CD" w:rsidRPr="00C411CD" w:rsidTr="00C411CD">
        <w:trPr>
          <w:trHeight w:val="290"/>
        </w:trPr>
        <w:tc>
          <w:tcPr>
            <w:tcW w:w="2102" w:type="pct"/>
            <w:tcBorders>
              <w:top w:val="nil"/>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 xml:space="preserve">    Derelict Land</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    </w:t>
            </w:r>
          </w:p>
        </w:tc>
        <w:tc>
          <w:tcPr>
            <w:tcW w:w="724" w:type="pct"/>
            <w:tcBorders>
              <w:top w:val="nil"/>
              <w:left w:val="nil"/>
              <w:bottom w:val="nil"/>
              <w:right w:val="nil"/>
            </w:tcBorders>
            <w:shd w:val="clear" w:color="000000" w:fill="DDEBF7"/>
            <w:vAlign w:val="bottom"/>
            <w:hideMark/>
          </w:tcPr>
          <w:p w:rsidR="00C411CD" w:rsidRPr="00C411CD" w:rsidRDefault="00C411CD" w:rsidP="00C411CD">
            <w:pPr>
              <w:jc w:val="right"/>
              <w:rPr>
                <w:rFonts w:eastAsia="Times New Roman" w:cs="Arial"/>
                <w:color w:val="000000"/>
                <w:sz w:val="20"/>
                <w:szCs w:val="20"/>
                <w:lang w:eastAsia="en-AU"/>
              </w:rPr>
            </w:pPr>
            <w:r w:rsidRPr="00C411CD">
              <w:rPr>
                <w:rFonts w:eastAsia="Times New Roman" w:cs="Arial"/>
                <w:color w:val="000000"/>
                <w:sz w:val="20"/>
                <w:szCs w:val="20"/>
                <w:lang w:eastAsia="en-AU"/>
              </w:rPr>
              <w:t> </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   </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 xml:space="preserve">                        -   </w:t>
            </w:r>
          </w:p>
        </w:tc>
      </w:tr>
      <w:tr w:rsidR="00C411CD" w:rsidRPr="00C411CD" w:rsidTr="00C411CD">
        <w:trPr>
          <w:trHeight w:val="300"/>
        </w:trPr>
        <w:tc>
          <w:tcPr>
            <w:tcW w:w="2102" w:type="pct"/>
            <w:tcBorders>
              <w:top w:val="single" w:sz="4" w:space="0" w:color="auto"/>
              <w:left w:val="nil"/>
              <w:bottom w:val="nil"/>
              <w:right w:val="nil"/>
            </w:tcBorders>
            <w:shd w:val="clear" w:color="auto" w:fill="auto"/>
            <w:vAlign w:val="center"/>
            <w:hideMark/>
          </w:tcPr>
          <w:p w:rsidR="00C411CD" w:rsidRPr="00C411CD" w:rsidRDefault="00C411CD" w:rsidP="00C411CD">
            <w:pPr>
              <w:jc w:val="both"/>
              <w:rPr>
                <w:rFonts w:eastAsia="Times New Roman" w:cs="Arial"/>
                <w:sz w:val="20"/>
                <w:szCs w:val="20"/>
                <w:lang w:eastAsia="en-AU"/>
              </w:rPr>
            </w:pPr>
            <w:r w:rsidRPr="00C411CD">
              <w:rPr>
                <w:rFonts w:eastAsia="Times New Roman" w:cs="Arial"/>
                <w:sz w:val="20"/>
                <w:szCs w:val="20"/>
                <w:lang w:eastAsia="en-AU"/>
              </w:rPr>
              <w:t>Cultural and Recreational Lands Act</w:t>
            </w:r>
          </w:p>
        </w:tc>
        <w:tc>
          <w:tcPr>
            <w:tcW w:w="724" w:type="pct"/>
            <w:tcBorders>
              <w:top w:val="nil"/>
              <w:left w:val="nil"/>
              <w:bottom w:val="nil"/>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13,220,000 </w:t>
            </w:r>
          </w:p>
        </w:tc>
        <w:tc>
          <w:tcPr>
            <w:tcW w:w="724" w:type="pct"/>
            <w:tcBorders>
              <w:top w:val="nil"/>
              <w:left w:val="nil"/>
              <w:bottom w:val="single" w:sz="8" w:space="0" w:color="auto"/>
              <w:right w:val="nil"/>
            </w:tcBorders>
            <w:shd w:val="clear" w:color="000000" w:fill="DDEBF7"/>
            <w:vAlign w:val="bottom"/>
            <w:hideMark/>
          </w:tcPr>
          <w:p w:rsidR="00C411CD" w:rsidRPr="00C411CD" w:rsidRDefault="00C411CD" w:rsidP="00C411CD">
            <w:pPr>
              <w:jc w:val="right"/>
              <w:rPr>
                <w:rFonts w:eastAsia="Times New Roman" w:cs="Arial"/>
                <w:b/>
                <w:bCs/>
                <w:color w:val="000000"/>
                <w:sz w:val="20"/>
                <w:szCs w:val="20"/>
                <w:lang w:eastAsia="en-AU"/>
              </w:rPr>
            </w:pPr>
            <w:r w:rsidRPr="00C411CD">
              <w:rPr>
                <w:rFonts w:eastAsia="Times New Roman" w:cs="Arial"/>
                <w:b/>
                <w:bCs/>
                <w:color w:val="000000"/>
                <w:sz w:val="20"/>
                <w:szCs w:val="20"/>
                <w:lang w:eastAsia="en-AU"/>
              </w:rPr>
              <w:t>13,545,000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325,000</w:t>
            </w:r>
          </w:p>
        </w:tc>
        <w:tc>
          <w:tcPr>
            <w:tcW w:w="724" w:type="pct"/>
            <w:tcBorders>
              <w:top w:val="nil"/>
              <w:left w:val="nil"/>
              <w:bottom w:val="nil"/>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2.5%</w:t>
            </w:r>
          </w:p>
        </w:tc>
      </w:tr>
      <w:tr w:rsidR="00C411CD" w:rsidRPr="00C411CD" w:rsidTr="00C411CD">
        <w:trPr>
          <w:trHeight w:val="300"/>
        </w:trPr>
        <w:tc>
          <w:tcPr>
            <w:tcW w:w="2102" w:type="pct"/>
            <w:tcBorders>
              <w:top w:val="nil"/>
              <w:left w:val="nil"/>
              <w:bottom w:val="single" w:sz="8" w:space="0" w:color="auto"/>
              <w:right w:val="nil"/>
            </w:tcBorders>
            <w:shd w:val="clear" w:color="auto" w:fill="auto"/>
            <w:vAlign w:val="center"/>
            <w:hideMark/>
          </w:tcPr>
          <w:p w:rsidR="00C411CD" w:rsidRPr="00C411CD" w:rsidRDefault="00C411CD" w:rsidP="00C411CD">
            <w:pPr>
              <w:jc w:val="both"/>
              <w:rPr>
                <w:rFonts w:eastAsia="Times New Roman" w:cs="Arial"/>
                <w:b/>
                <w:bCs/>
                <w:sz w:val="20"/>
                <w:szCs w:val="20"/>
                <w:lang w:eastAsia="en-AU"/>
              </w:rPr>
            </w:pPr>
            <w:r w:rsidRPr="00C411CD">
              <w:rPr>
                <w:rFonts w:eastAsia="Times New Roman" w:cs="Arial"/>
                <w:b/>
                <w:bCs/>
                <w:sz w:val="20"/>
                <w:szCs w:val="20"/>
                <w:lang w:eastAsia="en-AU"/>
              </w:rPr>
              <w:t>Total value of land</w:t>
            </w:r>
          </w:p>
        </w:tc>
        <w:tc>
          <w:tcPr>
            <w:tcW w:w="724" w:type="pct"/>
            <w:tcBorders>
              <w:top w:val="single" w:sz="8" w:space="0" w:color="auto"/>
              <w:left w:val="nil"/>
              <w:bottom w:val="single" w:sz="8" w:space="0" w:color="auto"/>
              <w:right w:val="nil"/>
            </w:tcBorders>
            <w:shd w:val="clear" w:color="auto" w:fill="auto"/>
            <w:vAlign w:val="center"/>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35,638,813,000 </w:t>
            </w:r>
          </w:p>
        </w:tc>
        <w:tc>
          <w:tcPr>
            <w:tcW w:w="724" w:type="pct"/>
            <w:tcBorders>
              <w:top w:val="nil"/>
              <w:left w:val="nil"/>
              <w:bottom w:val="single" w:sz="8" w:space="0" w:color="auto"/>
              <w:right w:val="nil"/>
            </w:tcBorders>
            <w:shd w:val="clear" w:color="000000" w:fill="DDEBF7"/>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 xml:space="preserve">     37,468,272,000 </w:t>
            </w:r>
          </w:p>
        </w:tc>
        <w:tc>
          <w:tcPr>
            <w:tcW w:w="724" w:type="pct"/>
            <w:tcBorders>
              <w:top w:val="single" w:sz="8" w:space="0" w:color="auto"/>
              <w:left w:val="nil"/>
              <w:bottom w:val="single" w:sz="8" w:space="0" w:color="auto"/>
              <w:right w:val="nil"/>
            </w:tcBorders>
            <w:shd w:val="clear" w:color="auto" w:fill="auto"/>
            <w:vAlign w:val="bottom"/>
            <w:hideMark/>
          </w:tcPr>
          <w:p w:rsidR="00C411CD" w:rsidRPr="00C411CD" w:rsidRDefault="00C411CD" w:rsidP="00C411CD">
            <w:pPr>
              <w:jc w:val="right"/>
              <w:rPr>
                <w:rFonts w:eastAsia="Times New Roman" w:cs="Arial"/>
                <w:sz w:val="20"/>
                <w:szCs w:val="20"/>
                <w:lang w:eastAsia="en-AU"/>
              </w:rPr>
            </w:pPr>
            <w:r w:rsidRPr="00C411CD">
              <w:rPr>
                <w:rFonts w:eastAsia="Times New Roman" w:cs="Arial"/>
                <w:sz w:val="20"/>
                <w:szCs w:val="20"/>
                <w:lang w:eastAsia="en-AU"/>
              </w:rPr>
              <w:t xml:space="preserve">       1,829,459,000 </w:t>
            </w:r>
          </w:p>
        </w:tc>
        <w:tc>
          <w:tcPr>
            <w:tcW w:w="724" w:type="pct"/>
            <w:tcBorders>
              <w:top w:val="single" w:sz="8" w:space="0" w:color="auto"/>
              <w:left w:val="nil"/>
              <w:bottom w:val="single" w:sz="8" w:space="0" w:color="auto"/>
              <w:right w:val="nil"/>
            </w:tcBorders>
            <w:shd w:val="clear" w:color="auto" w:fill="auto"/>
            <w:vAlign w:val="bottom"/>
            <w:hideMark/>
          </w:tcPr>
          <w:p w:rsidR="00C411CD" w:rsidRPr="00C411CD" w:rsidRDefault="00C411CD" w:rsidP="00C411CD">
            <w:pPr>
              <w:jc w:val="right"/>
              <w:rPr>
                <w:rFonts w:eastAsia="Times New Roman" w:cs="Arial"/>
                <w:b/>
                <w:bCs/>
                <w:sz w:val="20"/>
                <w:szCs w:val="20"/>
                <w:lang w:eastAsia="en-AU"/>
              </w:rPr>
            </w:pPr>
            <w:r w:rsidRPr="00C411CD">
              <w:rPr>
                <w:rFonts w:eastAsia="Times New Roman" w:cs="Arial"/>
                <w:b/>
                <w:bCs/>
                <w:sz w:val="20"/>
                <w:szCs w:val="20"/>
                <w:lang w:eastAsia="en-AU"/>
              </w:rPr>
              <w:t>5.1%</w:t>
            </w:r>
          </w:p>
        </w:tc>
      </w:tr>
    </w:tbl>
    <w:p w:rsidR="00DF0C78" w:rsidRPr="0029462D" w:rsidRDefault="00DF0C78" w:rsidP="00DF0C78">
      <w:pPr>
        <w:rPr>
          <w:rFonts w:eastAsia="Times New Roman" w:cs="Arial"/>
          <w:sz w:val="20"/>
          <w:szCs w:val="20"/>
        </w:rPr>
      </w:pPr>
    </w:p>
    <w:p w:rsidR="00BD14D7" w:rsidRDefault="00BD14D7">
      <w:pPr>
        <w:rPr>
          <w:rFonts w:eastAsia="Times New Roman" w:cs="Arial"/>
        </w:rPr>
      </w:pPr>
      <w:r>
        <w:rPr>
          <w:rFonts w:eastAsia="Times New Roman" w:cs="Arial"/>
        </w:rPr>
        <w:br w:type="page"/>
      </w:r>
    </w:p>
    <w:p w:rsidR="00DF0C78" w:rsidRDefault="00DE2121" w:rsidP="00DF0C78">
      <w:pPr>
        <w:ind w:left="426" w:hanging="426"/>
        <w:jc w:val="both"/>
        <w:rPr>
          <w:rFonts w:eastAsia="Times New Roman" w:cs="Arial"/>
          <w:bCs/>
          <w:iCs/>
          <w:lang w:eastAsia="en-AU"/>
        </w:rPr>
      </w:pPr>
      <w:r w:rsidRPr="007E3A0B">
        <w:rPr>
          <w:rFonts w:eastAsia="Times New Roman" w:cs="Arial"/>
        </w:rPr>
        <w:lastRenderedPageBreak/>
        <w:t>6</w:t>
      </w:r>
      <w:r w:rsidR="001E10BA" w:rsidRPr="007E3A0B">
        <w:rPr>
          <w:rFonts w:eastAsia="Times New Roman" w:cs="Arial"/>
        </w:rPr>
        <w:t>.1.1(</w:t>
      </w:r>
      <w:r w:rsidR="00AD257B" w:rsidRPr="007E3A0B">
        <w:rPr>
          <w:rFonts w:eastAsia="Times New Roman" w:cs="Arial"/>
        </w:rPr>
        <w:t>g</w:t>
      </w:r>
      <w:r w:rsidR="001E10BA" w:rsidRPr="007E3A0B">
        <w:rPr>
          <w:rFonts w:eastAsia="Times New Roman" w:cs="Arial"/>
        </w:rPr>
        <w:t>)</w:t>
      </w:r>
      <w:r w:rsidR="00AD257B" w:rsidRPr="007E3A0B">
        <w:rPr>
          <w:rFonts w:eastAsia="Times New Roman" w:cs="Arial"/>
        </w:rPr>
        <w:t xml:space="preserve"> </w:t>
      </w:r>
      <w:r w:rsidR="00DF0C78" w:rsidRPr="007E3A0B">
        <w:rPr>
          <w:rFonts w:eastAsia="Times New Roman" w:cs="Arial"/>
          <w:bCs/>
          <w:iCs/>
          <w:lang w:eastAsia="en-AU"/>
        </w:rPr>
        <w:t>The rate or unit amount to be levied for each type of service rate or charge under Section 162 of the Act compared with the previous financial year</w:t>
      </w:r>
    </w:p>
    <w:tbl>
      <w:tblPr>
        <w:tblW w:w="5000" w:type="pct"/>
        <w:tblLook w:val="04A0" w:firstRow="1" w:lastRow="0" w:firstColumn="1" w:lastColumn="0" w:noHBand="0" w:noVBand="1"/>
      </w:tblPr>
      <w:tblGrid>
        <w:gridCol w:w="4366"/>
        <w:gridCol w:w="1165"/>
        <w:gridCol w:w="1165"/>
        <w:gridCol w:w="1165"/>
        <w:gridCol w:w="1166"/>
      </w:tblGrid>
      <w:tr w:rsidR="00D37209" w:rsidRPr="00D37209" w:rsidTr="00D37209">
        <w:trPr>
          <w:trHeight w:val="480"/>
        </w:trPr>
        <w:tc>
          <w:tcPr>
            <w:tcW w:w="2418" w:type="pct"/>
            <w:vMerge w:val="restar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 Type of Charge</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Per Rateable Property</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Per Rateable Property</w:t>
            </w:r>
          </w:p>
        </w:tc>
        <w:tc>
          <w:tcPr>
            <w:tcW w:w="1291" w:type="pct"/>
            <w:gridSpan w:val="2"/>
            <w:vMerge w:val="restar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Change</w:t>
            </w:r>
          </w:p>
        </w:tc>
      </w:tr>
      <w:tr w:rsidR="00D37209" w:rsidRPr="00D37209" w:rsidTr="00D37209">
        <w:trPr>
          <w:trHeight w:val="300"/>
        </w:trPr>
        <w:tc>
          <w:tcPr>
            <w:tcW w:w="2418" w:type="pct"/>
            <w:vMerge/>
            <w:tcBorders>
              <w:top w:val="nil"/>
              <w:left w:val="nil"/>
              <w:bottom w:val="nil"/>
              <w:right w:val="nil"/>
            </w:tcBorders>
            <w:vAlign w:val="center"/>
            <w:hideMark/>
          </w:tcPr>
          <w:p w:rsidR="00D37209" w:rsidRPr="00D37209" w:rsidRDefault="00D37209" w:rsidP="00D37209">
            <w:pPr>
              <w:rPr>
                <w:rFonts w:eastAsia="Times New Roman" w:cs="Arial"/>
                <w:b/>
                <w:bCs/>
                <w:color w:val="FFFFFF"/>
                <w:sz w:val="18"/>
                <w:szCs w:val="18"/>
                <w:lang w:eastAsia="en-AU"/>
              </w:rPr>
            </w:pP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2019/20</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2020/21</w:t>
            </w:r>
          </w:p>
        </w:tc>
        <w:tc>
          <w:tcPr>
            <w:tcW w:w="1291" w:type="pct"/>
            <w:gridSpan w:val="2"/>
            <w:vMerge/>
            <w:tcBorders>
              <w:top w:val="nil"/>
              <w:left w:val="nil"/>
              <w:bottom w:val="nil"/>
              <w:right w:val="nil"/>
            </w:tcBorders>
            <w:vAlign w:val="center"/>
            <w:hideMark/>
          </w:tcPr>
          <w:p w:rsidR="00D37209" w:rsidRPr="00D37209" w:rsidRDefault="00D37209" w:rsidP="00D37209">
            <w:pPr>
              <w:rPr>
                <w:rFonts w:eastAsia="Times New Roman" w:cs="Arial"/>
                <w:b/>
                <w:bCs/>
                <w:color w:val="FFFFFF"/>
                <w:sz w:val="18"/>
                <w:szCs w:val="18"/>
                <w:lang w:eastAsia="en-AU"/>
              </w:rPr>
            </w:pPr>
          </w:p>
        </w:tc>
      </w:tr>
      <w:tr w:rsidR="00D37209" w:rsidRPr="00D37209" w:rsidTr="00D37209">
        <w:trPr>
          <w:trHeight w:val="300"/>
        </w:trPr>
        <w:tc>
          <w:tcPr>
            <w:tcW w:w="2418" w:type="pct"/>
            <w:vMerge/>
            <w:tcBorders>
              <w:top w:val="nil"/>
              <w:left w:val="nil"/>
              <w:bottom w:val="nil"/>
              <w:right w:val="nil"/>
            </w:tcBorders>
            <w:vAlign w:val="center"/>
            <w:hideMark/>
          </w:tcPr>
          <w:p w:rsidR="00D37209" w:rsidRPr="00D37209" w:rsidRDefault="00D37209" w:rsidP="00D37209">
            <w:pPr>
              <w:rPr>
                <w:rFonts w:eastAsia="Times New Roman" w:cs="Arial"/>
                <w:b/>
                <w:bCs/>
                <w:color w:val="FFFFFF"/>
                <w:sz w:val="18"/>
                <w:szCs w:val="18"/>
                <w:lang w:eastAsia="en-AU"/>
              </w:rPr>
            </w:pP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 xml:space="preserve"> $ </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 xml:space="preserve"> $ </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 xml:space="preserve"> $ </w:t>
            </w:r>
          </w:p>
        </w:tc>
        <w:tc>
          <w:tcPr>
            <w:tcW w:w="645" w:type="pct"/>
            <w:tcBorders>
              <w:top w:val="nil"/>
              <w:left w:val="nil"/>
              <w:bottom w:val="nil"/>
              <w:right w:val="nil"/>
            </w:tcBorders>
            <w:shd w:val="clear" w:color="000000" w:fill="4472C4"/>
            <w:vAlign w:val="center"/>
            <w:hideMark/>
          </w:tcPr>
          <w:p w:rsidR="00D37209" w:rsidRPr="00D37209" w:rsidRDefault="00D37209" w:rsidP="00D37209">
            <w:pPr>
              <w:jc w:val="center"/>
              <w:rPr>
                <w:rFonts w:eastAsia="Times New Roman" w:cs="Arial"/>
                <w:b/>
                <w:bCs/>
                <w:color w:val="FFFFFF"/>
                <w:sz w:val="18"/>
                <w:szCs w:val="18"/>
                <w:lang w:eastAsia="en-AU"/>
              </w:rPr>
            </w:pPr>
            <w:r w:rsidRPr="00D37209">
              <w:rPr>
                <w:rFonts w:eastAsia="Times New Roman" w:cs="Arial"/>
                <w:b/>
                <w:bCs/>
                <w:color w:val="FFFFFF"/>
                <w:sz w:val="18"/>
                <w:szCs w:val="18"/>
                <w:lang w:eastAsia="en-AU"/>
              </w:rPr>
              <w:t>%</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Residential 80 Litre Bins</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270.00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286.00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16.00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5.9%</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Residential 120 Litre Bins</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324.00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343.50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19.50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6.0%</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 xml:space="preserve">Second and Subsequent Bins*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344.00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365.00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21.00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6.1%</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Additional Residential 120 Litre Bin*</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210.00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223.00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13.00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6.2%</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Additional Residential Garden Organics*</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210.00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223.00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13.00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6.2%</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Commercial 240 Litre Service</w:t>
            </w:r>
          </w:p>
        </w:tc>
        <w:tc>
          <w:tcPr>
            <w:tcW w:w="645" w:type="pct"/>
            <w:tcBorders>
              <w:top w:val="nil"/>
              <w:left w:val="nil"/>
              <w:bottom w:val="nil"/>
              <w:right w:val="nil"/>
            </w:tcBorders>
            <w:shd w:val="clear" w:color="000000" w:fill="D9D9D9"/>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w:t>
            </w:r>
          </w:p>
        </w:tc>
        <w:tc>
          <w:tcPr>
            <w:tcW w:w="645" w:type="pct"/>
            <w:tcBorders>
              <w:top w:val="nil"/>
              <w:left w:val="nil"/>
              <w:bottom w:val="nil"/>
              <w:right w:val="nil"/>
            </w:tcBorders>
            <w:shd w:val="clear" w:color="000000" w:fill="D9D9D9"/>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w:t>
            </w:r>
          </w:p>
        </w:tc>
        <w:tc>
          <w:tcPr>
            <w:tcW w:w="645" w:type="pct"/>
            <w:tcBorders>
              <w:top w:val="nil"/>
              <w:left w:val="nil"/>
              <w:bottom w:val="nil"/>
              <w:right w:val="nil"/>
            </w:tcBorders>
            <w:shd w:val="clear" w:color="000000" w:fill="D9D9D9"/>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w:t>
            </w:r>
          </w:p>
        </w:tc>
        <w:tc>
          <w:tcPr>
            <w:tcW w:w="645" w:type="pct"/>
            <w:tcBorders>
              <w:top w:val="nil"/>
              <w:left w:val="nil"/>
              <w:bottom w:val="nil"/>
              <w:right w:val="nil"/>
            </w:tcBorders>
            <w:shd w:val="clear" w:color="000000" w:fill="D9D9D9"/>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 xml:space="preserve">        One per week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590.00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626.00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36.00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6.1%</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 xml:space="preserve">        Three times per week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1,280.00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1,358.00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78.00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6.1%</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Additional Recycling-Non-Residential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130.00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138.00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8.00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6.2%</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Commercial &amp; Industrial Garden Organics#*</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200.00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212.00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12.00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6.0%</w:t>
            </w:r>
          </w:p>
        </w:tc>
      </w:tr>
      <w:tr w:rsidR="00D37209" w:rsidRPr="00D37209" w:rsidTr="00D37209">
        <w:trPr>
          <w:trHeight w:val="300"/>
        </w:trPr>
        <w:tc>
          <w:tcPr>
            <w:tcW w:w="2418" w:type="pct"/>
            <w:tcBorders>
              <w:top w:val="nil"/>
              <w:left w:val="nil"/>
              <w:bottom w:val="nil"/>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Industrial 120 Litre Service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310.00 </w:t>
            </w:r>
          </w:p>
        </w:tc>
        <w:tc>
          <w:tcPr>
            <w:tcW w:w="645" w:type="pct"/>
            <w:tcBorders>
              <w:top w:val="nil"/>
              <w:left w:val="nil"/>
              <w:bottom w:val="nil"/>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329.00 </w:t>
            </w:r>
          </w:p>
        </w:tc>
        <w:tc>
          <w:tcPr>
            <w:tcW w:w="645" w:type="pct"/>
            <w:tcBorders>
              <w:top w:val="nil"/>
              <w:left w:val="nil"/>
              <w:bottom w:val="nil"/>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19.00 </w:t>
            </w:r>
          </w:p>
        </w:tc>
        <w:tc>
          <w:tcPr>
            <w:tcW w:w="645" w:type="pct"/>
            <w:tcBorders>
              <w:top w:val="nil"/>
              <w:left w:val="nil"/>
              <w:bottom w:val="nil"/>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6.1%</w:t>
            </w:r>
          </w:p>
        </w:tc>
      </w:tr>
      <w:tr w:rsidR="00D37209" w:rsidRPr="00D37209" w:rsidTr="00D37209">
        <w:trPr>
          <w:trHeight w:val="315"/>
        </w:trPr>
        <w:tc>
          <w:tcPr>
            <w:tcW w:w="2418" w:type="pct"/>
            <w:tcBorders>
              <w:top w:val="nil"/>
              <w:left w:val="nil"/>
              <w:bottom w:val="single" w:sz="8" w:space="0" w:color="auto"/>
              <w:right w:val="nil"/>
            </w:tcBorders>
            <w:shd w:val="clear" w:color="auto" w:fill="auto"/>
            <w:vAlign w:val="center"/>
            <w:hideMark/>
          </w:tcPr>
          <w:p w:rsidR="00D37209" w:rsidRPr="00D37209" w:rsidRDefault="00D37209" w:rsidP="00D37209">
            <w:pPr>
              <w:jc w:val="both"/>
              <w:rPr>
                <w:rFonts w:eastAsia="Times New Roman" w:cs="Arial"/>
                <w:sz w:val="20"/>
                <w:szCs w:val="20"/>
                <w:lang w:eastAsia="en-AU"/>
              </w:rPr>
            </w:pPr>
            <w:r w:rsidRPr="00D37209">
              <w:rPr>
                <w:rFonts w:eastAsia="Times New Roman" w:cs="Arial"/>
                <w:sz w:val="20"/>
                <w:szCs w:val="20"/>
                <w:lang w:eastAsia="en-AU"/>
              </w:rPr>
              <w:t>Industrial 80 Litre Service #</w:t>
            </w:r>
          </w:p>
        </w:tc>
        <w:tc>
          <w:tcPr>
            <w:tcW w:w="645" w:type="pct"/>
            <w:tcBorders>
              <w:top w:val="nil"/>
              <w:left w:val="nil"/>
              <w:bottom w:val="single" w:sz="8" w:space="0" w:color="auto"/>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260.00 </w:t>
            </w:r>
          </w:p>
        </w:tc>
        <w:tc>
          <w:tcPr>
            <w:tcW w:w="645" w:type="pct"/>
            <w:tcBorders>
              <w:top w:val="nil"/>
              <w:left w:val="nil"/>
              <w:bottom w:val="single" w:sz="8" w:space="0" w:color="auto"/>
              <w:right w:val="nil"/>
            </w:tcBorders>
            <w:shd w:val="clear" w:color="000000" w:fill="D9E1F2"/>
            <w:vAlign w:val="center"/>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 xml:space="preserve">               276.00 </w:t>
            </w:r>
          </w:p>
        </w:tc>
        <w:tc>
          <w:tcPr>
            <w:tcW w:w="645" w:type="pct"/>
            <w:tcBorders>
              <w:top w:val="nil"/>
              <w:left w:val="nil"/>
              <w:bottom w:val="single" w:sz="8" w:space="0" w:color="auto"/>
              <w:right w:val="nil"/>
            </w:tcBorders>
            <w:shd w:val="clear" w:color="auto" w:fill="auto"/>
            <w:vAlign w:val="center"/>
            <w:hideMark/>
          </w:tcPr>
          <w:p w:rsidR="00D37209" w:rsidRPr="00D37209" w:rsidRDefault="00D37209" w:rsidP="00D37209">
            <w:pPr>
              <w:jc w:val="right"/>
              <w:rPr>
                <w:rFonts w:eastAsia="Times New Roman" w:cs="Arial"/>
                <w:sz w:val="20"/>
                <w:szCs w:val="20"/>
                <w:lang w:eastAsia="en-AU"/>
              </w:rPr>
            </w:pPr>
            <w:r w:rsidRPr="00D37209">
              <w:rPr>
                <w:rFonts w:eastAsia="Times New Roman" w:cs="Arial"/>
                <w:sz w:val="20"/>
                <w:szCs w:val="20"/>
                <w:lang w:eastAsia="en-AU"/>
              </w:rPr>
              <w:t xml:space="preserve">                 16.00 </w:t>
            </w:r>
          </w:p>
        </w:tc>
        <w:tc>
          <w:tcPr>
            <w:tcW w:w="645" w:type="pct"/>
            <w:tcBorders>
              <w:top w:val="nil"/>
              <w:left w:val="nil"/>
              <w:bottom w:val="single" w:sz="8" w:space="0" w:color="auto"/>
              <w:right w:val="nil"/>
            </w:tcBorders>
            <w:shd w:val="clear" w:color="auto" w:fill="auto"/>
            <w:vAlign w:val="bottom"/>
            <w:hideMark/>
          </w:tcPr>
          <w:p w:rsidR="00D37209" w:rsidRPr="00D37209" w:rsidRDefault="00D37209" w:rsidP="00D37209">
            <w:pPr>
              <w:jc w:val="right"/>
              <w:rPr>
                <w:rFonts w:eastAsia="Times New Roman" w:cs="Arial"/>
                <w:b/>
                <w:bCs/>
                <w:sz w:val="20"/>
                <w:szCs w:val="20"/>
                <w:lang w:eastAsia="en-AU"/>
              </w:rPr>
            </w:pPr>
            <w:r w:rsidRPr="00D37209">
              <w:rPr>
                <w:rFonts w:eastAsia="Times New Roman" w:cs="Arial"/>
                <w:b/>
                <w:bCs/>
                <w:sz w:val="20"/>
                <w:szCs w:val="20"/>
                <w:lang w:eastAsia="en-AU"/>
              </w:rPr>
              <w:t>6.2%</w:t>
            </w:r>
          </w:p>
        </w:tc>
      </w:tr>
    </w:tbl>
    <w:p w:rsidR="00206E86" w:rsidRPr="00872B69" w:rsidRDefault="00206E86" w:rsidP="00DF0C78">
      <w:pPr>
        <w:ind w:left="426" w:hanging="426"/>
        <w:jc w:val="both"/>
        <w:rPr>
          <w:rFonts w:eastAsia="Times New Roman" w:cs="Arial"/>
          <w:bCs/>
          <w:iCs/>
          <w:sz w:val="18"/>
          <w:szCs w:val="18"/>
          <w:lang w:eastAsia="en-AU"/>
        </w:rPr>
      </w:pPr>
    </w:p>
    <w:p w:rsidR="00DF0C78" w:rsidRDefault="00DF0C78" w:rsidP="00DF0C78">
      <w:pPr>
        <w:tabs>
          <w:tab w:val="left" w:pos="709"/>
        </w:tabs>
        <w:ind w:left="709" w:hanging="709"/>
        <w:jc w:val="both"/>
        <w:rPr>
          <w:rFonts w:eastAsia="Times New Roman" w:cs="Arial"/>
          <w:sz w:val="18"/>
          <w:szCs w:val="18"/>
        </w:rPr>
      </w:pPr>
      <w:r w:rsidRPr="0029462D">
        <w:rPr>
          <w:rFonts w:eastAsia="Times New Roman" w:cs="Arial"/>
          <w:sz w:val="18"/>
          <w:szCs w:val="18"/>
        </w:rPr>
        <w:t>#These figures include GST which applies to these services.</w:t>
      </w:r>
    </w:p>
    <w:p w:rsidR="00DF0C78" w:rsidRDefault="00DF0C78" w:rsidP="00CA2DC0">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r w:rsidR="00CA2DC0">
        <w:rPr>
          <w:rFonts w:eastAsia="Times New Roman" w:cs="Arial"/>
          <w:sz w:val="18"/>
          <w:szCs w:val="18"/>
        </w:rPr>
        <w:t xml:space="preserve"> </w:t>
      </w:r>
    </w:p>
    <w:p w:rsidR="00BD14D7" w:rsidRDefault="00BD14D7" w:rsidP="00CA2DC0">
      <w:pPr>
        <w:tabs>
          <w:tab w:val="left" w:pos="709"/>
        </w:tabs>
        <w:ind w:left="709" w:hanging="709"/>
        <w:jc w:val="both"/>
        <w:rPr>
          <w:rFonts w:eastAsia="Times New Roman" w:cs="Arial"/>
          <w:sz w:val="18"/>
          <w:szCs w:val="18"/>
        </w:rPr>
      </w:pPr>
    </w:p>
    <w:p w:rsidR="00DF0C78" w:rsidRDefault="00DE2121" w:rsidP="00DF0C78">
      <w:pPr>
        <w:ind w:left="426" w:hanging="426"/>
        <w:jc w:val="both"/>
        <w:rPr>
          <w:rFonts w:eastAsia="Times New Roman" w:cs="Arial"/>
          <w:bCs/>
          <w:iCs/>
          <w:lang w:eastAsia="en-AU"/>
        </w:rPr>
      </w:pPr>
      <w:r w:rsidRPr="007E3A0B">
        <w:rPr>
          <w:rFonts w:eastAsia="Times New Roman" w:cs="Arial"/>
        </w:rPr>
        <w:t>6</w:t>
      </w:r>
      <w:r w:rsidR="004030E3" w:rsidRPr="007E3A0B">
        <w:rPr>
          <w:rFonts w:eastAsia="Times New Roman" w:cs="Arial"/>
        </w:rPr>
        <w:t xml:space="preserve">.1.1(h) </w:t>
      </w:r>
      <w:r w:rsidR="00DF0C78" w:rsidRPr="007E3A0B">
        <w:rPr>
          <w:rFonts w:eastAsia="Times New Roman" w:cs="Arial"/>
          <w:bCs/>
          <w:iCs/>
          <w:lang w:eastAsia="en-AU"/>
        </w:rPr>
        <w:t>The estimated total amount to be raised by each type of service rate or charge, and the estimated total amount to be raised by service rates and charges, compared with the previous financial year</w:t>
      </w:r>
    </w:p>
    <w:p w:rsidR="00202361" w:rsidRPr="0029462D" w:rsidRDefault="00202361" w:rsidP="00DF0C78">
      <w:pPr>
        <w:ind w:left="426" w:hanging="426"/>
        <w:jc w:val="both"/>
        <w:rPr>
          <w:rFonts w:eastAsia="Times New Roman" w:cs="Arial"/>
          <w:bCs/>
          <w:iCs/>
          <w:lang w:eastAsia="en-AU"/>
        </w:rPr>
      </w:pPr>
    </w:p>
    <w:tbl>
      <w:tblPr>
        <w:tblW w:w="5000" w:type="pct"/>
        <w:tblLook w:val="04A0" w:firstRow="1" w:lastRow="0" w:firstColumn="1" w:lastColumn="0" w:noHBand="0" w:noVBand="1"/>
      </w:tblPr>
      <w:tblGrid>
        <w:gridCol w:w="4331"/>
        <w:gridCol w:w="1217"/>
        <w:gridCol w:w="1217"/>
        <w:gridCol w:w="1130"/>
        <w:gridCol w:w="1132"/>
      </w:tblGrid>
      <w:tr w:rsidR="00AD629A" w:rsidRPr="00AD629A" w:rsidTr="00AD629A">
        <w:trPr>
          <w:trHeight w:val="300"/>
        </w:trPr>
        <w:tc>
          <w:tcPr>
            <w:tcW w:w="2418" w:type="pct"/>
            <w:vMerge w:val="restar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 Type of Charge</w:t>
            </w: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2019/20</w:t>
            </w: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2020/21</w:t>
            </w:r>
          </w:p>
        </w:tc>
        <w:tc>
          <w:tcPr>
            <w:tcW w:w="1291" w:type="pct"/>
            <w:gridSpan w:val="2"/>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Change</w:t>
            </w:r>
          </w:p>
        </w:tc>
      </w:tr>
      <w:tr w:rsidR="00AD629A" w:rsidRPr="00AD629A" w:rsidTr="00AD629A">
        <w:trPr>
          <w:trHeight w:val="300"/>
        </w:trPr>
        <w:tc>
          <w:tcPr>
            <w:tcW w:w="2418" w:type="pct"/>
            <w:vMerge/>
            <w:tcBorders>
              <w:top w:val="nil"/>
              <w:left w:val="nil"/>
              <w:bottom w:val="nil"/>
              <w:right w:val="nil"/>
            </w:tcBorders>
            <w:vAlign w:val="center"/>
            <w:hideMark/>
          </w:tcPr>
          <w:p w:rsidR="00AD629A" w:rsidRPr="00AD629A" w:rsidRDefault="00AD629A" w:rsidP="00AD629A">
            <w:pPr>
              <w:rPr>
                <w:rFonts w:eastAsia="Times New Roman" w:cs="Arial"/>
                <w:b/>
                <w:bCs/>
                <w:color w:val="FFFFFF"/>
                <w:sz w:val="18"/>
                <w:szCs w:val="18"/>
                <w:lang w:eastAsia="en-AU"/>
              </w:rPr>
            </w:pP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w:t>
            </w: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w:t>
            </w: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w:t>
            </w:r>
          </w:p>
        </w:tc>
        <w:tc>
          <w:tcPr>
            <w:tcW w:w="645" w:type="pct"/>
            <w:tcBorders>
              <w:top w:val="nil"/>
              <w:left w:val="nil"/>
              <w:bottom w:val="nil"/>
              <w:right w:val="nil"/>
            </w:tcBorders>
            <w:shd w:val="clear" w:color="000000" w:fill="4472C4"/>
            <w:vAlign w:val="center"/>
            <w:hideMark/>
          </w:tcPr>
          <w:p w:rsidR="00AD629A" w:rsidRPr="00AD629A" w:rsidRDefault="00AD629A" w:rsidP="00AD629A">
            <w:pPr>
              <w:jc w:val="center"/>
              <w:rPr>
                <w:rFonts w:eastAsia="Times New Roman" w:cs="Arial"/>
                <w:b/>
                <w:bCs/>
                <w:color w:val="FFFFFF"/>
                <w:sz w:val="18"/>
                <w:szCs w:val="18"/>
                <w:lang w:eastAsia="en-AU"/>
              </w:rPr>
            </w:pPr>
            <w:r w:rsidRPr="00AD629A">
              <w:rPr>
                <w:rFonts w:eastAsia="Times New Roman" w:cs="Arial"/>
                <w:b/>
                <w:bCs/>
                <w:color w:val="FFFFFF"/>
                <w:sz w:val="18"/>
                <w:szCs w:val="18"/>
                <w:lang w:eastAsia="en-AU"/>
              </w:rPr>
              <w:t>%</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Residential 80 Litre Bins</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2,683,530</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2,908,334</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224,804</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8.4%</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Residential 120 Litre Bins</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11,176,738</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11,864,214</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687,476</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6.15%</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 xml:space="preserve">Second and Subsequent Bins*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183,352</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185,785</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2,433</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1.33%</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Additional Residential 120 Litre Bin*</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35,700</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45,715</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10,015</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28.1%</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Additional Residential Garden Organics*</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41,580</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60,656</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19,076</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45.9%</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Commercial 240 Litre Service</w:t>
            </w:r>
          </w:p>
        </w:tc>
        <w:tc>
          <w:tcPr>
            <w:tcW w:w="645" w:type="pct"/>
            <w:tcBorders>
              <w:top w:val="nil"/>
              <w:left w:val="nil"/>
              <w:bottom w:val="nil"/>
              <w:right w:val="nil"/>
            </w:tcBorders>
            <w:shd w:val="clear" w:color="000000" w:fill="D9D9D9"/>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 </w:t>
            </w:r>
          </w:p>
        </w:tc>
        <w:tc>
          <w:tcPr>
            <w:tcW w:w="645" w:type="pct"/>
            <w:tcBorders>
              <w:top w:val="nil"/>
              <w:left w:val="nil"/>
              <w:bottom w:val="nil"/>
              <w:right w:val="nil"/>
            </w:tcBorders>
            <w:shd w:val="clear" w:color="000000" w:fill="D9D9D9"/>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 </w:t>
            </w:r>
          </w:p>
        </w:tc>
        <w:tc>
          <w:tcPr>
            <w:tcW w:w="645" w:type="pct"/>
            <w:tcBorders>
              <w:top w:val="nil"/>
              <w:left w:val="nil"/>
              <w:bottom w:val="nil"/>
              <w:right w:val="nil"/>
            </w:tcBorders>
            <w:shd w:val="clear" w:color="000000" w:fill="D9D9D9"/>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 </w:t>
            </w:r>
          </w:p>
        </w:tc>
        <w:tc>
          <w:tcPr>
            <w:tcW w:w="645" w:type="pct"/>
            <w:tcBorders>
              <w:top w:val="nil"/>
              <w:left w:val="nil"/>
              <w:bottom w:val="nil"/>
              <w:right w:val="nil"/>
            </w:tcBorders>
            <w:shd w:val="clear" w:color="000000" w:fill="D9D9D9"/>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 </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 xml:space="preserve">        One per week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352,927</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377,307</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24,380</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6.9%</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 xml:space="preserve">        Three times per week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173,382</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170,367</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(3,015)</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(1.7%)</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Additional Recycling-Non-residential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12,055</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13,925</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1,871</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15.5%</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Commercial &amp; Industrial Garden Organics#*</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2,545</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4,240</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1,695</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66.6%</w:t>
            </w:r>
          </w:p>
        </w:tc>
      </w:tr>
      <w:tr w:rsidR="00AD629A" w:rsidRPr="00AD629A" w:rsidTr="00AD629A">
        <w:trPr>
          <w:trHeight w:val="300"/>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Industrial 120 Litre Service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100,045</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104,682</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4,636</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4.6%</w:t>
            </w:r>
          </w:p>
        </w:tc>
      </w:tr>
      <w:tr w:rsidR="00AD629A" w:rsidRPr="00AD629A" w:rsidTr="00AD629A">
        <w:trPr>
          <w:trHeight w:val="315"/>
        </w:trPr>
        <w:tc>
          <w:tcPr>
            <w:tcW w:w="2418" w:type="pct"/>
            <w:tcBorders>
              <w:top w:val="nil"/>
              <w:left w:val="nil"/>
              <w:bottom w:val="nil"/>
              <w:right w:val="nil"/>
            </w:tcBorders>
            <w:shd w:val="clear" w:color="auto" w:fill="auto"/>
            <w:vAlign w:val="center"/>
            <w:hideMark/>
          </w:tcPr>
          <w:p w:rsidR="00AD629A" w:rsidRPr="00AD629A" w:rsidRDefault="00AD629A" w:rsidP="00AD629A">
            <w:pPr>
              <w:jc w:val="both"/>
              <w:rPr>
                <w:rFonts w:eastAsia="Times New Roman" w:cs="Arial"/>
                <w:sz w:val="20"/>
                <w:szCs w:val="20"/>
                <w:lang w:eastAsia="en-AU"/>
              </w:rPr>
            </w:pPr>
            <w:r w:rsidRPr="00AD629A">
              <w:rPr>
                <w:rFonts w:eastAsia="Times New Roman" w:cs="Arial"/>
                <w:sz w:val="20"/>
                <w:szCs w:val="20"/>
                <w:lang w:eastAsia="en-AU"/>
              </w:rPr>
              <w:t>Industrial 80 Litre Service #</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6,145</w:t>
            </w:r>
          </w:p>
        </w:tc>
        <w:tc>
          <w:tcPr>
            <w:tcW w:w="645" w:type="pct"/>
            <w:tcBorders>
              <w:top w:val="nil"/>
              <w:left w:val="nil"/>
              <w:bottom w:val="nil"/>
              <w:right w:val="nil"/>
            </w:tcBorders>
            <w:shd w:val="clear" w:color="000000" w:fill="D9E1F2"/>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6,775</w:t>
            </w:r>
          </w:p>
        </w:tc>
        <w:tc>
          <w:tcPr>
            <w:tcW w:w="645" w:type="pct"/>
            <w:tcBorders>
              <w:top w:val="nil"/>
              <w:left w:val="nil"/>
              <w:bottom w:val="nil"/>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629</w:t>
            </w:r>
          </w:p>
        </w:tc>
        <w:tc>
          <w:tcPr>
            <w:tcW w:w="645" w:type="pct"/>
            <w:tcBorders>
              <w:top w:val="nil"/>
              <w:left w:val="nil"/>
              <w:bottom w:val="nil"/>
              <w:right w:val="nil"/>
            </w:tcBorders>
            <w:shd w:val="clear" w:color="auto" w:fill="auto"/>
            <w:vAlign w:val="bottom"/>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10.2%</w:t>
            </w:r>
          </w:p>
        </w:tc>
      </w:tr>
      <w:tr w:rsidR="00AD629A" w:rsidRPr="00AD629A" w:rsidTr="00FE4805">
        <w:trPr>
          <w:trHeight w:val="315"/>
        </w:trPr>
        <w:tc>
          <w:tcPr>
            <w:tcW w:w="2418" w:type="pct"/>
            <w:tcBorders>
              <w:top w:val="nil"/>
              <w:left w:val="nil"/>
              <w:bottom w:val="single" w:sz="8" w:space="0" w:color="auto"/>
              <w:right w:val="nil"/>
            </w:tcBorders>
            <w:shd w:val="clear" w:color="auto" w:fill="auto"/>
            <w:vAlign w:val="center"/>
            <w:hideMark/>
          </w:tcPr>
          <w:p w:rsidR="00AD629A" w:rsidRPr="00AD629A" w:rsidRDefault="00AD629A" w:rsidP="00AD629A">
            <w:pPr>
              <w:jc w:val="both"/>
              <w:rPr>
                <w:rFonts w:eastAsia="Times New Roman" w:cs="Arial"/>
                <w:b/>
                <w:bCs/>
                <w:sz w:val="20"/>
                <w:szCs w:val="20"/>
                <w:lang w:eastAsia="en-AU"/>
              </w:rPr>
            </w:pPr>
            <w:r w:rsidRPr="00AD629A">
              <w:rPr>
                <w:rFonts w:eastAsia="Times New Roman" w:cs="Arial"/>
                <w:b/>
                <w:bCs/>
                <w:sz w:val="20"/>
                <w:szCs w:val="20"/>
                <w:lang w:eastAsia="en-AU"/>
              </w:rPr>
              <w:t xml:space="preserve">Total </w:t>
            </w:r>
          </w:p>
        </w:tc>
        <w:tc>
          <w:tcPr>
            <w:tcW w:w="645" w:type="pct"/>
            <w:tcBorders>
              <w:top w:val="single" w:sz="8" w:space="0" w:color="auto"/>
              <w:left w:val="nil"/>
              <w:bottom w:val="single" w:sz="8" w:space="0" w:color="auto"/>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14,768,000</w:t>
            </w:r>
          </w:p>
        </w:tc>
        <w:tc>
          <w:tcPr>
            <w:tcW w:w="645" w:type="pct"/>
            <w:tcBorders>
              <w:top w:val="single" w:sz="8" w:space="0" w:color="auto"/>
              <w:left w:val="nil"/>
              <w:bottom w:val="single" w:sz="8" w:space="0" w:color="auto"/>
              <w:right w:val="nil"/>
            </w:tcBorders>
            <w:shd w:val="clear" w:color="auto" w:fill="auto"/>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15,742,000</w:t>
            </w:r>
          </w:p>
        </w:tc>
        <w:tc>
          <w:tcPr>
            <w:tcW w:w="645" w:type="pct"/>
            <w:tcBorders>
              <w:top w:val="single" w:sz="8" w:space="0" w:color="auto"/>
              <w:left w:val="nil"/>
              <w:bottom w:val="single" w:sz="8" w:space="0" w:color="auto"/>
              <w:right w:val="nil"/>
            </w:tcBorders>
            <w:shd w:val="clear" w:color="auto" w:fill="auto"/>
            <w:vAlign w:val="center"/>
            <w:hideMark/>
          </w:tcPr>
          <w:p w:rsidR="00AD629A" w:rsidRPr="00AD629A" w:rsidRDefault="00AD629A" w:rsidP="00AD629A">
            <w:pPr>
              <w:jc w:val="right"/>
              <w:rPr>
                <w:rFonts w:eastAsia="Times New Roman" w:cs="Arial"/>
                <w:sz w:val="20"/>
                <w:szCs w:val="20"/>
                <w:lang w:eastAsia="en-AU"/>
              </w:rPr>
            </w:pPr>
            <w:r w:rsidRPr="00AD629A">
              <w:rPr>
                <w:rFonts w:eastAsia="Times New Roman" w:cs="Arial"/>
                <w:sz w:val="20"/>
                <w:szCs w:val="20"/>
                <w:lang w:eastAsia="en-AU"/>
              </w:rPr>
              <w:t>974,000</w:t>
            </w:r>
          </w:p>
        </w:tc>
        <w:tc>
          <w:tcPr>
            <w:tcW w:w="645" w:type="pct"/>
            <w:tcBorders>
              <w:top w:val="single" w:sz="8" w:space="0" w:color="auto"/>
              <w:left w:val="nil"/>
              <w:bottom w:val="single" w:sz="8" w:space="0" w:color="auto"/>
              <w:right w:val="nil"/>
            </w:tcBorders>
            <w:shd w:val="clear" w:color="auto" w:fill="auto"/>
            <w:vAlign w:val="center"/>
            <w:hideMark/>
          </w:tcPr>
          <w:p w:rsidR="00AD629A" w:rsidRPr="00AD629A" w:rsidRDefault="00AD629A" w:rsidP="00AD629A">
            <w:pPr>
              <w:jc w:val="right"/>
              <w:rPr>
                <w:rFonts w:eastAsia="Times New Roman" w:cs="Arial"/>
                <w:b/>
                <w:bCs/>
                <w:sz w:val="20"/>
                <w:szCs w:val="20"/>
                <w:lang w:eastAsia="en-AU"/>
              </w:rPr>
            </w:pPr>
            <w:r w:rsidRPr="00AD629A">
              <w:rPr>
                <w:rFonts w:eastAsia="Times New Roman" w:cs="Arial"/>
                <w:b/>
                <w:bCs/>
                <w:sz w:val="20"/>
                <w:szCs w:val="20"/>
                <w:lang w:eastAsia="en-AU"/>
              </w:rPr>
              <w:t>6.6%</w:t>
            </w:r>
          </w:p>
        </w:tc>
      </w:tr>
    </w:tbl>
    <w:p w:rsidR="00DF0C78" w:rsidRPr="0029462D" w:rsidRDefault="00DF0C78" w:rsidP="00DF0C78">
      <w:pPr>
        <w:rPr>
          <w:rFonts w:eastAsia="Times New Roman" w:cs="Arial"/>
          <w:sz w:val="20"/>
          <w:szCs w:val="20"/>
        </w:rPr>
      </w:pPr>
    </w:p>
    <w:p w:rsidR="00DF0C78" w:rsidRPr="0029462D" w:rsidRDefault="00DF0C78" w:rsidP="00DF0C78">
      <w:pPr>
        <w:tabs>
          <w:tab w:val="left" w:pos="993"/>
        </w:tabs>
        <w:jc w:val="both"/>
        <w:rPr>
          <w:rFonts w:eastAsia="Times New Roman" w:cs="Arial"/>
          <w:sz w:val="18"/>
          <w:szCs w:val="18"/>
        </w:rPr>
      </w:pPr>
      <w:r w:rsidRPr="0029462D">
        <w:rPr>
          <w:rFonts w:eastAsia="Times New Roman" w:cs="Arial"/>
          <w:sz w:val="18"/>
          <w:szCs w:val="18"/>
        </w:rPr>
        <w:t>#These figures exclude GST on Industrial, Commercial and second bin Residential Services.</w:t>
      </w:r>
    </w:p>
    <w:p w:rsidR="00DF0C78" w:rsidRPr="0029462D" w:rsidRDefault="00DF0C78" w:rsidP="00DF0C78">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p>
    <w:p w:rsidR="006B0EFF" w:rsidRDefault="00615641" w:rsidP="00DF0C78">
      <w:pPr>
        <w:rPr>
          <w:rFonts w:eastAsia="Times New Roman" w:cs="Arial"/>
          <w:sz w:val="20"/>
          <w:szCs w:val="20"/>
        </w:rPr>
      </w:pPr>
      <w:r>
        <w:rPr>
          <w:rFonts w:eastAsia="Times New Roman" w:cs="Arial"/>
          <w:sz w:val="20"/>
          <w:szCs w:val="20"/>
        </w:rPr>
        <w:t xml:space="preserve"> </w:t>
      </w:r>
    </w:p>
    <w:p w:rsidR="006B0EFF" w:rsidRDefault="006B0EFF">
      <w:pPr>
        <w:rPr>
          <w:rFonts w:eastAsia="Times New Roman" w:cs="Arial"/>
          <w:sz w:val="20"/>
          <w:szCs w:val="20"/>
        </w:rPr>
      </w:pPr>
      <w:r>
        <w:rPr>
          <w:rFonts w:eastAsia="Times New Roman" w:cs="Arial"/>
          <w:sz w:val="20"/>
          <w:szCs w:val="20"/>
        </w:rPr>
        <w:br w:type="page"/>
      </w:r>
    </w:p>
    <w:p w:rsidR="00DF0C78" w:rsidRPr="0029462D" w:rsidRDefault="00DF0C78" w:rsidP="00DF0C78">
      <w:pPr>
        <w:rPr>
          <w:rFonts w:eastAsia="Times New Roman" w:cs="Arial"/>
          <w:sz w:val="20"/>
          <w:szCs w:val="20"/>
        </w:rPr>
      </w:pPr>
    </w:p>
    <w:p w:rsidR="00DF0C78" w:rsidRPr="0029462D" w:rsidRDefault="00DE2121" w:rsidP="00DF0C78">
      <w:pPr>
        <w:ind w:left="426" w:hanging="426"/>
        <w:jc w:val="both"/>
        <w:rPr>
          <w:rFonts w:eastAsia="Times New Roman" w:cs="Arial"/>
        </w:rPr>
      </w:pPr>
      <w:r w:rsidRPr="00CC2B91">
        <w:rPr>
          <w:rFonts w:eastAsia="Times New Roman" w:cs="Arial"/>
        </w:rPr>
        <w:t>6</w:t>
      </w:r>
      <w:r w:rsidR="00EF6C40" w:rsidRPr="00CC2B91">
        <w:rPr>
          <w:rFonts w:eastAsia="Times New Roman" w:cs="Arial"/>
        </w:rPr>
        <w:t>.1.1(</w:t>
      </w:r>
      <w:r w:rsidR="002D4779" w:rsidRPr="00CC2B91">
        <w:rPr>
          <w:rFonts w:eastAsia="Times New Roman" w:cs="Arial"/>
        </w:rPr>
        <w:t>i</w:t>
      </w:r>
      <w:r w:rsidR="00EF6C40" w:rsidRPr="00CC2B91">
        <w:rPr>
          <w:rFonts w:eastAsia="Times New Roman" w:cs="Arial"/>
        </w:rPr>
        <w:t xml:space="preserve">) </w:t>
      </w:r>
      <w:r w:rsidR="00DF0C78" w:rsidRPr="00CC2B91">
        <w:rPr>
          <w:rFonts w:eastAsia="Times New Roman" w:cs="Arial"/>
          <w:bCs/>
          <w:iCs/>
          <w:lang w:eastAsia="en-AU"/>
        </w:rPr>
        <w:t>The estimated total amount to be raised by all rates and charges compared with the previous financial year</w:t>
      </w:r>
    </w:p>
    <w:p w:rsidR="00DF0C78" w:rsidRDefault="00DF0C78" w:rsidP="00DF0C78">
      <w:pPr>
        <w:rPr>
          <w:rFonts w:eastAsia="Times New Roman" w:cs="Arial"/>
          <w:sz w:val="20"/>
          <w:szCs w:val="20"/>
        </w:rPr>
      </w:pPr>
    </w:p>
    <w:tbl>
      <w:tblPr>
        <w:tblW w:w="5000" w:type="pct"/>
        <w:tblLook w:val="04A0" w:firstRow="1" w:lastRow="0" w:firstColumn="1" w:lastColumn="0" w:noHBand="0" w:noVBand="1"/>
      </w:tblPr>
      <w:tblGrid>
        <w:gridCol w:w="3451"/>
        <w:gridCol w:w="1394"/>
        <w:gridCol w:w="1394"/>
        <w:gridCol w:w="1394"/>
        <w:gridCol w:w="1394"/>
      </w:tblGrid>
      <w:tr w:rsidR="00C75D63" w:rsidRPr="00C75D63" w:rsidTr="00C75D63">
        <w:trPr>
          <w:trHeight w:val="300"/>
        </w:trPr>
        <w:tc>
          <w:tcPr>
            <w:tcW w:w="1911" w:type="pct"/>
            <w:vMerge w:val="restar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 </w:t>
            </w: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2019/20</w:t>
            </w: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2020/21</w:t>
            </w:r>
          </w:p>
        </w:tc>
        <w:tc>
          <w:tcPr>
            <w:tcW w:w="1544" w:type="pct"/>
            <w:gridSpan w:val="2"/>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Change</w:t>
            </w:r>
          </w:p>
        </w:tc>
      </w:tr>
      <w:tr w:rsidR="00C75D63" w:rsidRPr="00C75D63" w:rsidTr="00C75D63">
        <w:trPr>
          <w:trHeight w:val="300"/>
        </w:trPr>
        <w:tc>
          <w:tcPr>
            <w:tcW w:w="1911" w:type="pct"/>
            <w:vMerge/>
            <w:tcBorders>
              <w:top w:val="nil"/>
              <w:left w:val="nil"/>
              <w:bottom w:val="nil"/>
              <w:right w:val="nil"/>
            </w:tcBorders>
            <w:vAlign w:val="center"/>
            <w:hideMark/>
          </w:tcPr>
          <w:p w:rsidR="00C75D63" w:rsidRPr="00C75D63" w:rsidRDefault="00C75D63" w:rsidP="00C75D63">
            <w:pPr>
              <w:rPr>
                <w:rFonts w:eastAsia="Times New Roman" w:cs="Arial"/>
                <w:b/>
                <w:bCs/>
                <w:color w:val="FFFFFF"/>
                <w:sz w:val="18"/>
                <w:szCs w:val="18"/>
                <w:lang w:eastAsia="en-AU"/>
              </w:rPr>
            </w:pP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rsidR="00C75D63" w:rsidRPr="00C75D63" w:rsidRDefault="00C75D63" w:rsidP="00C75D63">
            <w:pPr>
              <w:jc w:val="center"/>
              <w:rPr>
                <w:rFonts w:eastAsia="Times New Roman" w:cs="Arial"/>
                <w:b/>
                <w:bCs/>
                <w:color w:val="FFFFFF"/>
                <w:sz w:val="18"/>
                <w:szCs w:val="18"/>
                <w:lang w:eastAsia="en-AU"/>
              </w:rPr>
            </w:pPr>
            <w:r w:rsidRPr="00C75D63">
              <w:rPr>
                <w:rFonts w:eastAsia="Times New Roman" w:cs="Arial"/>
                <w:b/>
                <w:bCs/>
                <w:color w:val="FFFFFF"/>
                <w:sz w:val="18"/>
                <w:szCs w:val="18"/>
                <w:lang w:eastAsia="en-AU"/>
              </w:rPr>
              <w:t>%</w:t>
            </w:r>
          </w:p>
        </w:tc>
      </w:tr>
      <w:tr w:rsidR="00C75D63" w:rsidRPr="00C75D63" w:rsidTr="00C75D63">
        <w:trPr>
          <w:trHeight w:val="300"/>
        </w:trPr>
        <w:tc>
          <w:tcPr>
            <w:tcW w:w="1911" w:type="pct"/>
            <w:tcBorders>
              <w:top w:val="nil"/>
              <w:left w:val="nil"/>
              <w:bottom w:val="nil"/>
              <w:right w:val="nil"/>
            </w:tcBorders>
            <w:shd w:val="clear" w:color="auto" w:fill="auto"/>
            <w:vAlign w:val="center"/>
            <w:hideMark/>
          </w:tcPr>
          <w:p w:rsidR="00C75D63" w:rsidRPr="00C75D63" w:rsidRDefault="00C75D63" w:rsidP="00C75D63">
            <w:pPr>
              <w:rPr>
                <w:rFonts w:eastAsia="Times New Roman" w:cs="Arial"/>
                <w:sz w:val="20"/>
                <w:szCs w:val="20"/>
                <w:lang w:eastAsia="en-AU"/>
              </w:rPr>
            </w:pPr>
            <w:r w:rsidRPr="00C75D63">
              <w:rPr>
                <w:rFonts w:eastAsia="Times New Roman" w:cs="Arial"/>
                <w:sz w:val="20"/>
                <w:szCs w:val="20"/>
                <w:lang w:eastAsia="en-AU"/>
              </w:rPr>
              <w:t>General rates</w:t>
            </w:r>
          </w:p>
        </w:tc>
        <w:tc>
          <w:tcPr>
            <w:tcW w:w="772" w:type="pct"/>
            <w:tcBorders>
              <w:top w:val="nil"/>
              <w:left w:val="nil"/>
              <w:bottom w:val="nil"/>
              <w:right w:val="nil"/>
            </w:tcBorders>
            <w:shd w:val="clear" w:color="auto" w:fill="auto"/>
            <w:vAlign w:val="center"/>
            <w:hideMark/>
          </w:tcPr>
          <w:p w:rsidR="00C75D63" w:rsidRPr="00C75D63" w:rsidRDefault="00C75D63" w:rsidP="00C75D63">
            <w:pPr>
              <w:jc w:val="right"/>
              <w:rPr>
                <w:rFonts w:eastAsia="Times New Roman" w:cs="Arial"/>
                <w:sz w:val="20"/>
                <w:szCs w:val="20"/>
                <w:lang w:eastAsia="en-AU"/>
              </w:rPr>
            </w:pPr>
            <w:r w:rsidRPr="00C75D63">
              <w:rPr>
                <w:rFonts w:eastAsia="Times New Roman" w:cs="Arial"/>
                <w:sz w:val="20"/>
                <w:szCs w:val="20"/>
                <w:lang w:eastAsia="en-AU"/>
              </w:rPr>
              <w:t xml:space="preserve">           76,885,798 </w:t>
            </w:r>
          </w:p>
        </w:tc>
        <w:tc>
          <w:tcPr>
            <w:tcW w:w="772" w:type="pct"/>
            <w:tcBorders>
              <w:top w:val="nil"/>
              <w:left w:val="nil"/>
              <w:bottom w:val="nil"/>
              <w:right w:val="nil"/>
            </w:tcBorders>
            <w:shd w:val="clear" w:color="000000" w:fill="DDEBF7"/>
            <w:vAlign w:val="center"/>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 xml:space="preserve">           79,396,710 </w:t>
            </w:r>
          </w:p>
        </w:tc>
        <w:tc>
          <w:tcPr>
            <w:tcW w:w="772" w:type="pct"/>
            <w:tcBorders>
              <w:top w:val="nil"/>
              <w:left w:val="nil"/>
              <w:bottom w:val="nil"/>
              <w:right w:val="nil"/>
            </w:tcBorders>
            <w:shd w:val="clear" w:color="auto" w:fill="auto"/>
            <w:vAlign w:val="center"/>
            <w:hideMark/>
          </w:tcPr>
          <w:p w:rsidR="00C75D63" w:rsidRPr="00C75D63" w:rsidRDefault="00C75D63" w:rsidP="00C75D63">
            <w:pPr>
              <w:jc w:val="right"/>
              <w:rPr>
                <w:rFonts w:eastAsia="Times New Roman" w:cs="Arial"/>
                <w:sz w:val="20"/>
                <w:szCs w:val="20"/>
                <w:lang w:eastAsia="en-AU"/>
              </w:rPr>
            </w:pPr>
            <w:r w:rsidRPr="00C75D63">
              <w:rPr>
                <w:rFonts w:eastAsia="Times New Roman" w:cs="Arial"/>
                <w:sz w:val="20"/>
                <w:szCs w:val="20"/>
                <w:lang w:eastAsia="en-AU"/>
              </w:rPr>
              <w:t xml:space="preserve">            2,510,912 </w:t>
            </w:r>
          </w:p>
        </w:tc>
        <w:tc>
          <w:tcPr>
            <w:tcW w:w="772" w:type="pct"/>
            <w:tcBorders>
              <w:top w:val="nil"/>
              <w:left w:val="nil"/>
              <w:bottom w:val="nil"/>
              <w:right w:val="nil"/>
            </w:tcBorders>
            <w:shd w:val="clear" w:color="auto" w:fill="auto"/>
            <w:vAlign w:val="bottom"/>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3.3%</w:t>
            </w:r>
          </w:p>
        </w:tc>
      </w:tr>
      <w:tr w:rsidR="00C75D63" w:rsidRPr="00C75D63" w:rsidTr="00C75D63">
        <w:trPr>
          <w:trHeight w:val="315"/>
        </w:trPr>
        <w:tc>
          <w:tcPr>
            <w:tcW w:w="1911" w:type="pct"/>
            <w:tcBorders>
              <w:top w:val="nil"/>
              <w:left w:val="nil"/>
              <w:bottom w:val="nil"/>
              <w:right w:val="nil"/>
            </w:tcBorders>
            <w:shd w:val="clear" w:color="auto" w:fill="auto"/>
            <w:vAlign w:val="center"/>
            <w:hideMark/>
          </w:tcPr>
          <w:p w:rsidR="00C75D63" w:rsidRPr="00C75D63" w:rsidRDefault="00C75D63" w:rsidP="00C75D63">
            <w:pPr>
              <w:rPr>
                <w:rFonts w:eastAsia="Times New Roman" w:cs="Arial"/>
                <w:sz w:val="20"/>
                <w:szCs w:val="20"/>
                <w:lang w:eastAsia="en-AU"/>
              </w:rPr>
            </w:pPr>
            <w:r w:rsidRPr="00C75D63">
              <w:rPr>
                <w:rFonts w:eastAsia="Times New Roman" w:cs="Arial"/>
                <w:sz w:val="20"/>
                <w:szCs w:val="20"/>
                <w:lang w:eastAsia="en-AU"/>
              </w:rPr>
              <w:t>Service (Garbage) Charges #</w:t>
            </w:r>
          </w:p>
        </w:tc>
        <w:tc>
          <w:tcPr>
            <w:tcW w:w="772" w:type="pct"/>
            <w:tcBorders>
              <w:top w:val="nil"/>
              <w:left w:val="nil"/>
              <w:bottom w:val="nil"/>
              <w:right w:val="nil"/>
            </w:tcBorders>
            <w:shd w:val="clear" w:color="auto" w:fill="auto"/>
            <w:vAlign w:val="center"/>
            <w:hideMark/>
          </w:tcPr>
          <w:p w:rsidR="00C75D63" w:rsidRPr="00C75D63" w:rsidRDefault="00C75D63" w:rsidP="00C75D63">
            <w:pPr>
              <w:jc w:val="right"/>
              <w:rPr>
                <w:rFonts w:eastAsia="Times New Roman" w:cs="Arial"/>
                <w:sz w:val="20"/>
                <w:szCs w:val="20"/>
                <w:lang w:eastAsia="en-AU"/>
              </w:rPr>
            </w:pPr>
            <w:r w:rsidRPr="00C75D63">
              <w:rPr>
                <w:rFonts w:eastAsia="Times New Roman" w:cs="Arial"/>
                <w:sz w:val="20"/>
                <w:szCs w:val="20"/>
                <w:lang w:eastAsia="en-AU"/>
              </w:rPr>
              <w:t xml:space="preserve">           14,768,000 </w:t>
            </w:r>
          </w:p>
        </w:tc>
        <w:tc>
          <w:tcPr>
            <w:tcW w:w="772" w:type="pct"/>
            <w:tcBorders>
              <w:top w:val="nil"/>
              <w:left w:val="nil"/>
              <w:bottom w:val="nil"/>
              <w:right w:val="nil"/>
            </w:tcBorders>
            <w:shd w:val="clear" w:color="000000" w:fill="DDEBF7"/>
            <w:vAlign w:val="center"/>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 xml:space="preserve">           15,742,000 </w:t>
            </w:r>
          </w:p>
        </w:tc>
        <w:tc>
          <w:tcPr>
            <w:tcW w:w="772" w:type="pct"/>
            <w:tcBorders>
              <w:top w:val="nil"/>
              <w:left w:val="nil"/>
              <w:bottom w:val="nil"/>
              <w:right w:val="nil"/>
            </w:tcBorders>
            <w:shd w:val="clear" w:color="auto" w:fill="auto"/>
            <w:vAlign w:val="center"/>
            <w:hideMark/>
          </w:tcPr>
          <w:p w:rsidR="00C75D63" w:rsidRPr="00C75D63" w:rsidRDefault="00C75D63" w:rsidP="00C75D63">
            <w:pPr>
              <w:jc w:val="right"/>
              <w:rPr>
                <w:rFonts w:eastAsia="Times New Roman" w:cs="Arial"/>
                <w:sz w:val="20"/>
                <w:szCs w:val="20"/>
                <w:lang w:eastAsia="en-AU"/>
              </w:rPr>
            </w:pPr>
            <w:r w:rsidRPr="00C75D63">
              <w:rPr>
                <w:rFonts w:eastAsia="Times New Roman" w:cs="Arial"/>
                <w:sz w:val="20"/>
                <w:szCs w:val="20"/>
                <w:lang w:eastAsia="en-AU"/>
              </w:rPr>
              <w:t xml:space="preserve">               974,000 </w:t>
            </w:r>
          </w:p>
        </w:tc>
        <w:tc>
          <w:tcPr>
            <w:tcW w:w="772" w:type="pct"/>
            <w:tcBorders>
              <w:top w:val="nil"/>
              <w:left w:val="nil"/>
              <w:bottom w:val="nil"/>
              <w:right w:val="nil"/>
            </w:tcBorders>
            <w:shd w:val="clear" w:color="auto" w:fill="auto"/>
            <w:vAlign w:val="bottom"/>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6.6%</w:t>
            </w:r>
          </w:p>
        </w:tc>
      </w:tr>
      <w:tr w:rsidR="00C75D63" w:rsidRPr="00C75D63" w:rsidTr="00C75D63">
        <w:trPr>
          <w:trHeight w:val="315"/>
        </w:trPr>
        <w:tc>
          <w:tcPr>
            <w:tcW w:w="1911" w:type="pct"/>
            <w:tcBorders>
              <w:top w:val="nil"/>
              <w:left w:val="nil"/>
              <w:bottom w:val="single" w:sz="8" w:space="0" w:color="auto"/>
              <w:right w:val="nil"/>
            </w:tcBorders>
            <w:shd w:val="clear" w:color="auto" w:fill="auto"/>
            <w:vAlign w:val="center"/>
            <w:hideMark/>
          </w:tcPr>
          <w:p w:rsidR="00C75D63" w:rsidRPr="00C75D63" w:rsidRDefault="00C75D63" w:rsidP="00C75D63">
            <w:pPr>
              <w:jc w:val="both"/>
              <w:rPr>
                <w:rFonts w:eastAsia="Times New Roman" w:cs="Arial"/>
                <w:b/>
                <w:bCs/>
                <w:sz w:val="20"/>
                <w:szCs w:val="20"/>
                <w:lang w:eastAsia="en-AU"/>
              </w:rPr>
            </w:pPr>
            <w:r w:rsidRPr="00C75D63">
              <w:rPr>
                <w:rFonts w:eastAsia="Times New Roman" w:cs="Arial"/>
                <w:b/>
                <w:bCs/>
                <w:sz w:val="20"/>
                <w:szCs w:val="20"/>
                <w:lang w:eastAsia="en-AU"/>
              </w:rPr>
              <w:t>Total Rates and charges</w:t>
            </w:r>
          </w:p>
        </w:tc>
        <w:tc>
          <w:tcPr>
            <w:tcW w:w="772" w:type="pct"/>
            <w:tcBorders>
              <w:top w:val="single" w:sz="8" w:space="0" w:color="auto"/>
              <w:left w:val="nil"/>
              <w:bottom w:val="single" w:sz="8" w:space="0" w:color="auto"/>
              <w:right w:val="nil"/>
            </w:tcBorders>
            <w:shd w:val="clear" w:color="auto" w:fill="auto"/>
            <w:vAlign w:val="center"/>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 xml:space="preserve">           91,653,798 </w:t>
            </w:r>
          </w:p>
        </w:tc>
        <w:tc>
          <w:tcPr>
            <w:tcW w:w="772" w:type="pct"/>
            <w:tcBorders>
              <w:top w:val="single" w:sz="8" w:space="0" w:color="auto"/>
              <w:left w:val="nil"/>
              <w:bottom w:val="single" w:sz="8" w:space="0" w:color="auto"/>
              <w:right w:val="nil"/>
            </w:tcBorders>
            <w:shd w:val="clear" w:color="000000" w:fill="DDEBF7"/>
            <w:vAlign w:val="center"/>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 xml:space="preserve">           95,138,710 </w:t>
            </w:r>
          </w:p>
        </w:tc>
        <w:tc>
          <w:tcPr>
            <w:tcW w:w="772" w:type="pct"/>
            <w:tcBorders>
              <w:top w:val="single" w:sz="8" w:space="0" w:color="auto"/>
              <w:left w:val="nil"/>
              <w:bottom w:val="single" w:sz="8" w:space="0" w:color="auto"/>
              <w:right w:val="nil"/>
            </w:tcBorders>
            <w:shd w:val="clear" w:color="auto" w:fill="auto"/>
            <w:vAlign w:val="center"/>
            <w:hideMark/>
          </w:tcPr>
          <w:p w:rsidR="00C75D63" w:rsidRPr="00C75D63" w:rsidRDefault="00C75D63" w:rsidP="00C75D63">
            <w:pPr>
              <w:jc w:val="right"/>
              <w:rPr>
                <w:rFonts w:eastAsia="Times New Roman" w:cs="Arial"/>
                <w:sz w:val="20"/>
                <w:szCs w:val="20"/>
                <w:lang w:eastAsia="en-AU"/>
              </w:rPr>
            </w:pPr>
            <w:r w:rsidRPr="00C75D63">
              <w:rPr>
                <w:rFonts w:eastAsia="Times New Roman" w:cs="Arial"/>
                <w:sz w:val="20"/>
                <w:szCs w:val="20"/>
                <w:lang w:eastAsia="en-AU"/>
              </w:rPr>
              <w:t xml:space="preserve">            3,484,912 </w:t>
            </w:r>
          </w:p>
        </w:tc>
        <w:tc>
          <w:tcPr>
            <w:tcW w:w="772" w:type="pct"/>
            <w:tcBorders>
              <w:top w:val="single" w:sz="8" w:space="0" w:color="auto"/>
              <w:left w:val="nil"/>
              <w:bottom w:val="single" w:sz="8" w:space="0" w:color="auto"/>
              <w:right w:val="nil"/>
            </w:tcBorders>
            <w:shd w:val="clear" w:color="auto" w:fill="auto"/>
            <w:vAlign w:val="bottom"/>
            <w:hideMark/>
          </w:tcPr>
          <w:p w:rsidR="00C75D63" w:rsidRPr="00C75D63" w:rsidRDefault="00C75D63" w:rsidP="00C75D63">
            <w:pPr>
              <w:jc w:val="right"/>
              <w:rPr>
                <w:rFonts w:eastAsia="Times New Roman" w:cs="Arial"/>
                <w:b/>
                <w:bCs/>
                <w:sz w:val="20"/>
                <w:szCs w:val="20"/>
                <w:lang w:eastAsia="en-AU"/>
              </w:rPr>
            </w:pPr>
            <w:r w:rsidRPr="00C75D63">
              <w:rPr>
                <w:rFonts w:eastAsia="Times New Roman" w:cs="Arial"/>
                <w:b/>
                <w:bCs/>
                <w:sz w:val="20"/>
                <w:szCs w:val="20"/>
                <w:lang w:eastAsia="en-AU"/>
              </w:rPr>
              <w:t>3.8%</w:t>
            </w:r>
          </w:p>
        </w:tc>
      </w:tr>
    </w:tbl>
    <w:p w:rsidR="008627F4" w:rsidRPr="0029462D" w:rsidRDefault="008627F4" w:rsidP="00DF0C78">
      <w:pPr>
        <w:rPr>
          <w:rFonts w:eastAsia="Times New Roman" w:cs="Arial"/>
          <w:sz w:val="20"/>
          <w:szCs w:val="20"/>
        </w:rPr>
      </w:pPr>
    </w:p>
    <w:p w:rsidR="00DF0C78" w:rsidRDefault="00DF0C78" w:rsidP="00DF0C78">
      <w:pPr>
        <w:spacing w:after="120" w:line="480" w:lineRule="auto"/>
        <w:ind w:left="283"/>
        <w:jc w:val="both"/>
        <w:rPr>
          <w:rFonts w:eastAsia="Times New Roman" w:cs="Arial"/>
          <w:sz w:val="20"/>
          <w:szCs w:val="20"/>
        </w:rPr>
      </w:pPr>
      <w:r w:rsidRPr="0029462D">
        <w:rPr>
          <w:rFonts w:eastAsia="Times New Roman" w:cs="Arial"/>
          <w:sz w:val="18"/>
          <w:szCs w:val="18"/>
        </w:rPr>
        <w:t>#These figures exclude GST on Industrial, Commercial and additional recycling-non-residential</w:t>
      </w:r>
      <w:r w:rsidRPr="0029462D">
        <w:rPr>
          <w:rFonts w:eastAsia="Times New Roman" w:cs="Arial"/>
          <w:sz w:val="20"/>
          <w:szCs w:val="20"/>
        </w:rPr>
        <w:t xml:space="preserve"> Services.</w:t>
      </w:r>
    </w:p>
    <w:p w:rsidR="00FA370B" w:rsidRPr="00CC2B91" w:rsidRDefault="00DE2121" w:rsidP="00FA370B">
      <w:pPr>
        <w:jc w:val="both"/>
        <w:rPr>
          <w:rFonts w:cs="Arial"/>
        </w:rPr>
      </w:pPr>
      <w:r w:rsidRPr="00CC2B91">
        <w:rPr>
          <w:rFonts w:cs="Arial"/>
        </w:rPr>
        <w:t>6</w:t>
      </w:r>
      <w:r w:rsidR="00FA370B" w:rsidRPr="00CC2B91">
        <w:rPr>
          <w:rFonts w:cs="Arial"/>
        </w:rPr>
        <w:t>.1.1(j) Fair Go Rates System Compliance</w:t>
      </w:r>
    </w:p>
    <w:p w:rsidR="00FA370B" w:rsidRPr="00E4283C" w:rsidRDefault="00FA370B" w:rsidP="00FA370B">
      <w:pPr>
        <w:jc w:val="both"/>
        <w:rPr>
          <w:rFonts w:cs="Arial"/>
          <w:highlight w:val="yellow"/>
        </w:rPr>
      </w:pPr>
    </w:p>
    <w:p w:rsidR="00FA370B" w:rsidRPr="00BC5888" w:rsidRDefault="00FA370B" w:rsidP="00FA370B">
      <w:pPr>
        <w:jc w:val="both"/>
        <w:rPr>
          <w:rFonts w:cs="Arial"/>
          <w:lang w:eastAsia="en-AU"/>
        </w:rPr>
      </w:pPr>
      <w:r w:rsidRPr="00BC5888">
        <w:rPr>
          <w:rFonts w:cs="Arial"/>
          <w:lang w:eastAsia="en-AU"/>
        </w:rPr>
        <w:t>Maroondah City Council is fully compliant with the State Government’s Fair Go Rates System.</w:t>
      </w:r>
    </w:p>
    <w:p w:rsidR="00FA370B" w:rsidRPr="00E4283C" w:rsidRDefault="00FA370B" w:rsidP="00FA370B">
      <w:pPr>
        <w:jc w:val="both"/>
        <w:rPr>
          <w:rFonts w:cs="Arial"/>
          <w:highlight w:val="yellow"/>
          <w:lang w:eastAsia="en-AU"/>
        </w:rPr>
      </w:pPr>
    </w:p>
    <w:tbl>
      <w:tblPr>
        <w:tblW w:w="5031" w:type="pct"/>
        <w:tblLook w:val="04A0" w:firstRow="1" w:lastRow="0" w:firstColumn="1" w:lastColumn="0" w:noHBand="0" w:noVBand="1"/>
      </w:tblPr>
      <w:tblGrid>
        <w:gridCol w:w="3544"/>
        <w:gridCol w:w="1388"/>
        <w:gridCol w:w="2013"/>
        <w:gridCol w:w="2138"/>
      </w:tblGrid>
      <w:tr w:rsidR="009545E2" w:rsidRPr="009545E2" w:rsidTr="00D20294">
        <w:trPr>
          <w:trHeight w:val="290"/>
        </w:trPr>
        <w:tc>
          <w:tcPr>
            <w:tcW w:w="1951" w:type="pct"/>
            <w:tcBorders>
              <w:top w:val="nil"/>
              <w:left w:val="nil"/>
              <w:bottom w:val="nil"/>
              <w:right w:val="nil"/>
            </w:tcBorders>
            <w:shd w:val="clear" w:color="000000" w:fill="5B9BD5"/>
            <w:vAlign w:val="center"/>
            <w:hideMark/>
          </w:tcPr>
          <w:p w:rsidR="00D20294" w:rsidRPr="009545E2" w:rsidRDefault="00D20294" w:rsidP="00D20294">
            <w:pPr>
              <w:rPr>
                <w:rFonts w:eastAsia="Times New Roman" w:cs="Arial"/>
                <w:b/>
                <w:bCs/>
                <w:sz w:val="20"/>
                <w:szCs w:val="20"/>
                <w:lang w:eastAsia="en-AU"/>
              </w:rPr>
            </w:pPr>
            <w:r w:rsidRPr="009545E2">
              <w:rPr>
                <w:rFonts w:eastAsia="Times New Roman" w:cs="Arial"/>
                <w:b/>
                <w:bCs/>
                <w:sz w:val="20"/>
                <w:szCs w:val="20"/>
                <w:lang w:eastAsia="en-AU"/>
              </w:rPr>
              <w:t> </w:t>
            </w:r>
          </w:p>
        </w:tc>
        <w:tc>
          <w:tcPr>
            <w:tcW w:w="762" w:type="pct"/>
            <w:tcBorders>
              <w:top w:val="nil"/>
              <w:left w:val="nil"/>
              <w:bottom w:val="nil"/>
              <w:right w:val="nil"/>
            </w:tcBorders>
            <w:shd w:val="clear" w:color="000000" w:fill="5B9BD5"/>
            <w:vAlign w:val="center"/>
            <w:hideMark/>
          </w:tcPr>
          <w:p w:rsidR="00D20294" w:rsidRPr="009545E2" w:rsidRDefault="00D20294" w:rsidP="00D20294">
            <w:pPr>
              <w:rPr>
                <w:rFonts w:eastAsia="Times New Roman" w:cs="Arial"/>
                <w:b/>
                <w:bCs/>
                <w:sz w:val="20"/>
                <w:szCs w:val="20"/>
                <w:lang w:eastAsia="en-AU"/>
              </w:rPr>
            </w:pPr>
            <w:r w:rsidRPr="009545E2">
              <w:rPr>
                <w:rFonts w:eastAsia="Times New Roman" w:cs="Arial"/>
                <w:b/>
                <w:bCs/>
                <w:sz w:val="20"/>
                <w:szCs w:val="20"/>
                <w:lang w:eastAsia="en-AU"/>
              </w:rPr>
              <w:t> </w:t>
            </w:r>
          </w:p>
        </w:tc>
        <w:tc>
          <w:tcPr>
            <w:tcW w:w="1108" w:type="pct"/>
            <w:tcBorders>
              <w:top w:val="nil"/>
              <w:left w:val="nil"/>
              <w:bottom w:val="nil"/>
              <w:right w:val="nil"/>
            </w:tcBorders>
            <w:shd w:val="clear" w:color="000000" w:fill="5B9BD5"/>
            <w:vAlign w:val="center"/>
            <w:hideMark/>
          </w:tcPr>
          <w:p w:rsidR="00D20294" w:rsidRPr="009545E2" w:rsidRDefault="00D20294" w:rsidP="00D20294">
            <w:pPr>
              <w:jc w:val="right"/>
              <w:rPr>
                <w:rFonts w:eastAsia="Times New Roman" w:cs="Arial"/>
                <w:b/>
                <w:bCs/>
                <w:sz w:val="18"/>
                <w:szCs w:val="18"/>
                <w:lang w:eastAsia="en-AU"/>
              </w:rPr>
            </w:pPr>
            <w:r w:rsidRPr="009545E2">
              <w:rPr>
                <w:rFonts w:eastAsia="Times New Roman" w:cs="Arial"/>
                <w:b/>
                <w:bCs/>
                <w:sz w:val="18"/>
                <w:szCs w:val="18"/>
                <w:lang w:eastAsia="en-AU"/>
              </w:rPr>
              <w:t>2019/20</w:t>
            </w:r>
          </w:p>
        </w:tc>
        <w:tc>
          <w:tcPr>
            <w:tcW w:w="1177" w:type="pct"/>
            <w:tcBorders>
              <w:top w:val="nil"/>
              <w:left w:val="nil"/>
              <w:bottom w:val="nil"/>
              <w:right w:val="nil"/>
            </w:tcBorders>
            <w:shd w:val="clear" w:color="000000" w:fill="5B9BD5"/>
            <w:vAlign w:val="center"/>
            <w:hideMark/>
          </w:tcPr>
          <w:p w:rsidR="00D20294" w:rsidRPr="009545E2" w:rsidRDefault="00D20294" w:rsidP="00D20294">
            <w:pPr>
              <w:jc w:val="right"/>
              <w:rPr>
                <w:rFonts w:eastAsia="Times New Roman" w:cs="Arial"/>
                <w:b/>
                <w:bCs/>
                <w:sz w:val="18"/>
                <w:szCs w:val="18"/>
                <w:lang w:eastAsia="en-AU"/>
              </w:rPr>
            </w:pPr>
            <w:r w:rsidRPr="009545E2">
              <w:rPr>
                <w:rFonts w:eastAsia="Times New Roman" w:cs="Arial"/>
                <w:b/>
                <w:bCs/>
                <w:sz w:val="18"/>
                <w:szCs w:val="18"/>
                <w:lang w:eastAsia="en-AU"/>
              </w:rPr>
              <w:t>2020/21</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Total Rates</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$ 75,013,417 </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$77,821,718 </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Number of rateable properties</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50,145 </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51,086 </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Base Average Rates</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1,495.93 </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1,523.70 </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Maximum Rate Increase (set by the State Government)</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2.50%</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2.00%</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Capped Average Rate</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$1,533.33</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$1,554.17 </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Maximum General Rates and Municipal Charges Revenue</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$76,888,752</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$79,396,533</w:t>
            </w:r>
          </w:p>
        </w:tc>
      </w:tr>
      <w:tr w:rsidR="009545E2" w:rsidRPr="009545E2" w:rsidTr="00D20294">
        <w:trPr>
          <w:trHeight w:val="290"/>
        </w:trPr>
        <w:tc>
          <w:tcPr>
            <w:tcW w:w="2715" w:type="pct"/>
            <w:gridSpan w:val="2"/>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Budgeted General Rates and Municipal Charges Revenue</w:t>
            </w: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$76,867,751 </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$79,378,516 </w:t>
            </w:r>
          </w:p>
        </w:tc>
      </w:tr>
      <w:tr w:rsidR="009545E2" w:rsidRPr="009545E2" w:rsidTr="00D20294">
        <w:trPr>
          <w:trHeight w:val="290"/>
        </w:trPr>
        <w:tc>
          <w:tcPr>
            <w:tcW w:w="1951" w:type="pct"/>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Budgeted Supplementary Rates</w:t>
            </w:r>
          </w:p>
        </w:tc>
        <w:tc>
          <w:tcPr>
            <w:tcW w:w="762" w:type="pct"/>
            <w:tcBorders>
              <w:top w:val="nil"/>
              <w:left w:val="nil"/>
              <w:bottom w:val="nil"/>
              <w:right w:val="nil"/>
            </w:tcBorders>
            <w:shd w:val="clear" w:color="auto" w:fill="auto"/>
            <w:vAlign w:val="center"/>
            <w:hideMark/>
          </w:tcPr>
          <w:p w:rsidR="00D20294" w:rsidRPr="009545E2" w:rsidRDefault="00D20294" w:rsidP="00D20294">
            <w:pPr>
              <w:rPr>
                <w:rFonts w:eastAsia="Times New Roman" w:cs="Arial"/>
                <w:sz w:val="20"/>
                <w:szCs w:val="20"/>
                <w:lang w:eastAsia="en-AU"/>
              </w:rPr>
            </w:pPr>
          </w:p>
        </w:tc>
        <w:tc>
          <w:tcPr>
            <w:tcW w:w="1108" w:type="pct"/>
            <w:tcBorders>
              <w:top w:val="nil"/>
              <w:left w:val="nil"/>
              <w:bottom w:val="nil"/>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$330,000 </w:t>
            </w:r>
          </w:p>
        </w:tc>
        <w:tc>
          <w:tcPr>
            <w:tcW w:w="1177" w:type="pct"/>
            <w:tcBorders>
              <w:top w:val="nil"/>
              <w:left w:val="nil"/>
              <w:bottom w:val="nil"/>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$670,000 </w:t>
            </w:r>
          </w:p>
        </w:tc>
      </w:tr>
      <w:tr w:rsidR="009545E2" w:rsidRPr="009545E2" w:rsidTr="00D20294">
        <w:trPr>
          <w:trHeight w:val="300"/>
        </w:trPr>
        <w:tc>
          <w:tcPr>
            <w:tcW w:w="1951" w:type="pct"/>
            <w:tcBorders>
              <w:top w:val="nil"/>
              <w:left w:val="nil"/>
              <w:bottom w:val="single" w:sz="8" w:space="0" w:color="auto"/>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Budgeted Total Rates and Municipal Charges Revenue</w:t>
            </w:r>
          </w:p>
        </w:tc>
        <w:tc>
          <w:tcPr>
            <w:tcW w:w="762" w:type="pct"/>
            <w:tcBorders>
              <w:top w:val="nil"/>
              <w:left w:val="nil"/>
              <w:bottom w:val="single" w:sz="8" w:space="0" w:color="auto"/>
              <w:right w:val="nil"/>
            </w:tcBorders>
            <w:shd w:val="clear" w:color="auto" w:fill="auto"/>
            <w:vAlign w:val="center"/>
            <w:hideMark/>
          </w:tcPr>
          <w:p w:rsidR="00D20294" w:rsidRPr="009545E2" w:rsidRDefault="00D20294" w:rsidP="00D20294">
            <w:pPr>
              <w:rPr>
                <w:rFonts w:eastAsia="Times New Roman" w:cs="Arial"/>
                <w:sz w:val="20"/>
                <w:szCs w:val="20"/>
                <w:lang w:eastAsia="en-AU"/>
              </w:rPr>
            </w:pPr>
            <w:r w:rsidRPr="009545E2">
              <w:rPr>
                <w:rFonts w:eastAsia="Times New Roman" w:cs="Arial"/>
                <w:sz w:val="20"/>
                <w:szCs w:val="20"/>
                <w:lang w:eastAsia="en-AU"/>
              </w:rPr>
              <w:t> </w:t>
            </w:r>
          </w:p>
        </w:tc>
        <w:tc>
          <w:tcPr>
            <w:tcW w:w="1108" w:type="pct"/>
            <w:tcBorders>
              <w:top w:val="nil"/>
              <w:left w:val="nil"/>
              <w:bottom w:val="single" w:sz="8" w:space="0" w:color="auto"/>
              <w:right w:val="nil"/>
            </w:tcBorders>
            <w:shd w:val="clear" w:color="auto" w:fill="auto"/>
            <w:vAlign w:val="center"/>
            <w:hideMark/>
          </w:tcPr>
          <w:p w:rsidR="00D20294" w:rsidRPr="009545E2" w:rsidRDefault="00D20294" w:rsidP="00D20294">
            <w:pPr>
              <w:jc w:val="right"/>
              <w:rPr>
                <w:rFonts w:eastAsia="Times New Roman" w:cs="Arial"/>
                <w:sz w:val="20"/>
                <w:szCs w:val="20"/>
                <w:lang w:eastAsia="en-AU"/>
              </w:rPr>
            </w:pPr>
            <w:r w:rsidRPr="009545E2">
              <w:rPr>
                <w:rFonts w:eastAsia="Times New Roman" w:cs="Arial"/>
                <w:sz w:val="20"/>
                <w:szCs w:val="20"/>
                <w:lang w:eastAsia="en-AU"/>
              </w:rPr>
              <w:t xml:space="preserve"> $77,197,751 </w:t>
            </w:r>
          </w:p>
        </w:tc>
        <w:tc>
          <w:tcPr>
            <w:tcW w:w="1177" w:type="pct"/>
            <w:tcBorders>
              <w:top w:val="nil"/>
              <w:left w:val="nil"/>
              <w:bottom w:val="single" w:sz="8" w:space="0" w:color="auto"/>
              <w:right w:val="nil"/>
            </w:tcBorders>
            <w:shd w:val="clear" w:color="000000" w:fill="DDEBF7"/>
            <w:vAlign w:val="center"/>
            <w:hideMark/>
          </w:tcPr>
          <w:p w:rsidR="00D20294" w:rsidRPr="009545E2" w:rsidRDefault="00D20294" w:rsidP="00D20294">
            <w:pPr>
              <w:jc w:val="right"/>
              <w:rPr>
                <w:rFonts w:eastAsia="Times New Roman" w:cs="Arial"/>
                <w:b/>
                <w:bCs/>
                <w:sz w:val="20"/>
                <w:szCs w:val="20"/>
                <w:lang w:eastAsia="en-AU"/>
              </w:rPr>
            </w:pPr>
            <w:r w:rsidRPr="009545E2">
              <w:rPr>
                <w:rFonts w:eastAsia="Times New Roman" w:cs="Arial"/>
                <w:b/>
                <w:bCs/>
                <w:sz w:val="20"/>
                <w:szCs w:val="20"/>
                <w:lang w:eastAsia="en-AU"/>
              </w:rPr>
              <w:t xml:space="preserve"> $80,048,516 </w:t>
            </w:r>
          </w:p>
        </w:tc>
      </w:tr>
    </w:tbl>
    <w:p w:rsidR="00BC5888" w:rsidRDefault="00BC5888">
      <w:pPr>
        <w:rPr>
          <w:rFonts w:cs="Arial"/>
        </w:rPr>
      </w:pPr>
      <w:r>
        <w:rPr>
          <w:rFonts w:cs="Arial"/>
        </w:rPr>
        <w:br w:type="page"/>
      </w:r>
    </w:p>
    <w:p w:rsidR="00584A7A" w:rsidRPr="00FA370B" w:rsidRDefault="00584A7A" w:rsidP="00584A7A">
      <w:pPr>
        <w:ind w:left="426" w:hanging="426"/>
        <w:rPr>
          <w:rFonts w:cs="Arial"/>
          <w:bCs/>
          <w:iCs/>
          <w:lang w:eastAsia="en-AU"/>
        </w:rPr>
      </w:pPr>
      <w:r w:rsidRPr="003254DF">
        <w:rPr>
          <w:rFonts w:cs="Arial"/>
          <w:bCs/>
          <w:iCs/>
          <w:lang w:eastAsia="en-AU"/>
        </w:rPr>
        <w:lastRenderedPageBreak/>
        <w:t>6.1.1(k) Any significant changes that may affect the estimated amounts to be raised by rates and charges</w:t>
      </w:r>
    </w:p>
    <w:p w:rsidR="00584A7A" w:rsidRPr="00FA370B" w:rsidRDefault="00584A7A" w:rsidP="00584A7A">
      <w:pPr>
        <w:rPr>
          <w:rFonts w:cs="Arial"/>
        </w:rPr>
      </w:pPr>
    </w:p>
    <w:p w:rsidR="00584A7A" w:rsidRPr="003927EC" w:rsidRDefault="00584A7A" w:rsidP="00584A7A">
      <w:pPr>
        <w:ind w:left="426"/>
        <w:rPr>
          <w:rFonts w:cs="Arial"/>
        </w:rPr>
      </w:pPr>
      <w:r w:rsidRPr="00FA370B">
        <w:rPr>
          <w:rFonts w:cs="Arial"/>
          <w:bCs/>
          <w:iCs/>
          <w:lang w:eastAsia="en-AU"/>
        </w:rPr>
        <w:t xml:space="preserve">There are no known significant changes which may affect the estimated amounts to be raised by rates and charges. </w:t>
      </w:r>
      <w:r w:rsidRPr="003927EC">
        <w:rPr>
          <w:rFonts w:cs="Arial"/>
          <w:bCs/>
          <w:iCs/>
          <w:lang w:eastAsia="en-AU"/>
        </w:rPr>
        <w:t>However, the total amount to be raised by rates and charges may be affected by:</w:t>
      </w:r>
    </w:p>
    <w:p w:rsidR="00584A7A" w:rsidRPr="003927EC" w:rsidRDefault="00584A7A" w:rsidP="00584A7A">
      <w:pPr>
        <w:rPr>
          <w:rFonts w:cs="Arial"/>
        </w:rPr>
      </w:pPr>
    </w:p>
    <w:p w:rsidR="00584A7A" w:rsidRPr="00795DB8" w:rsidRDefault="00584A7A" w:rsidP="00584A7A">
      <w:pPr>
        <w:numPr>
          <w:ilvl w:val="0"/>
          <w:numId w:val="6"/>
        </w:numPr>
        <w:tabs>
          <w:tab w:val="clear" w:pos="720"/>
        </w:tabs>
        <w:ind w:left="709" w:hanging="283"/>
        <w:jc w:val="both"/>
        <w:rPr>
          <w:rFonts w:cs="Arial"/>
        </w:rPr>
      </w:pPr>
      <w:r w:rsidRPr="00795DB8">
        <w:rPr>
          <w:rFonts w:cs="Arial"/>
        </w:rPr>
        <w:t>The making of supplementary valuations (2020/21: estimated $0.67 million and 2019/20: $0.</w:t>
      </w:r>
      <w:r>
        <w:rPr>
          <w:rFonts w:cs="Arial"/>
        </w:rPr>
        <w:t>70</w:t>
      </w:r>
      <w:r w:rsidRPr="00795DB8">
        <w:rPr>
          <w:rFonts w:cs="Arial"/>
        </w:rPr>
        <w:t xml:space="preserve"> million)</w:t>
      </w:r>
    </w:p>
    <w:p w:rsidR="00584A7A" w:rsidRPr="003927EC" w:rsidRDefault="00584A7A" w:rsidP="00584A7A">
      <w:pPr>
        <w:numPr>
          <w:ilvl w:val="0"/>
          <w:numId w:val="6"/>
        </w:numPr>
        <w:tabs>
          <w:tab w:val="clear" w:pos="720"/>
        </w:tabs>
        <w:ind w:left="426" w:firstLine="0"/>
        <w:jc w:val="both"/>
        <w:rPr>
          <w:rFonts w:cs="Arial"/>
        </w:rPr>
      </w:pPr>
      <w:r w:rsidRPr="003927EC">
        <w:rPr>
          <w:rFonts w:cs="Arial"/>
        </w:rPr>
        <w:t>The variation of returned levels of value (e.g. valuation appeals)</w:t>
      </w:r>
    </w:p>
    <w:p w:rsidR="00584A7A" w:rsidRPr="003927EC" w:rsidRDefault="00584A7A" w:rsidP="00584A7A">
      <w:pPr>
        <w:ind w:left="426"/>
        <w:jc w:val="both"/>
        <w:rPr>
          <w:rFonts w:cs="Arial"/>
        </w:rPr>
      </w:pPr>
    </w:p>
    <w:p w:rsidR="00584A7A" w:rsidRPr="00FA370B" w:rsidRDefault="00584A7A" w:rsidP="00584A7A">
      <w:pPr>
        <w:rPr>
          <w:rFonts w:cs="Arial"/>
          <w:bCs/>
          <w:color w:val="CC0000"/>
          <w:lang w:eastAsia="en-AU"/>
        </w:rPr>
      </w:pPr>
      <w:r w:rsidRPr="003254DF">
        <w:rPr>
          <w:rFonts w:cs="Arial"/>
          <w:bCs/>
          <w:lang w:eastAsia="en-AU"/>
        </w:rPr>
        <w:t>6.1.1(n) Differential rates</w:t>
      </w:r>
      <w:r w:rsidRPr="00FA370B">
        <w:rPr>
          <w:rFonts w:cs="Arial"/>
          <w:bCs/>
          <w:lang w:eastAsia="en-AU"/>
        </w:rPr>
        <w:t xml:space="preserve"> </w:t>
      </w:r>
    </w:p>
    <w:p w:rsidR="00584A7A" w:rsidRPr="00FA370B" w:rsidRDefault="00584A7A" w:rsidP="00584A7A">
      <w:pPr>
        <w:jc w:val="both"/>
        <w:rPr>
          <w:rFonts w:cs="Arial"/>
        </w:rPr>
      </w:pPr>
    </w:p>
    <w:p w:rsidR="00584A7A" w:rsidRPr="000E14D7" w:rsidRDefault="00584A7A" w:rsidP="00584A7A">
      <w:pPr>
        <w:jc w:val="both"/>
        <w:rPr>
          <w:b/>
          <w:u w:val="single"/>
        </w:rPr>
      </w:pPr>
      <w:r w:rsidRPr="000E14D7">
        <w:rPr>
          <w:b/>
          <w:u w:val="single"/>
        </w:rPr>
        <w:t>Rates to be levied</w:t>
      </w:r>
    </w:p>
    <w:p w:rsidR="00584A7A" w:rsidRPr="000E14D7" w:rsidRDefault="00584A7A" w:rsidP="00584A7A">
      <w:pPr>
        <w:jc w:val="both"/>
      </w:pPr>
    </w:p>
    <w:p w:rsidR="00584A7A" w:rsidRPr="000E14D7" w:rsidRDefault="00584A7A" w:rsidP="00584A7A">
      <w:pPr>
        <w:jc w:val="both"/>
      </w:pPr>
      <w:r w:rsidRPr="000E14D7">
        <w:t>The rate and amount of rates payable in relation to land in each category of differential are:</w:t>
      </w:r>
    </w:p>
    <w:p w:rsidR="00584A7A" w:rsidRPr="000E14D7" w:rsidRDefault="00584A7A" w:rsidP="00584A7A">
      <w:pPr>
        <w:jc w:val="both"/>
      </w:pPr>
    </w:p>
    <w:p w:rsidR="00584A7A" w:rsidRPr="000E14D7" w:rsidRDefault="00584A7A" w:rsidP="00584A7A">
      <w:pPr>
        <w:pStyle w:val="ListParagraph"/>
        <w:numPr>
          <w:ilvl w:val="0"/>
          <w:numId w:val="31"/>
        </w:numPr>
        <w:jc w:val="both"/>
        <w:rPr>
          <w:rFonts w:ascii="Arial" w:eastAsia="Times New Roman" w:hAnsi="Arial" w:cs="Arial"/>
        </w:rPr>
      </w:pPr>
      <w:r w:rsidRPr="000E14D7">
        <w:rPr>
          <w:rFonts w:ascii="Arial" w:eastAsia="Times New Roman" w:hAnsi="Arial" w:cs="Arial"/>
        </w:rPr>
        <w:t>A general rate of 0.206</w:t>
      </w:r>
      <w:r w:rsidR="008D05FC">
        <w:rPr>
          <w:rFonts w:ascii="Arial" w:eastAsia="Times New Roman" w:hAnsi="Arial" w:cs="Arial"/>
        </w:rPr>
        <w:t>408</w:t>
      </w:r>
      <w:r w:rsidRPr="000E14D7">
        <w:rPr>
          <w:rFonts w:ascii="Arial" w:eastAsia="Times New Roman" w:hAnsi="Arial" w:cs="Arial"/>
        </w:rPr>
        <w:t>% for all rateable General Land:</w:t>
      </w:r>
    </w:p>
    <w:p w:rsidR="00584A7A" w:rsidRPr="000E14D7" w:rsidRDefault="00584A7A" w:rsidP="00584A7A">
      <w:pPr>
        <w:pStyle w:val="ListParagraph"/>
        <w:numPr>
          <w:ilvl w:val="0"/>
          <w:numId w:val="31"/>
        </w:numPr>
        <w:jc w:val="both"/>
        <w:rPr>
          <w:rFonts w:ascii="Arial" w:eastAsia="Times New Roman" w:hAnsi="Arial" w:cs="Arial"/>
        </w:rPr>
      </w:pPr>
      <w:r w:rsidRPr="000E14D7">
        <w:rPr>
          <w:rFonts w:ascii="Arial" w:eastAsia="Times New Roman" w:hAnsi="Arial" w:cs="Arial"/>
        </w:rPr>
        <w:t>A general rate of 0.247</w:t>
      </w:r>
      <w:r w:rsidR="000E14D7">
        <w:rPr>
          <w:rFonts w:ascii="Arial" w:eastAsia="Times New Roman" w:hAnsi="Arial" w:cs="Arial"/>
        </w:rPr>
        <w:t>6</w:t>
      </w:r>
      <w:r w:rsidR="00AA6AAC">
        <w:rPr>
          <w:rFonts w:ascii="Arial" w:eastAsia="Times New Roman" w:hAnsi="Arial" w:cs="Arial"/>
        </w:rPr>
        <w:t>90</w:t>
      </w:r>
      <w:r w:rsidRPr="000E14D7">
        <w:rPr>
          <w:rFonts w:ascii="Arial" w:eastAsia="Times New Roman" w:hAnsi="Arial" w:cs="Arial"/>
        </w:rPr>
        <w:t>% for all rateable Commercial Land; and</w:t>
      </w:r>
    </w:p>
    <w:p w:rsidR="00584A7A" w:rsidRPr="000E14D7" w:rsidRDefault="00584A7A" w:rsidP="00584A7A">
      <w:pPr>
        <w:pStyle w:val="ListParagraph"/>
        <w:numPr>
          <w:ilvl w:val="0"/>
          <w:numId w:val="31"/>
        </w:numPr>
        <w:jc w:val="both"/>
        <w:rPr>
          <w:rFonts w:ascii="Arial" w:eastAsia="Times New Roman" w:hAnsi="Arial" w:cs="Arial"/>
        </w:rPr>
      </w:pPr>
      <w:r w:rsidRPr="000E14D7">
        <w:rPr>
          <w:rFonts w:ascii="Arial" w:eastAsia="Times New Roman" w:hAnsi="Arial" w:cs="Arial"/>
        </w:rPr>
        <w:t>A general rate of 0.247</w:t>
      </w:r>
      <w:r w:rsidR="000E14D7">
        <w:rPr>
          <w:rFonts w:ascii="Arial" w:eastAsia="Times New Roman" w:hAnsi="Arial" w:cs="Arial"/>
        </w:rPr>
        <w:t>6</w:t>
      </w:r>
      <w:r w:rsidR="00AA6AAC">
        <w:rPr>
          <w:rFonts w:ascii="Arial" w:eastAsia="Times New Roman" w:hAnsi="Arial" w:cs="Arial"/>
        </w:rPr>
        <w:t>90</w:t>
      </w:r>
      <w:r w:rsidRPr="000E14D7">
        <w:rPr>
          <w:rFonts w:ascii="Arial" w:eastAsia="Times New Roman" w:hAnsi="Arial" w:cs="Arial"/>
        </w:rPr>
        <w:t>% for all rateable Industrial Land; and</w:t>
      </w:r>
    </w:p>
    <w:p w:rsidR="00584A7A" w:rsidRPr="000E14D7" w:rsidRDefault="00584A7A" w:rsidP="00584A7A">
      <w:pPr>
        <w:pStyle w:val="ListParagraph"/>
        <w:numPr>
          <w:ilvl w:val="0"/>
          <w:numId w:val="31"/>
        </w:numPr>
        <w:jc w:val="both"/>
        <w:rPr>
          <w:rFonts w:ascii="Arial" w:eastAsia="Times New Roman" w:hAnsi="Arial" w:cs="Arial"/>
        </w:rPr>
      </w:pPr>
      <w:r w:rsidRPr="000E14D7">
        <w:rPr>
          <w:rFonts w:ascii="Arial" w:eastAsia="Times New Roman" w:hAnsi="Arial" w:cs="Arial"/>
        </w:rPr>
        <w:t>A general rate of 0.309</w:t>
      </w:r>
      <w:r w:rsidR="00AA6AAC">
        <w:rPr>
          <w:rFonts w:ascii="Arial" w:eastAsia="Times New Roman" w:hAnsi="Arial" w:cs="Arial"/>
        </w:rPr>
        <w:t>612</w:t>
      </w:r>
      <w:r w:rsidRPr="000E14D7">
        <w:rPr>
          <w:rFonts w:ascii="Arial" w:eastAsia="Times New Roman" w:hAnsi="Arial" w:cs="Arial"/>
        </w:rPr>
        <w:t>% for all rateable Vacant Land; and</w:t>
      </w:r>
    </w:p>
    <w:p w:rsidR="00584A7A" w:rsidRPr="000E14D7" w:rsidRDefault="00584A7A" w:rsidP="00584A7A">
      <w:pPr>
        <w:pStyle w:val="ListParagraph"/>
        <w:numPr>
          <w:ilvl w:val="0"/>
          <w:numId w:val="31"/>
        </w:numPr>
        <w:jc w:val="both"/>
        <w:rPr>
          <w:rFonts w:ascii="Arial" w:eastAsia="Times New Roman" w:hAnsi="Arial" w:cs="Arial"/>
        </w:rPr>
      </w:pPr>
      <w:r w:rsidRPr="000E14D7">
        <w:rPr>
          <w:rFonts w:ascii="Arial" w:eastAsia="Times New Roman" w:hAnsi="Arial" w:cs="Arial"/>
        </w:rPr>
        <w:t>A general rate of 0.619</w:t>
      </w:r>
      <w:r w:rsidR="00AA6AAC">
        <w:rPr>
          <w:rFonts w:ascii="Arial" w:eastAsia="Times New Roman" w:hAnsi="Arial" w:cs="Arial"/>
        </w:rPr>
        <w:t>224</w:t>
      </w:r>
      <w:r w:rsidRPr="000E14D7">
        <w:rPr>
          <w:rFonts w:ascii="Arial" w:eastAsia="Times New Roman" w:hAnsi="Arial" w:cs="Arial"/>
        </w:rPr>
        <w:t>% for all rateable Derelict Land.</w:t>
      </w:r>
    </w:p>
    <w:p w:rsidR="00584A7A" w:rsidRPr="00577DDA" w:rsidRDefault="00584A7A" w:rsidP="00584A7A">
      <w:pPr>
        <w:jc w:val="both"/>
        <w:rPr>
          <w:rFonts w:eastAsia="Times New Roman" w:cs="Arial"/>
        </w:rPr>
      </w:pPr>
      <w:r w:rsidRPr="00577DDA">
        <w:rPr>
          <w:rFonts w:eastAsia="Times New Roman" w:cs="Arial"/>
        </w:rPr>
        <w:t>Each differential rate will be determined by multiplying the Capital Improved Value of each rateable land (categorised by the characteristics described below) by the relevant percentages indicated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rPr>
      </w:pPr>
      <w:r w:rsidRPr="00577DDA">
        <w:rPr>
          <w:rFonts w:eastAsia="Times New Roman" w:cs="Arial"/>
        </w:rPr>
        <w:t>Council considers that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u w:val="single"/>
        </w:rPr>
      </w:pPr>
      <w:r w:rsidRPr="00577DDA">
        <w:rPr>
          <w:rFonts w:eastAsia="Times New Roman" w:cs="Arial"/>
          <w:b/>
          <w:u w:val="single"/>
        </w:rPr>
        <w:t>General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Definitions/Characteristics:</w:t>
      </w:r>
    </w:p>
    <w:p w:rsidR="00584A7A" w:rsidRPr="00577DDA" w:rsidRDefault="00584A7A" w:rsidP="00584A7A">
      <w:pPr>
        <w:jc w:val="both"/>
        <w:rPr>
          <w:rFonts w:eastAsia="Times New Roman" w:cs="Arial"/>
        </w:rPr>
      </w:pPr>
      <w:r w:rsidRPr="00577DDA">
        <w:rPr>
          <w:rFonts w:eastAsia="Times New Roman" w:cs="Arial"/>
        </w:rPr>
        <w:t xml:space="preserve">Any land which does not have the characteristics of Commercial, Industrial, Vacant or Derelict Land. </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Objective:</w:t>
      </w:r>
    </w:p>
    <w:p w:rsidR="00584A7A" w:rsidRPr="00577DDA" w:rsidRDefault="00584A7A" w:rsidP="00584A7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84A7A" w:rsidRPr="00021B90" w:rsidRDefault="00584A7A" w:rsidP="00584A7A">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Construction and maintenance of public infrastructure</w:t>
      </w:r>
      <w:r>
        <w:rPr>
          <w:rFonts w:ascii="Arial" w:eastAsia="Times New Roman" w:hAnsi="Arial" w:cs="Arial"/>
        </w:rPr>
        <w:t>;</w:t>
      </w:r>
      <w:r w:rsidRPr="00021B90">
        <w:rPr>
          <w:rFonts w:ascii="Arial" w:eastAsia="Times New Roman" w:hAnsi="Arial" w:cs="Arial"/>
        </w:rPr>
        <w:t xml:space="preserve"> and</w:t>
      </w:r>
    </w:p>
    <w:p w:rsidR="00584A7A" w:rsidRPr="00021B90" w:rsidRDefault="00584A7A" w:rsidP="00584A7A">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Development and provision of health &amp; community services; and</w:t>
      </w:r>
    </w:p>
    <w:p w:rsidR="00584A7A" w:rsidRPr="00021B90" w:rsidRDefault="00584A7A" w:rsidP="00584A7A">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Provision of general support services; and</w:t>
      </w:r>
    </w:p>
    <w:p w:rsidR="00584A7A" w:rsidRPr="00021B90" w:rsidRDefault="00584A7A" w:rsidP="00584A7A">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Requirement to ensure that Council has adequate funding to undertake it’s strategic, statutory and service provision obligations.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and Classes:</w:t>
      </w:r>
    </w:p>
    <w:p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rsidR="00584A7A" w:rsidRPr="00577DDA" w:rsidRDefault="00584A7A" w:rsidP="00584A7A">
      <w:pPr>
        <w:jc w:val="both"/>
        <w:rPr>
          <w:rFonts w:eastAsia="Times New Roman" w:cs="Arial"/>
          <w:b/>
        </w:rPr>
      </w:pPr>
      <w:r w:rsidRPr="00577DDA">
        <w:rPr>
          <w:rFonts w:eastAsia="Times New Roman" w:cs="Arial"/>
          <w:b/>
        </w:rPr>
        <w:t>Use and Level of Differential Rate:</w:t>
      </w:r>
    </w:p>
    <w:p w:rsidR="00584A7A" w:rsidRPr="00577DDA" w:rsidRDefault="00584A7A" w:rsidP="00584A7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Geographic Location:</w:t>
      </w:r>
    </w:p>
    <w:p w:rsidR="00584A7A" w:rsidRPr="00577DDA" w:rsidRDefault="00584A7A" w:rsidP="00584A7A">
      <w:pPr>
        <w:jc w:val="both"/>
        <w:rPr>
          <w:rFonts w:eastAsia="Times New Roman" w:cs="Arial"/>
        </w:rPr>
      </w:pPr>
      <w:r w:rsidRPr="00577DDA">
        <w:rPr>
          <w:rFonts w:eastAsia="Times New Roman" w:cs="Arial"/>
        </w:rPr>
        <w:t>Wherever located within the municipal district.</w:t>
      </w:r>
    </w:p>
    <w:p w:rsidR="00584A7A" w:rsidRDefault="00584A7A" w:rsidP="00584A7A">
      <w:pPr>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lastRenderedPageBreak/>
        <w:t>Use of Land:</w:t>
      </w:r>
    </w:p>
    <w:p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Planning Scheme Zoning:</w:t>
      </w:r>
    </w:p>
    <w:p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of Buildings:</w:t>
      </w:r>
    </w:p>
    <w:p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land or which are constructed prior to the expiry of </w:t>
      </w:r>
      <w:r w:rsidRPr="00F26EB3">
        <w:rPr>
          <w:rFonts w:eastAsia="Times New Roman" w:cs="Arial"/>
        </w:rPr>
        <w:t xml:space="preserve">the </w:t>
      </w:r>
      <w:r w:rsidRPr="00584A7A">
        <w:rPr>
          <w:rFonts w:eastAsia="Times New Roman" w:cs="Arial"/>
        </w:rPr>
        <w:t>2020/21</w:t>
      </w:r>
      <w:r w:rsidRPr="00577DDA">
        <w:rPr>
          <w:rFonts w:eastAsia="Times New Roman" w:cs="Arial"/>
        </w:rPr>
        <w:t xml:space="preserve"> financial Year.</w:t>
      </w:r>
    </w:p>
    <w:p w:rsidR="00584A7A" w:rsidRDefault="00584A7A" w:rsidP="00584A7A">
      <w:pPr>
        <w:jc w:val="both"/>
        <w:rPr>
          <w:rFonts w:eastAsia="Times New Roman" w:cs="Arial"/>
        </w:rPr>
      </w:pP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u w:val="single"/>
        </w:rPr>
      </w:pPr>
      <w:r w:rsidRPr="00577DDA">
        <w:rPr>
          <w:rFonts w:eastAsia="Times New Roman" w:cs="Arial"/>
          <w:b/>
          <w:u w:val="single"/>
        </w:rPr>
        <w:t>Commercial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Definitions/Characteristics:</w:t>
      </w:r>
    </w:p>
    <w:p w:rsidR="00584A7A" w:rsidRPr="00577DDA" w:rsidRDefault="00584A7A" w:rsidP="00584A7A">
      <w:pPr>
        <w:jc w:val="both"/>
        <w:rPr>
          <w:rFonts w:eastAsia="Times New Roman" w:cs="Arial"/>
        </w:rPr>
      </w:pPr>
      <w:r w:rsidRPr="00577DDA">
        <w:rPr>
          <w:rFonts w:eastAsia="Times New Roman" w:cs="Arial"/>
        </w:rPr>
        <w:t xml:space="preserve">Commercial Land is any land that does not have the characteristics of General, Industrial, Vacant or Derelict Land and which is used, designed or adapted to be used primarily for the sale of goods or services or other commercial purposes. </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Objective:</w:t>
      </w:r>
    </w:p>
    <w:p w:rsidR="00584A7A" w:rsidRPr="00577DDA" w:rsidRDefault="00584A7A" w:rsidP="00584A7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Construction and maintenance of public infrastructure: and</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Development and provision of health &amp; community services; and</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Provision of general support services; and</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Enhancement of the economic viability of the commercial and industrial sector through targeted programs and projects; and</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Encouragement of employment opportunities; and</w:t>
      </w:r>
    </w:p>
    <w:p w:rsidR="00584A7A" w:rsidRPr="00012819" w:rsidRDefault="00584A7A" w:rsidP="00584A7A">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Promotion of economic development; and</w:t>
      </w:r>
    </w:p>
    <w:p w:rsidR="00584A7A" w:rsidRPr="00577DDA" w:rsidRDefault="00584A7A" w:rsidP="00584A7A">
      <w:pPr>
        <w:pStyle w:val="ListParagraph"/>
        <w:numPr>
          <w:ilvl w:val="0"/>
          <w:numId w:val="21"/>
        </w:numPr>
        <w:spacing w:after="0" w:line="240" w:lineRule="auto"/>
        <w:jc w:val="both"/>
        <w:rPr>
          <w:rFonts w:eastAsia="Times New Roman" w:cs="Arial"/>
        </w:rPr>
      </w:pPr>
      <w:r w:rsidRPr="00012819">
        <w:rPr>
          <w:rFonts w:ascii="Arial" w:eastAsia="Times New Roman" w:hAnsi="Arial" w:cs="Arial"/>
        </w:rPr>
        <w:t>Requirement to ensure that streetscaping and promotional activity is complimentary to the achievement of commercial and industrial objectives.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and Classes:</w:t>
      </w:r>
    </w:p>
    <w:p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and Level of Differential Rate:</w:t>
      </w:r>
    </w:p>
    <w:p w:rsidR="00584A7A" w:rsidRPr="00577DDA" w:rsidRDefault="00584A7A" w:rsidP="00584A7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Geographic Location:</w:t>
      </w:r>
    </w:p>
    <w:p w:rsidR="00584A7A" w:rsidRPr="00577DDA" w:rsidRDefault="00584A7A" w:rsidP="00584A7A">
      <w:pPr>
        <w:jc w:val="both"/>
        <w:rPr>
          <w:rFonts w:eastAsia="Times New Roman" w:cs="Arial"/>
        </w:rPr>
      </w:pPr>
      <w:r w:rsidRPr="00577DDA">
        <w:rPr>
          <w:rFonts w:eastAsia="Times New Roman" w:cs="Arial"/>
        </w:rPr>
        <w:t>Wherever located within the municipal district.</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of Land:</w:t>
      </w:r>
    </w:p>
    <w:p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Planning Scheme Zoning:</w:t>
      </w:r>
    </w:p>
    <w:p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of Buildings:</w:t>
      </w:r>
    </w:p>
    <w:p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land or which are constructed prior to the expiry of </w:t>
      </w:r>
      <w:r w:rsidRPr="00584A7A">
        <w:rPr>
          <w:rFonts w:eastAsia="Times New Roman" w:cs="Arial"/>
        </w:rPr>
        <w:t>the 2020/21 financial</w:t>
      </w:r>
      <w:r w:rsidRPr="00577DDA">
        <w:rPr>
          <w:rFonts w:eastAsia="Times New Roman" w:cs="Arial"/>
        </w:rPr>
        <w:t xml:space="preserve"> Year.</w:t>
      </w:r>
    </w:p>
    <w:p w:rsidR="00584A7A" w:rsidRDefault="00584A7A">
      <w:pPr>
        <w:rPr>
          <w:rFonts w:eastAsia="Times New Roman" w:cs="Arial"/>
        </w:rPr>
      </w:pPr>
      <w:r>
        <w:rPr>
          <w:rFonts w:eastAsia="Times New Roman" w:cs="Arial"/>
        </w:rPr>
        <w:br w:type="page"/>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u w:val="single"/>
        </w:rPr>
      </w:pPr>
      <w:r w:rsidRPr="00577DDA">
        <w:rPr>
          <w:rFonts w:eastAsia="Times New Roman" w:cs="Arial"/>
          <w:b/>
          <w:u w:val="single"/>
        </w:rPr>
        <w:t>Industrial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Definitions/Characteristics:</w:t>
      </w:r>
    </w:p>
    <w:p w:rsidR="00584A7A" w:rsidRPr="00577DDA" w:rsidRDefault="00584A7A" w:rsidP="00584A7A">
      <w:pPr>
        <w:jc w:val="both"/>
        <w:rPr>
          <w:rFonts w:eastAsia="Times New Roman" w:cs="Arial"/>
        </w:rPr>
      </w:pPr>
      <w:r w:rsidRPr="00577DDA">
        <w:rPr>
          <w:rFonts w:eastAsia="Times New Roman" w:cs="Arial"/>
        </w:rPr>
        <w:t>Industrial Land is any land that does not have the characteristics of General,</w:t>
      </w:r>
      <w:r>
        <w:rPr>
          <w:rFonts w:eastAsia="Times New Roman" w:cs="Arial"/>
        </w:rPr>
        <w:t xml:space="preserve"> </w:t>
      </w:r>
      <w:r w:rsidR="00884563">
        <w:rPr>
          <w:rFonts w:eastAsia="Times New Roman" w:cs="Arial"/>
        </w:rPr>
        <w:t>Commercial</w:t>
      </w:r>
      <w:r>
        <w:rPr>
          <w:rFonts w:eastAsia="Times New Roman" w:cs="Arial"/>
        </w:rPr>
        <w:t>,</w:t>
      </w:r>
      <w:r w:rsidRPr="00577DDA">
        <w:rPr>
          <w:rFonts w:eastAsia="Times New Roman" w:cs="Arial"/>
        </w:rPr>
        <w:t xml:space="preserve"> Vacant or Derelict Land, that is used, designed or adapted to be used primarily for industrial purposes.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Objective:</w:t>
      </w:r>
    </w:p>
    <w:p w:rsidR="00584A7A" w:rsidRPr="00577DDA" w:rsidRDefault="00584A7A" w:rsidP="00584A7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Encouragement of employment opportunities; and</w:t>
      </w:r>
    </w:p>
    <w:p w:rsidR="00584A7A" w:rsidRPr="008269F6" w:rsidRDefault="00584A7A" w:rsidP="00584A7A">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Promotion of economic development; and</w:t>
      </w:r>
    </w:p>
    <w:p w:rsidR="00584A7A" w:rsidRPr="00577DDA" w:rsidRDefault="00584A7A" w:rsidP="00584A7A">
      <w:pPr>
        <w:pStyle w:val="ListParagraph"/>
        <w:numPr>
          <w:ilvl w:val="0"/>
          <w:numId w:val="22"/>
        </w:numPr>
        <w:spacing w:after="0" w:line="240" w:lineRule="auto"/>
        <w:jc w:val="both"/>
        <w:rPr>
          <w:rFonts w:eastAsia="Times New Roman" w:cs="Arial"/>
        </w:rPr>
      </w:pPr>
      <w:r w:rsidRPr="008269F6">
        <w:rPr>
          <w:rFonts w:ascii="Arial" w:eastAsia="Times New Roman" w:hAnsi="Arial" w:cs="Arial"/>
        </w:rPr>
        <w:t>Requirement to ensure that streetscaping and promotional activity is complimentary to the achievement of commercial and industrial objectives.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and Classes:</w:t>
      </w:r>
    </w:p>
    <w:p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and Level of Differential Rate:</w:t>
      </w:r>
    </w:p>
    <w:p w:rsidR="00584A7A" w:rsidRPr="00577DDA" w:rsidRDefault="00584A7A" w:rsidP="00584A7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Geographic Location:</w:t>
      </w:r>
    </w:p>
    <w:p w:rsidR="00584A7A" w:rsidRPr="00577DDA" w:rsidRDefault="00584A7A" w:rsidP="00584A7A">
      <w:pPr>
        <w:jc w:val="both"/>
        <w:rPr>
          <w:rFonts w:eastAsia="Times New Roman" w:cs="Arial"/>
        </w:rPr>
      </w:pPr>
      <w:r w:rsidRPr="00577DDA">
        <w:rPr>
          <w:rFonts w:eastAsia="Times New Roman" w:cs="Arial"/>
        </w:rPr>
        <w:t>Wherever located within the municipal district.</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of Land:</w:t>
      </w:r>
    </w:p>
    <w:p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Planning Scheme Zoning:</w:t>
      </w:r>
    </w:p>
    <w:p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of Buildings:</w:t>
      </w:r>
    </w:p>
    <w:p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land or which are constructed prior to the expiry of </w:t>
      </w:r>
      <w:r w:rsidRPr="00584A7A">
        <w:rPr>
          <w:rFonts w:eastAsia="Times New Roman" w:cs="Arial"/>
        </w:rPr>
        <w:t>the 2020/21 financial</w:t>
      </w:r>
      <w:r w:rsidRPr="00577DDA">
        <w:rPr>
          <w:rFonts w:eastAsia="Times New Roman" w:cs="Arial"/>
        </w:rPr>
        <w:t xml:space="preserve"> Year.</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u w:val="single"/>
        </w:rPr>
      </w:pPr>
      <w:r w:rsidRPr="00577DDA">
        <w:rPr>
          <w:rFonts w:eastAsia="Times New Roman" w:cs="Arial"/>
          <w:b/>
          <w:u w:val="single"/>
        </w:rPr>
        <w:t>Vacant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Definitions/Characteristics:</w:t>
      </w:r>
    </w:p>
    <w:p w:rsidR="00584A7A" w:rsidRPr="00577DDA" w:rsidRDefault="00584A7A" w:rsidP="00584A7A">
      <w:pPr>
        <w:jc w:val="both"/>
        <w:rPr>
          <w:rFonts w:eastAsia="Times New Roman" w:cs="Arial"/>
        </w:rPr>
      </w:pPr>
      <w:r w:rsidRPr="00577DDA">
        <w:rPr>
          <w:rFonts w:eastAsia="Times New Roman" w:cs="Arial"/>
        </w:rPr>
        <w:t>Any land on which there is no building which is occupied or adapted for occupation and that is not General, Commercial, Industrial or Derelict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Objective:</w:t>
      </w:r>
    </w:p>
    <w:p w:rsidR="00584A7A" w:rsidRPr="00577DDA" w:rsidRDefault="00584A7A" w:rsidP="00584A7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84A7A" w:rsidRPr="008269F6" w:rsidRDefault="00584A7A" w:rsidP="00584A7A">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84A7A" w:rsidRPr="008269F6" w:rsidRDefault="00584A7A" w:rsidP="00584A7A">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rsidR="00584A7A" w:rsidRPr="008269F6" w:rsidRDefault="00584A7A" w:rsidP="00584A7A">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rsidR="00584A7A" w:rsidRPr="008269F6" w:rsidRDefault="00584A7A" w:rsidP="00584A7A">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rsidR="00584A7A" w:rsidRPr="00577DDA" w:rsidRDefault="00584A7A" w:rsidP="00584A7A">
      <w:pPr>
        <w:pStyle w:val="ListParagraph"/>
        <w:numPr>
          <w:ilvl w:val="0"/>
          <w:numId w:val="23"/>
        </w:numPr>
        <w:spacing w:after="0" w:line="240" w:lineRule="auto"/>
        <w:jc w:val="both"/>
        <w:rPr>
          <w:rFonts w:eastAsia="Times New Roman" w:cs="Arial"/>
        </w:rPr>
      </w:pPr>
      <w:r w:rsidRPr="008269F6">
        <w:rPr>
          <w:rFonts w:ascii="Arial" w:eastAsia="Times New Roman" w:hAnsi="Arial" w:cs="Arial"/>
        </w:rPr>
        <w:t>Encouragement of development on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and Classes:</w:t>
      </w:r>
    </w:p>
    <w:p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and Level of Differential Rate:</w:t>
      </w:r>
    </w:p>
    <w:p w:rsidR="00584A7A" w:rsidRPr="00577DDA" w:rsidRDefault="00584A7A" w:rsidP="00584A7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Geographic Location:</w:t>
      </w:r>
    </w:p>
    <w:p w:rsidR="00584A7A" w:rsidRPr="00577DDA" w:rsidRDefault="00584A7A" w:rsidP="00584A7A">
      <w:pPr>
        <w:jc w:val="both"/>
        <w:rPr>
          <w:rFonts w:eastAsia="Times New Roman" w:cs="Arial"/>
        </w:rPr>
      </w:pPr>
      <w:r w:rsidRPr="00577DDA">
        <w:rPr>
          <w:rFonts w:eastAsia="Times New Roman" w:cs="Arial"/>
        </w:rPr>
        <w:t>Wherever located within the municipal district.</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of Land:</w:t>
      </w:r>
    </w:p>
    <w:p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Planning Scheme Zoning:</w:t>
      </w:r>
    </w:p>
    <w:p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u w:val="single"/>
        </w:rPr>
      </w:pPr>
      <w:r w:rsidRPr="00577DDA">
        <w:rPr>
          <w:rFonts w:eastAsia="Times New Roman" w:cs="Arial"/>
          <w:b/>
          <w:u w:val="single"/>
        </w:rPr>
        <w:t>Derelict Land</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Definitions/Characteristics:</w:t>
      </w:r>
    </w:p>
    <w:p w:rsidR="00584A7A" w:rsidRPr="00820895" w:rsidRDefault="00584A7A" w:rsidP="00584A7A">
      <w:pPr>
        <w:pStyle w:val="Numpara1"/>
        <w:rPr>
          <w:b/>
          <w:sz w:val="22"/>
          <w:u w:val="single"/>
        </w:rPr>
      </w:pPr>
      <w:r w:rsidRPr="00820895">
        <w:rPr>
          <w:b/>
          <w:sz w:val="22"/>
          <w:u w:val="single"/>
        </w:rPr>
        <w:t>Derelict Land</w:t>
      </w:r>
    </w:p>
    <w:p w:rsidR="00584A7A" w:rsidRPr="009D0234" w:rsidRDefault="00584A7A" w:rsidP="00584A7A">
      <w:pPr>
        <w:pStyle w:val="Numpara2"/>
        <w:rPr>
          <w:sz w:val="22"/>
        </w:rPr>
      </w:pPr>
      <w:r w:rsidRPr="009D0234">
        <w:rPr>
          <w:sz w:val="22"/>
        </w:rPr>
        <w:t>Land is “Derelict Land” where, at any point in the rating year, a notice to comply to is issued to the Owner or Occupier of the land under the Local Law on the grounds that the land:</w:t>
      </w:r>
    </w:p>
    <w:p w:rsidR="00584A7A" w:rsidRPr="009D0234" w:rsidRDefault="00584A7A" w:rsidP="00584A7A">
      <w:pPr>
        <w:pStyle w:val="Numpara4"/>
        <w:rPr>
          <w:sz w:val="22"/>
        </w:rPr>
      </w:pPr>
      <w:r w:rsidRPr="009D0234">
        <w:rPr>
          <w:sz w:val="22"/>
        </w:rPr>
        <w:t>is kept in a manner which is unsightly or detrimental to the general amenity of the area in which the land is located; or</w:t>
      </w:r>
    </w:p>
    <w:p w:rsidR="00584A7A" w:rsidRPr="009D0234" w:rsidRDefault="00584A7A" w:rsidP="00584A7A">
      <w:pPr>
        <w:pStyle w:val="Numpara4"/>
        <w:rPr>
          <w:sz w:val="22"/>
        </w:rPr>
      </w:pPr>
      <w:r w:rsidRPr="009D0234">
        <w:rPr>
          <w:sz w:val="22"/>
        </w:rPr>
        <w:t>is used for storage of such amounts of goods, machinery, materials or equipment that the amenity of the area is adversely affected, or the land is, or has the potential to become infested by rats and/or other vermin species; or</w:t>
      </w:r>
    </w:p>
    <w:p w:rsidR="00584A7A" w:rsidRPr="009D0234" w:rsidRDefault="00584A7A" w:rsidP="00584A7A">
      <w:pPr>
        <w:pStyle w:val="Numpara4"/>
        <w:rPr>
          <w:sz w:val="22"/>
        </w:rPr>
      </w:pPr>
      <w:r w:rsidRPr="009D0234">
        <w:rPr>
          <w:sz w:val="22"/>
        </w:rPr>
        <w:t>is kept in a manner which is dangerous or likely to cause danger to life or property; or</w:t>
      </w:r>
    </w:p>
    <w:p w:rsidR="00584A7A" w:rsidRPr="009D0234" w:rsidRDefault="00584A7A" w:rsidP="00584A7A">
      <w:pPr>
        <w:pStyle w:val="Numpara4"/>
        <w:rPr>
          <w:sz w:val="22"/>
        </w:rPr>
      </w:pPr>
      <w:r w:rsidRPr="009D0234">
        <w:rPr>
          <w:sz w:val="22"/>
        </w:rPr>
        <w:t>has become infested with blackberry or other invasive plants or vermin; or</w:t>
      </w:r>
    </w:p>
    <w:p w:rsidR="00584A7A" w:rsidRPr="009D0234" w:rsidRDefault="00584A7A" w:rsidP="00584A7A">
      <w:pPr>
        <w:pStyle w:val="Numpara4"/>
        <w:rPr>
          <w:sz w:val="22"/>
        </w:rPr>
      </w:pPr>
      <w:r w:rsidRPr="009D0234">
        <w:rPr>
          <w:sz w:val="22"/>
        </w:rPr>
        <w:t>has become a source of offensive odour discernible beyond the land;</w:t>
      </w:r>
    </w:p>
    <w:p w:rsidR="00584A7A" w:rsidRPr="009D0234" w:rsidRDefault="00584A7A" w:rsidP="00584A7A">
      <w:pPr>
        <w:pStyle w:val="Numpara4"/>
        <w:rPr>
          <w:sz w:val="22"/>
        </w:rPr>
      </w:pPr>
      <w:r w:rsidRPr="009D0234">
        <w:rPr>
          <w:sz w:val="22"/>
        </w:rPr>
        <w:t>contains a vacant building that has been kept in a manner to the extent that the exterior of the building;</w:t>
      </w:r>
    </w:p>
    <w:p w:rsidR="00584A7A" w:rsidRPr="009D0234" w:rsidRDefault="00584A7A" w:rsidP="00584A7A">
      <w:pPr>
        <w:pStyle w:val="Numpara4"/>
        <w:numPr>
          <w:ilvl w:val="4"/>
          <w:numId w:val="24"/>
        </w:numPr>
        <w:rPr>
          <w:sz w:val="22"/>
        </w:rPr>
      </w:pPr>
      <w:r w:rsidRPr="009D0234">
        <w:rPr>
          <w:sz w:val="22"/>
        </w:rPr>
        <w:t>is in a state of disrepair; or</w:t>
      </w:r>
    </w:p>
    <w:p w:rsidR="00584A7A" w:rsidRPr="009D0234" w:rsidRDefault="00584A7A" w:rsidP="00584A7A">
      <w:pPr>
        <w:pStyle w:val="Numpara4"/>
        <w:numPr>
          <w:ilvl w:val="4"/>
          <w:numId w:val="24"/>
        </w:numPr>
        <w:rPr>
          <w:sz w:val="22"/>
        </w:rPr>
      </w:pPr>
      <w:r w:rsidRPr="009D0234">
        <w:rPr>
          <w:sz w:val="22"/>
        </w:rPr>
        <w:t>is damaged or defaced; or</w:t>
      </w:r>
    </w:p>
    <w:p w:rsidR="00584A7A" w:rsidRPr="009D0234" w:rsidRDefault="00584A7A" w:rsidP="00584A7A">
      <w:pPr>
        <w:pStyle w:val="Numpara4"/>
        <w:numPr>
          <w:ilvl w:val="4"/>
          <w:numId w:val="24"/>
        </w:numPr>
        <w:rPr>
          <w:sz w:val="22"/>
        </w:rPr>
      </w:pPr>
      <w:r w:rsidRPr="009D0234">
        <w:rPr>
          <w:sz w:val="22"/>
        </w:rPr>
        <w:t>affects the amenity of the surrounding neighbourhood; or</w:t>
      </w:r>
    </w:p>
    <w:p w:rsidR="00584A7A" w:rsidRPr="009D0234" w:rsidRDefault="00584A7A" w:rsidP="00584A7A">
      <w:pPr>
        <w:pStyle w:val="Numpara4"/>
        <w:numPr>
          <w:ilvl w:val="4"/>
          <w:numId w:val="24"/>
        </w:numPr>
        <w:rPr>
          <w:sz w:val="22"/>
        </w:rPr>
      </w:pPr>
      <w:r w:rsidRPr="009D0234">
        <w:rPr>
          <w:sz w:val="22"/>
        </w:rPr>
        <w:t>causes the building to be out of conformity with the visual appearance of other buildings in the vicinity; or</w:t>
      </w:r>
    </w:p>
    <w:p w:rsidR="00584A7A" w:rsidRPr="009D0234" w:rsidRDefault="00584A7A" w:rsidP="00584A7A">
      <w:pPr>
        <w:pStyle w:val="Numpara4"/>
        <w:numPr>
          <w:ilvl w:val="4"/>
          <w:numId w:val="24"/>
        </w:numPr>
        <w:rPr>
          <w:sz w:val="22"/>
        </w:rPr>
      </w:pPr>
      <w:r w:rsidRPr="009D0234">
        <w:rPr>
          <w:sz w:val="22"/>
        </w:rPr>
        <w:t>is declared in writing by an Authorised Officer to be unsafe; and</w:t>
      </w:r>
    </w:p>
    <w:p w:rsidR="00584A7A" w:rsidRPr="009D0234" w:rsidRDefault="00584A7A" w:rsidP="00584A7A">
      <w:pPr>
        <w:pStyle w:val="Numpara2"/>
        <w:rPr>
          <w:sz w:val="22"/>
        </w:rPr>
      </w:pPr>
      <w:r w:rsidRPr="009D0234">
        <w:rPr>
          <w:sz w:val="22"/>
        </w:rPr>
        <w:lastRenderedPageBreak/>
        <w:t>the grounds in the notice to comply have not been addressed to Council’s satisfaction.</w:t>
      </w:r>
    </w:p>
    <w:p w:rsidR="00584A7A" w:rsidRPr="009D0234" w:rsidRDefault="00584A7A" w:rsidP="00584A7A">
      <w:pPr>
        <w:pStyle w:val="Numpara2"/>
        <w:rPr>
          <w:sz w:val="22"/>
        </w:rPr>
      </w:pPr>
      <w:r w:rsidRPr="009D0234">
        <w:rPr>
          <w:sz w:val="22"/>
        </w:rPr>
        <w:t>For the purposes of this section:</w:t>
      </w:r>
    </w:p>
    <w:p w:rsidR="00584A7A" w:rsidRPr="009D0234" w:rsidRDefault="00584A7A" w:rsidP="00584A7A">
      <w:pPr>
        <w:pStyle w:val="Numpara4"/>
        <w:rPr>
          <w:sz w:val="22"/>
        </w:rPr>
      </w:pPr>
      <w:r w:rsidRPr="009D0234">
        <w:rPr>
          <w:sz w:val="22"/>
        </w:rPr>
        <w:t>“Land” includes all land within Council’s municipality, including land with or (where relevant) without structures or buildings on it, in any zone, used for any purpose, other than land that is Vacant Land, Industrial Land, Commercial Land, Cultural and Recreational Land.</w:t>
      </w:r>
    </w:p>
    <w:p w:rsidR="00584A7A" w:rsidRPr="009D0234" w:rsidRDefault="00584A7A" w:rsidP="00584A7A">
      <w:pPr>
        <w:pStyle w:val="Numpara4"/>
        <w:rPr>
          <w:sz w:val="22"/>
        </w:rPr>
      </w:pPr>
      <w:r w:rsidRPr="009D0234">
        <w:rPr>
          <w:sz w:val="22"/>
        </w:rPr>
        <w:t>“Authorised Officer” means an officer appointed by Council as an Authorised Officer under s224 of the Local Government Act 1989.</w:t>
      </w:r>
    </w:p>
    <w:p w:rsidR="00584A7A" w:rsidRPr="009D0234" w:rsidRDefault="00584A7A" w:rsidP="00584A7A">
      <w:pPr>
        <w:pStyle w:val="Numpara4"/>
        <w:rPr>
          <w:sz w:val="22"/>
        </w:rPr>
      </w:pPr>
      <w:r w:rsidRPr="009D0234">
        <w:rPr>
          <w:sz w:val="22"/>
        </w:rPr>
        <w:t>Local Law means the Maroondah City Council Local Law no. 11 as amended or replaced from time to time.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Objective:</w:t>
      </w:r>
    </w:p>
    <w:p w:rsidR="00584A7A" w:rsidRPr="00577DDA" w:rsidRDefault="00584A7A" w:rsidP="00584A7A">
      <w:pPr>
        <w:jc w:val="both"/>
        <w:rPr>
          <w:rFonts w:eastAsia="Times New Roman" w:cs="Arial"/>
        </w:rPr>
      </w:pPr>
      <w:r w:rsidRPr="00577DDA">
        <w:rPr>
          <w:rFonts w:eastAsia="Times New Roman" w:cs="Arial"/>
        </w:rPr>
        <w:t>To ensure that the incidence of dilapidated properties reduce in the municipality and all rateable land makes an equitable financial contribution to the cost of carrying out the functions of Council, including the:</w:t>
      </w:r>
    </w:p>
    <w:p w:rsidR="00584A7A" w:rsidRPr="00577DDA" w:rsidRDefault="00584A7A" w:rsidP="00584A7A">
      <w:pPr>
        <w:jc w:val="both"/>
        <w:rPr>
          <w:rFonts w:eastAsia="Times New Roman" w:cs="Arial"/>
        </w:rPr>
      </w:pPr>
    </w:p>
    <w:p w:rsidR="00584A7A" w:rsidRDefault="00584A7A" w:rsidP="00584A7A">
      <w:pPr>
        <w:pStyle w:val="ListParagraph"/>
        <w:numPr>
          <w:ilvl w:val="0"/>
          <w:numId w:val="25"/>
        </w:numPr>
        <w:spacing w:after="0" w:line="240" w:lineRule="auto"/>
        <w:jc w:val="both"/>
        <w:rPr>
          <w:rFonts w:ascii="Arial" w:eastAsia="Times New Roman" w:hAnsi="Arial" w:cs="Arial"/>
        </w:rPr>
      </w:pPr>
      <w:r>
        <w:rPr>
          <w:rFonts w:ascii="Arial" w:eastAsia="Times New Roman" w:hAnsi="Arial" w:cs="Arial"/>
        </w:rPr>
        <w:t>Encouragement of development/and or improvement of land; and</w:t>
      </w:r>
    </w:p>
    <w:p w:rsidR="00584A7A" w:rsidRPr="008269F6" w:rsidRDefault="00584A7A" w:rsidP="00584A7A">
      <w:pPr>
        <w:pStyle w:val="ListParagraph"/>
        <w:numPr>
          <w:ilvl w:val="0"/>
          <w:numId w:val="25"/>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84A7A" w:rsidRPr="008269F6" w:rsidRDefault="00584A7A" w:rsidP="00584A7A">
      <w:pPr>
        <w:pStyle w:val="ListParagraph"/>
        <w:numPr>
          <w:ilvl w:val="0"/>
          <w:numId w:val="25"/>
        </w:numPr>
        <w:spacing w:after="0" w:line="240" w:lineRule="auto"/>
        <w:jc w:val="both"/>
        <w:rPr>
          <w:rFonts w:ascii="Arial" w:eastAsia="Times New Roman" w:hAnsi="Arial" w:cs="Arial"/>
        </w:rPr>
      </w:pPr>
      <w:r w:rsidRPr="008269F6">
        <w:rPr>
          <w:rFonts w:ascii="Arial" w:eastAsia="Times New Roman" w:hAnsi="Arial" w:cs="Arial"/>
        </w:rPr>
        <w:t>Development and provision of health and community services; and</w:t>
      </w:r>
    </w:p>
    <w:p w:rsidR="00584A7A" w:rsidRPr="00577DDA" w:rsidRDefault="00584A7A" w:rsidP="00584A7A">
      <w:pPr>
        <w:pStyle w:val="ListParagraph"/>
        <w:numPr>
          <w:ilvl w:val="0"/>
          <w:numId w:val="25"/>
        </w:numPr>
        <w:spacing w:after="0" w:line="240" w:lineRule="auto"/>
        <w:jc w:val="both"/>
        <w:rPr>
          <w:rFonts w:eastAsia="Times New Roman" w:cs="Arial"/>
        </w:rPr>
      </w:pPr>
      <w:r w:rsidRPr="008269F6">
        <w:rPr>
          <w:rFonts w:ascii="Arial" w:eastAsia="Times New Roman" w:hAnsi="Arial" w:cs="Arial"/>
        </w:rPr>
        <w:t>Provision of general support services.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and Classes:</w:t>
      </w:r>
    </w:p>
    <w:p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and Level of Differential Rate:</w:t>
      </w:r>
    </w:p>
    <w:p w:rsidR="00584A7A" w:rsidRPr="00577DDA" w:rsidRDefault="00584A7A" w:rsidP="00584A7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Geographic Location:</w:t>
      </w:r>
    </w:p>
    <w:p w:rsidR="00584A7A" w:rsidRPr="00577DDA" w:rsidRDefault="00584A7A" w:rsidP="00584A7A">
      <w:pPr>
        <w:jc w:val="both"/>
        <w:rPr>
          <w:rFonts w:eastAsia="Times New Roman" w:cs="Arial"/>
        </w:rPr>
      </w:pPr>
      <w:r w:rsidRPr="00577DDA">
        <w:rPr>
          <w:rFonts w:eastAsia="Times New Roman" w:cs="Arial"/>
        </w:rPr>
        <w:t>Wherever located within the municipal district.</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Use of Land:</w:t>
      </w:r>
    </w:p>
    <w:p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Planning Scheme Zoning:</w:t>
      </w:r>
    </w:p>
    <w:p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84A7A" w:rsidRPr="00577DDA" w:rsidRDefault="00584A7A" w:rsidP="00584A7A">
      <w:pPr>
        <w:jc w:val="both"/>
        <w:rPr>
          <w:rFonts w:eastAsia="Times New Roman" w:cs="Arial"/>
        </w:rPr>
      </w:pPr>
    </w:p>
    <w:p w:rsidR="00584A7A" w:rsidRPr="00577DDA" w:rsidRDefault="00584A7A" w:rsidP="00584A7A">
      <w:pPr>
        <w:jc w:val="both"/>
        <w:rPr>
          <w:rFonts w:eastAsia="Times New Roman" w:cs="Arial"/>
          <w:b/>
        </w:rPr>
      </w:pPr>
      <w:r w:rsidRPr="00577DDA">
        <w:rPr>
          <w:rFonts w:eastAsia="Times New Roman" w:cs="Arial"/>
          <w:b/>
        </w:rPr>
        <w:t>Types of Buildings:</w:t>
      </w:r>
    </w:p>
    <w:p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land or which are constructed prior to the expiry of the </w:t>
      </w:r>
      <w:r w:rsidRPr="00584A7A">
        <w:rPr>
          <w:rFonts w:eastAsia="Times New Roman" w:cs="Arial"/>
        </w:rPr>
        <w:t>2020/21</w:t>
      </w:r>
      <w:r w:rsidRPr="00577DDA">
        <w:rPr>
          <w:rFonts w:eastAsia="Times New Roman" w:cs="Arial"/>
        </w:rPr>
        <w:t xml:space="preserve"> financial Year.</w:t>
      </w:r>
    </w:p>
    <w:p w:rsidR="00C535FE" w:rsidRDefault="00C535FE">
      <w:pPr>
        <w:rPr>
          <w:rFonts w:eastAsia="Times New Roman" w:cs="Arial"/>
          <w:b/>
          <w:color w:val="FF0000"/>
        </w:rPr>
      </w:pPr>
      <w:r>
        <w:rPr>
          <w:rFonts w:eastAsia="Times New Roman" w:cs="Arial"/>
          <w:b/>
          <w:color w:val="FF0000"/>
        </w:rPr>
        <w:br w:type="page"/>
      </w:r>
    </w:p>
    <w:p w:rsidR="006D1DA3" w:rsidRDefault="00DE2121" w:rsidP="006D1DA3">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6D1DA3" w:rsidRPr="003254DF">
        <w:rPr>
          <w:rFonts w:eastAsia="Times New Roman" w:cs="Arial"/>
          <w:b/>
          <w:bCs/>
          <w:color w:val="4A66AC" w:themeColor="accent1"/>
          <w:lang w:eastAsia="en-AU"/>
        </w:rPr>
        <w:t>.1.2 Statutory fees and fines</w:t>
      </w:r>
    </w:p>
    <w:p w:rsidR="00041351" w:rsidRDefault="00041351" w:rsidP="006D1DA3">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633"/>
        <w:gridCol w:w="1159"/>
        <w:gridCol w:w="1159"/>
        <w:gridCol w:w="1159"/>
        <w:gridCol w:w="917"/>
      </w:tblGrid>
      <w:tr w:rsidR="00887105" w:rsidRPr="00887105" w:rsidTr="00887105">
        <w:trPr>
          <w:trHeight w:val="460"/>
        </w:trPr>
        <w:tc>
          <w:tcPr>
            <w:tcW w:w="2568" w:type="pct"/>
            <w:vMerge w:val="restar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 </w:t>
            </w: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Forecast Actual</w:t>
            </w: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Budget</w:t>
            </w:r>
          </w:p>
        </w:tc>
        <w:tc>
          <w:tcPr>
            <w:tcW w:w="1143" w:type="pct"/>
            <w:gridSpan w:val="2"/>
            <w:vMerge w:val="restar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Change</w:t>
            </w:r>
          </w:p>
        </w:tc>
      </w:tr>
      <w:tr w:rsidR="00887105" w:rsidRPr="00887105" w:rsidTr="00887105">
        <w:trPr>
          <w:trHeight w:val="290"/>
        </w:trPr>
        <w:tc>
          <w:tcPr>
            <w:tcW w:w="2568" w:type="pct"/>
            <w:vMerge/>
            <w:tcBorders>
              <w:top w:val="nil"/>
              <w:left w:val="nil"/>
              <w:bottom w:val="nil"/>
              <w:right w:val="nil"/>
            </w:tcBorders>
            <w:vAlign w:val="center"/>
            <w:hideMark/>
          </w:tcPr>
          <w:p w:rsidR="00887105" w:rsidRPr="00887105" w:rsidRDefault="00887105" w:rsidP="00887105">
            <w:pPr>
              <w:rPr>
                <w:rFonts w:eastAsia="Times New Roman" w:cs="Arial"/>
                <w:b/>
                <w:bCs/>
                <w:color w:val="FFFFFF"/>
                <w:sz w:val="18"/>
                <w:szCs w:val="18"/>
                <w:lang w:eastAsia="en-AU"/>
              </w:rPr>
            </w:pP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2019/20</w:t>
            </w: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2020/21</w:t>
            </w:r>
          </w:p>
        </w:tc>
        <w:tc>
          <w:tcPr>
            <w:tcW w:w="1143" w:type="pct"/>
            <w:gridSpan w:val="2"/>
            <w:vMerge/>
            <w:tcBorders>
              <w:top w:val="nil"/>
              <w:left w:val="nil"/>
              <w:bottom w:val="nil"/>
              <w:right w:val="nil"/>
            </w:tcBorders>
            <w:vAlign w:val="center"/>
            <w:hideMark/>
          </w:tcPr>
          <w:p w:rsidR="00887105" w:rsidRPr="00887105" w:rsidRDefault="00887105" w:rsidP="00887105">
            <w:pPr>
              <w:rPr>
                <w:rFonts w:eastAsia="Times New Roman" w:cs="Arial"/>
                <w:b/>
                <w:bCs/>
                <w:color w:val="FFFFFF"/>
                <w:sz w:val="18"/>
                <w:szCs w:val="18"/>
                <w:lang w:eastAsia="en-AU"/>
              </w:rPr>
            </w:pPr>
          </w:p>
        </w:tc>
      </w:tr>
      <w:tr w:rsidR="00887105" w:rsidRPr="00887105" w:rsidTr="00887105">
        <w:trPr>
          <w:trHeight w:val="343"/>
        </w:trPr>
        <w:tc>
          <w:tcPr>
            <w:tcW w:w="2568" w:type="pct"/>
            <w:vMerge/>
            <w:tcBorders>
              <w:top w:val="nil"/>
              <w:left w:val="nil"/>
              <w:bottom w:val="nil"/>
              <w:right w:val="nil"/>
            </w:tcBorders>
            <w:vAlign w:val="center"/>
            <w:hideMark/>
          </w:tcPr>
          <w:p w:rsidR="00887105" w:rsidRPr="00887105" w:rsidRDefault="00887105" w:rsidP="00887105">
            <w:pPr>
              <w:rPr>
                <w:rFonts w:eastAsia="Times New Roman" w:cs="Arial"/>
                <w:b/>
                <w:bCs/>
                <w:color w:val="FFFFFF"/>
                <w:sz w:val="18"/>
                <w:szCs w:val="18"/>
                <w:lang w:eastAsia="en-AU"/>
              </w:rPr>
            </w:pP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$’000</w:t>
            </w: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$’000</w:t>
            </w:r>
          </w:p>
        </w:tc>
        <w:tc>
          <w:tcPr>
            <w:tcW w:w="644"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$’000</w:t>
            </w:r>
          </w:p>
        </w:tc>
        <w:tc>
          <w:tcPr>
            <w:tcW w:w="499" w:type="pct"/>
            <w:tcBorders>
              <w:top w:val="nil"/>
              <w:left w:val="nil"/>
              <w:bottom w:val="nil"/>
              <w:right w:val="nil"/>
            </w:tcBorders>
            <w:shd w:val="clear" w:color="000000" w:fill="5B9BD5"/>
            <w:vAlign w:val="center"/>
            <w:hideMark/>
          </w:tcPr>
          <w:p w:rsidR="00887105" w:rsidRPr="00887105" w:rsidRDefault="00887105" w:rsidP="00887105">
            <w:pPr>
              <w:jc w:val="center"/>
              <w:rPr>
                <w:rFonts w:eastAsia="Times New Roman" w:cs="Arial"/>
                <w:b/>
                <w:bCs/>
                <w:color w:val="FFFFFF"/>
                <w:sz w:val="18"/>
                <w:szCs w:val="18"/>
                <w:lang w:eastAsia="en-AU"/>
              </w:rPr>
            </w:pPr>
            <w:r w:rsidRPr="00887105">
              <w:rPr>
                <w:rFonts w:eastAsia="Times New Roman" w:cs="Arial"/>
                <w:b/>
                <w:bCs/>
                <w:color w:val="FFFFFF"/>
                <w:sz w:val="18"/>
                <w:szCs w:val="18"/>
                <w:lang w:eastAsia="en-AU"/>
              </w:rPr>
              <w:t>%</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Infringements and costs</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1,044</w:t>
            </w:r>
          </w:p>
        </w:tc>
        <w:tc>
          <w:tcPr>
            <w:tcW w:w="644" w:type="pct"/>
            <w:tcBorders>
              <w:top w:val="nil"/>
              <w:left w:val="nil"/>
              <w:bottom w:val="nil"/>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1,451</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408</w:t>
            </w:r>
          </w:p>
        </w:tc>
        <w:tc>
          <w:tcPr>
            <w:tcW w:w="499"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39.1%</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Court recoveries</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243</w:t>
            </w:r>
          </w:p>
        </w:tc>
        <w:tc>
          <w:tcPr>
            <w:tcW w:w="644" w:type="pct"/>
            <w:tcBorders>
              <w:top w:val="nil"/>
              <w:left w:val="nil"/>
              <w:bottom w:val="nil"/>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190</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(53)</w:t>
            </w:r>
          </w:p>
        </w:tc>
        <w:tc>
          <w:tcPr>
            <w:tcW w:w="499"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(21.8%)</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Town planning fees</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1,267</w:t>
            </w:r>
          </w:p>
        </w:tc>
        <w:tc>
          <w:tcPr>
            <w:tcW w:w="644" w:type="pct"/>
            <w:tcBorders>
              <w:top w:val="nil"/>
              <w:left w:val="nil"/>
              <w:bottom w:val="nil"/>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1,551</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283</w:t>
            </w:r>
          </w:p>
        </w:tc>
        <w:tc>
          <w:tcPr>
            <w:tcW w:w="499"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22.4%</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Land information certificates</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90</w:t>
            </w:r>
          </w:p>
        </w:tc>
        <w:tc>
          <w:tcPr>
            <w:tcW w:w="644" w:type="pct"/>
            <w:tcBorders>
              <w:top w:val="nil"/>
              <w:left w:val="nil"/>
              <w:bottom w:val="nil"/>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105</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15</w:t>
            </w:r>
          </w:p>
        </w:tc>
        <w:tc>
          <w:tcPr>
            <w:tcW w:w="499"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16.2%</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Permits</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1,316</w:t>
            </w:r>
          </w:p>
        </w:tc>
        <w:tc>
          <w:tcPr>
            <w:tcW w:w="644" w:type="pct"/>
            <w:tcBorders>
              <w:top w:val="nil"/>
              <w:left w:val="nil"/>
              <w:bottom w:val="nil"/>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1,697</w:t>
            </w:r>
          </w:p>
        </w:tc>
        <w:tc>
          <w:tcPr>
            <w:tcW w:w="644"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381</w:t>
            </w:r>
          </w:p>
        </w:tc>
        <w:tc>
          <w:tcPr>
            <w:tcW w:w="499" w:type="pct"/>
            <w:tcBorders>
              <w:top w:val="nil"/>
              <w:left w:val="nil"/>
              <w:bottom w:val="nil"/>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29.0%</w:t>
            </w:r>
          </w:p>
        </w:tc>
      </w:tr>
      <w:tr w:rsidR="00887105" w:rsidRPr="00887105" w:rsidTr="00887105">
        <w:trPr>
          <w:trHeight w:val="343"/>
        </w:trPr>
        <w:tc>
          <w:tcPr>
            <w:tcW w:w="2568" w:type="pct"/>
            <w:tcBorders>
              <w:top w:val="nil"/>
              <w:left w:val="nil"/>
              <w:bottom w:val="nil"/>
              <w:right w:val="nil"/>
            </w:tcBorders>
            <w:shd w:val="clear" w:color="auto" w:fill="auto"/>
            <w:vAlign w:val="center"/>
            <w:hideMark/>
          </w:tcPr>
          <w:p w:rsidR="00887105" w:rsidRPr="00887105" w:rsidRDefault="00887105" w:rsidP="00887105">
            <w:pPr>
              <w:jc w:val="both"/>
              <w:rPr>
                <w:rFonts w:eastAsia="Times New Roman" w:cs="Arial"/>
                <w:sz w:val="20"/>
                <w:szCs w:val="20"/>
                <w:lang w:eastAsia="en-AU"/>
              </w:rPr>
            </w:pPr>
            <w:r w:rsidRPr="00887105">
              <w:rPr>
                <w:rFonts w:eastAsia="Times New Roman" w:cs="Arial"/>
                <w:sz w:val="20"/>
                <w:szCs w:val="20"/>
                <w:lang w:eastAsia="en-AU"/>
              </w:rPr>
              <w:t>Other</w:t>
            </w:r>
          </w:p>
        </w:tc>
        <w:tc>
          <w:tcPr>
            <w:tcW w:w="644"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146</w:t>
            </w:r>
          </w:p>
        </w:tc>
        <w:tc>
          <w:tcPr>
            <w:tcW w:w="644" w:type="pct"/>
            <w:tcBorders>
              <w:top w:val="nil"/>
              <w:left w:val="nil"/>
              <w:bottom w:val="single" w:sz="8" w:space="0" w:color="auto"/>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151</w:t>
            </w:r>
          </w:p>
        </w:tc>
        <w:tc>
          <w:tcPr>
            <w:tcW w:w="644"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5</w:t>
            </w:r>
          </w:p>
        </w:tc>
        <w:tc>
          <w:tcPr>
            <w:tcW w:w="499"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3.6%</w:t>
            </w:r>
          </w:p>
        </w:tc>
      </w:tr>
      <w:tr w:rsidR="00887105" w:rsidRPr="00887105" w:rsidTr="00887105">
        <w:trPr>
          <w:trHeight w:val="343"/>
        </w:trPr>
        <w:tc>
          <w:tcPr>
            <w:tcW w:w="2568" w:type="pct"/>
            <w:tcBorders>
              <w:top w:val="nil"/>
              <w:left w:val="nil"/>
              <w:bottom w:val="single" w:sz="8" w:space="0" w:color="auto"/>
              <w:right w:val="nil"/>
            </w:tcBorders>
            <w:shd w:val="clear" w:color="auto" w:fill="auto"/>
            <w:vAlign w:val="center"/>
            <w:hideMark/>
          </w:tcPr>
          <w:p w:rsidR="00887105" w:rsidRPr="00887105" w:rsidRDefault="00887105" w:rsidP="00887105">
            <w:pPr>
              <w:jc w:val="both"/>
              <w:rPr>
                <w:rFonts w:eastAsia="Times New Roman" w:cs="Arial"/>
                <w:b/>
                <w:bCs/>
                <w:sz w:val="20"/>
                <w:szCs w:val="20"/>
                <w:lang w:eastAsia="en-AU"/>
              </w:rPr>
            </w:pPr>
            <w:r w:rsidRPr="00887105">
              <w:rPr>
                <w:rFonts w:eastAsia="Times New Roman" w:cs="Arial"/>
                <w:b/>
                <w:bCs/>
                <w:sz w:val="20"/>
                <w:szCs w:val="20"/>
                <w:lang w:eastAsia="en-AU"/>
              </w:rPr>
              <w:t>Total statutory fees and fines</w:t>
            </w:r>
          </w:p>
        </w:tc>
        <w:tc>
          <w:tcPr>
            <w:tcW w:w="644"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4,106</w:t>
            </w:r>
          </w:p>
        </w:tc>
        <w:tc>
          <w:tcPr>
            <w:tcW w:w="644" w:type="pct"/>
            <w:tcBorders>
              <w:top w:val="nil"/>
              <w:left w:val="nil"/>
              <w:bottom w:val="single" w:sz="8" w:space="0" w:color="auto"/>
              <w:right w:val="nil"/>
            </w:tcBorders>
            <w:shd w:val="clear" w:color="000000" w:fill="DDEBF7"/>
            <w:vAlign w:val="center"/>
            <w:hideMark/>
          </w:tcPr>
          <w:p w:rsidR="00887105" w:rsidRPr="00887105" w:rsidRDefault="00887105" w:rsidP="00887105">
            <w:pPr>
              <w:jc w:val="right"/>
              <w:rPr>
                <w:rFonts w:eastAsia="Times New Roman" w:cs="Arial"/>
                <w:b/>
                <w:bCs/>
                <w:sz w:val="20"/>
                <w:szCs w:val="20"/>
                <w:lang w:eastAsia="en-AU"/>
              </w:rPr>
            </w:pPr>
            <w:r w:rsidRPr="00887105">
              <w:rPr>
                <w:rFonts w:eastAsia="Times New Roman" w:cs="Arial"/>
                <w:b/>
                <w:bCs/>
                <w:sz w:val="20"/>
                <w:szCs w:val="20"/>
                <w:lang w:eastAsia="en-AU"/>
              </w:rPr>
              <w:t>5,145</w:t>
            </w:r>
          </w:p>
        </w:tc>
        <w:tc>
          <w:tcPr>
            <w:tcW w:w="644"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1,039</w:t>
            </w:r>
          </w:p>
        </w:tc>
        <w:tc>
          <w:tcPr>
            <w:tcW w:w="499" w:type="pct"/>
            <w:tcBorders>
              <w:top w:val="nil"/>
              <w:left w:val="nil"/>
              <w:bottom w:val="single" w:sz="8" w:space="0" w:color="auto"/>
              <w:right w:val="nil"/>
            </w:tcBorders>
            <w:shd w:val="clear" w:color="auto" w:fill="auto"/>
            <w:vAlign w:val="center"/>
            <w:hideMark/>
          </w:tcPr>
          <w:p w:rsidR="00887105" w:rsidRPr="00887105" w:rsidRDefault="00887105" w:rsidP="00887105">
            <w:pPr>
              <w:jc w:val="right"/>
              <w:rPr>
                <w:rFonts w:eastAsia="Times New Roman" w:cs="Arial"/>
                <w:sz w:val="20"/>
                <w:szCs w:val="20"/>
                <w:lang w:eastAsia="en-AU"/>
              </w:rPr>
            </w:pPr>
            <w:r w:rsidRPr="00887105">
              <w:rPr>
                <w:rFonts w:eastAsia="Times New Roman" w:cs="Arial"/>
                <w:sz w:val="20"/>
                <w:szCs w:val="20"/>
                <w:lang w:eastAsia="en-AU"/>
              </w:rPr>
              <w:t>25.3%</w:t>
            </w:r>
          </w:p>
        </w:tc>
      </w:tr>
    </w:tbl>
    <w:p w:rsidR="00041351" w:rsidRDefault="00041351" w:rsidP="006D1DA3">
      <w:pPr>
        <w:spacing w:after="20"/>
        <w:rPr>
          <w:rFonts w:eastAsia="Times New Roman" w:cs="Arial"/>
          <w:b/>
          <w:bCs/>
          <w:color w:val="4A66AC" w:themeColor="accent1"/>
          <w:lang w:eastAsia="en-AU"/>
        </w:rPr>
      </w:pPr>
    </w:p>
    <w:p w:rsidR="00E67857" w:rsidRDefault="006F4039" w:rsidP="00D62948">
      <w:pPr>
        <w:jc w:val="both"/>
        <w:rPr>
          <w:rFonts w:eastAsia="Times New Roman" w:cs="Arial"/>
        </w:rPr>
      </w:pPr>
      <w:r w:rsidRPr="0029462D">
        <w:rPr>
          <w:rFonts w:eastAsia="Times New Roman" w:cs="Arial"/>
        </w:rPr>
        <w:t xml:space="preserve">Statutory fees relate mainly to fees and fines levied in accordance with legislation and include animal </w:t>
      </w:r>
      <w:r w:rsidR="00101A48" w:rsidRPr="0029462D">
        <w:rPr>
          <w:rFonts w:eastAsia="Times New Roman" w:cs="Arial"/>
        </w:rPr>
        <w:t>registrations, local</w:t>
      </w:r>
      <w:r w:rsidRPr="0029462D">
        <w:rPr>
          <w:rFonts w:eastAsia="Times New Roman" w:cs="Arial"/>
        </w:rPr>
        <w:t xml:space="preserve"> laws and parking fines and statutory planning application fees. Increases in statutory fees are made in accordance with legislative requirements.</w:t>
      </w:r>
    </w:p>
    <w:p w:rsidR="00CF7895" w:rsidRDefault="00CF7895">
      <w:pPr>
        <w:rPr>
          <w:rFonts w:eastAsia="Times New Roman" w:cs="Arial"/>
        </w:rPr>
      </w:pPr>
    </w:p>
    <w:p w:rsidR="00CF7895" w:rsidRDefault="00DE2121" w:rsidP="00CF7895">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CF7895" w:rsidRPr="003254DF">
        <w:rPr>
          <w:rFonts w:eastAsia="Times New Roman" w:cs="Arial"/>
          <w:b/>
          <w:bCs/>
          <w:color w:val="4A66AC" w:themeColor="accent1"/>
          <w:lang w:eastAsia="en-AU"/>
        </w:rPr>
        <w:t>.1.3 User fees</w:t>
      </w:r>
    </w:p>
    <w:p w:rsidR="00CF7895" w:rsidRDefault="00CF7895">
      <w:pPr>
        <w:rPr>
          <w:rFonts w:eastAsia="Times New Roman" w:cs="Arial"/>
        </w:rPr>
      </w:pPr>
    </w:p>
    <w:tbl>
      <w:tblPr>
        <w:tblW w:w="5000" w:type="pct"/>
        <w:tblLook w:val="04A0" w:firstRow="1" w:lastRow="0" w:firstColumn="1" w:lastColumn="0" w:noHBand="0" w:noVBand="1"/>
      </w:tblPr>
      <w:tblGrid>
        <w:gridCol w:w="4298"/>
        <w:gridCol w:w="1228"/>
        <w:gridCol w:w="1228"/>
        <w:gridCol w:w="1228"/>
        <w:gridCol w:w="1045"/>
      </w:tblGrid>
      <w:tr w:rsidR="00221B46" w:rsidRPr="00221B46" w:rsidTr="00221B46">
        <w:trPr>
          <w:trHeight w:val="460"/>
        </w:trPr>
        <w:tc>
          <w:tcPr>
            <w:tcW w:w="2381" w:type="pct"/>
            <w:vMerge w:val="restar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 </w:t>
            </w: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Forecast Actual</w:t>
            </w: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Budget</w:t>
            </w:r>
          </w:p>
        </w:tc>
        <w:tc>
          <w:tcPr>
            <w:tcW w:w="1259" w:type="pct"/>
            <w:gridSpan w:val="2"/>
            <w:vMerge w:val="restar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Change</w:t>
            </w:r>
          </w:p>
        </w:tc>
      </w:tr>
      <w:tr w:rsidR="00221B46" w:rsidRPr="00221B46" w:rsidTr="00221B46">
        <w:trPr>
          <w:trHeight w:val="290"/>
        </w:trPr>
        <w:tc>
          <w:tcPr>
            <w:tcW w:w="2381" w:type="pct"/>
            <w:vMerge/>
            <w:tcBorders>
              <w:top w:val="nil"/>
              <w:left w:val="nil"/>
              <w:bottom w:val="nil"/>
              <w:right w:val="nil"/>
            </w:tcBorders>
            <w:vAlign w:val="center"/>
            <w:hideMark/>
          </w:tcPr>
          <w:p w:rsidR="00221B46" w:rsidRPr="00221B46" w:rsidRDefault="00221B46" w:rsidP="00221B46">
            <w:pPr>
              <w:rPr>
                <w:rFonts w:eastAsia="Times New Roman" w:cs="Arial"/>
                <w:b/>
                <w:bCs/>
                <w:color w:val="FFFFFF"/>
                <w:sz w:val="18"/>
                <w:szCs w:val="18"/>
                <w:lang w:eastAsia="en-AU"/>
              </w:rPr>
            </w:pP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2019/20</w:t>
            </w: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2020/21</w:t>
            </w:r>
          </w:p>
        </w:tc>
        <w:tc>
          <w:tcPr>
            <w:tcW w:w="1259" w:type="pct"/>
            <w:gridSpan w:val="2"/>
            <w:vMerge/>
            <w:tcBorders>
              <w:top w:val="nil"/>
              <w:left w:val="nil"/>
              <w:bottom w:val="nil"/>
              <w:right w:val="nil"/>
            </w:tcBorders>
            <w:vAlign w:val="center"/>
            <w:hideMark/>
          </w:tcPr>
          <w:p w:rsidR="00221B46" w:rsidRPr="00221B46" w:rsidRDefault="00221B46" w:rsidP="00221B46">
            <w:pPr>
              <w:rPr>
                <w:rFonts w:eastAsia="Times New Roman" w:cs="Arial"/>
                <w:b/>
                <w:bCs/>
                <w:color w:val="FFFFFF"/>
                <w:sz w:val="18"/>
                <w:szCs w:val="18"/>
                <w:lang w:eastAsia="en-AU"/>
              </w:rPr>
            </w:pPr>
          </w:p>
        </w:tc>
      </w:tr>
      <w:tr w:rsidR="00221B46" w:rsidRPr="00221B46" w:rsidTr="00221B46">
        <w:trPr>
          <w:trHeight w:val="290"/>
        </w:trPr>
        <w:tc>
          <w:tcPr>
            <w:tcW w:w="2381" w:type="pct"/>
            <w:vMerge/>
            <w:tcBorders>
              <w:top w:val="nil"/>
              <w:left w:val="nil"/>
              <w:bottom w:val="nil"/>
              <w:right w:val="nil"/>
            </w:tcBorders>
            <w:vAlign w:val="center"/>
            <w:hideMark/>
          </w:tcPr>
          <w:p w:rsidR="00221B46" w:rsidRPr="00221B46" w:rsidRDefault="00221B46" w:rsidP="00221B46">
            <w:pPr>
              <w:rPr>
                <w:rFonts w:eastAsia="Times New Roman" w:cs="Arial"/>
                <w:b/>
                <w:bCs/>
                <w:color w:val="FFFFFF"/>
                <w:sz w:val="18"/>
                <w:szCs w:val="18"/>
                <w:lang w:eastAsia="en-AU"/>
              </w:rPr>
            </w:pP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$’000</w:t>
            </w: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$’000</w:t>
            </w:r>
          </w:p>
        </w:tc>
        <w:tc>
          <w:tcPr>
            <w:tcW w:w="680"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$’000</w:t>
            </w:r>
          </w:p>
        </w:tc>
        <w:tc>
          <w:tcPr>
            <w:tcW w:w="578" w:type="pct"/>
            <w:tcBorders>
              <w:top w:val="nil"/>
              <w:left w:val="nil"/>
              <w:bottom w:val="nil"/>
              <w:right w:val="nil"/>
            </w:tcBorders>
            <w:shd w:val="clear" w:color="000000" w:fill="5B9BD5"/>
            <w:vAlign w:val="center"/>
            <w:hideMark/>
          </w:tcPr>
          <w:p w:rsidR="00221B46" w:rsidRPr="00221B46" w:rsidRDefault="00221B46" w:rsidP="00221B46">
            <w:pPr>
              <w:jc w:val="center"/>
              <w:rPr>
                <w:rFonts w:eastAsia="Times New Roman" w:cs="Arial"/>
                <w:b/>
                <w:bCs/>
                <w:color w:val="FFFFFF"/>
                <w:sz w:val="18"/>
                <w:szCs w:val="18"/>
                <w:lang w:eastAsia="en-AU"/>
              </w:rPr>
            </w:pPr>
            <w:r w:rsidRPr="00221B46">
              <w:rPr>
                <w:rFonts w:eastAsia="Times New Roman" w:cs="Arial"/>
                <w:b/>
                <w:bCs/>
                <w:color w:val="FFFFFF"/>
                <w:sz w:val="18"/>
                <w:szCs w:val="18"/>
                <w:lang w:eastAsia="en-AU"/>
              </w:rPr>
              <w:t>%</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Active Leisure Centres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14,194</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15,775</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1,581</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11.1%</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Aged and health services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448</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411</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(36)</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(8.1%)</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Child care/children's programs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265</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251</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(14)</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(5.2%)</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Community Facilities - Recreation</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405</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530</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126</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31.1%</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Community Health</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11</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14</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30.5%</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Local Laws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44</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44</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0</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0.0%</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884563" w:rsidP="00221B46">
            <w:pPr>
              <w:rPr>
                <w:rFonts w:eastAsia="Times New Roman" w:cs="Arial"/>
                <w:sz w:val="20"/>
                <w:szCs w:val="20"/>
                <w:lang w:eastAsia="en-AU"/>
              </w:rPr>
            </w:pPr>
            <w:r w:rsidRPr="00221B46">
              <w:rPr>
                <w:rFonts w:eastAsia="Times New Roman" w:cs="Arial"/>
                <w:sz w:val="20"/>
                <w:szCs w:val="20"/>
                <w:lang w:eastAsia="en-AU"/>
              </w:rPr>
              <w:t>Performing</w:t>
            </w:r>
            <w:r w:rsidR="00221B46" w:rsidRPr="00221B46">
              <w:rPr>
                <w:rFonts w:eastAsia="Times New Roman" w:cs="Arial"/>
                <w:sz w:val="20"/>
                <w:szCs w:val="20"/>
                <w:lang w:eastAsia="en-AU"/>
              </w:rPr>
              <w:t xml:space="preserve"> Arts, Functions &amp; Conferences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2,862</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1,472</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(1,390)</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(48.6%)</w:t>
            </w:r>
          </w:p>
        </w:tc>
      </w:tr>
      <w:tr w:rsidR="00221B46" w:rsidRPr="00221B46" w:rsidTr="00221B46">
        <w:trPr>
          <w:trHeight w:val="29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Youth Programs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4</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1</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w:t>
            </w:r>
          </w:p>
        </w:tc>
        <w:tc>
          <w:tcPr>
            <w:tcW w:w="578"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(72.3%)</w:t>
            </w:r>
          </w:p>
        </w:tc>
      </w:tr>
      <w:tr w:rsidR="00221B46" w:rsidRPr="00221B46" w:rsidTr="00221B46">
        <w:trPr>
          <w:trHeight w:val="300"/>
        </w:trPr>
        <w:tc>
          <w:tcPr>
            <w:tcW w:w="2381" w:type="pct"/>
            <w:tcBorders>
              <w:top w:val="nil"/>
              <w:left w:val="nil"/>
              <w:bottom w:val="nil"/>
              <w:right w:val="nil"/>
            </w:tcBorders>
            <w:shd w:val="clear" w:color="auto" w:fill="auto"/>
            <w:noWrap/>
            <w:vAlign w:val="bottom"/>
            <w:hideMark/>
          </w:tcPr>
          <w:p w:rsidR="00221B46" w:rsidRPr="00221B46" w:rsidRDefault="00221B46" w:rsidP="00221B46">
            <w:pPr>
              <w:rPr>
                <w:rFonts w:eastAsia="Times New Roman" w:cs="Arial"/>
                <w:sz w:val="20"/>
                <w:szCs w:val="20"/>
                <w:lang w:eastAsia="en-AU"/>
              </w:rPr>
            </w:pPr>
            <w:r w:rsidRPr="00221B46">
              <w:rPr>
                <w:rFonts w:eastAsia="Times New Roman" w:cs="Arial"/>
                <w:sz w:val="20"/>
                <w:szCs w:val="20"/>
                <w:lang w:eastAsia="en-AU"/>
              </w:rPr>
              <w:t>Other fees and charges</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1,600</w:t>
            </w:r>
          </w:p>
        </w:tc>
        <w:tc>
          <w:tcPr>
            <w:tcW w:w="680" w:type="pct"/>
            <w:tcBorders>
              <w:top w:val="nil"/>
              <w:left w:val="nil"/>
              <w:bottom w:val="nil"/>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1,663</w:t>
            </w:r>
          </w:p>
        </w:tc>
        <w:tc>
          <w:tcPr>
            <w:tcW w:w="680" w:type="pct"/>
            <w:tcBorders>
              <w:top w:val="nil"/>
              <w:left w:val="nil"/>
              <w:bottom w:val="nil"/>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63</w:t>
            </w:r>
          </w:p>
        </w:tc>
        <w:tc>
          <w:tcPr>
            <w:tcW w:w="578" w:type="pct"/>
            <w:tcBorders>
              <w:top w:val="nil"/>
              <w:left w:val="nil"/>
              <w:bottom w:val="single" w:sz="8" w:space="0" w:color="auto"/>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3.9%</w:t>
            </w:r>
          </w:p>
        </w:tc>
      </w:tr>
      <w:tr w:rsidR="00221B46" w:rsidRPr="00221B46" w:rsidTr="00221B46">
        <w:trPr>
          <w:trHeight w:val="300"/>
        </w:trPr>
        <w:tc>
          <w:tcPr>
            <w:tcW w:w="2381" w:type="pct"/>
            <w:tcBorders>
              <w:top w:val="nil"/>
              <w:left w:val="nil"/>
              <w:bottom w:val="single" w:sz="8" w:space="0" w:color="auto"/>
              <w:right w:val="nil"/>
            </w:tcBorders>
            <w:shd w:val="clear" w:color="auto" w:fill="auto"/>
            <w:vAlign w:val="center"/>
            <w:hideMark/>
          </w:tcPr>
          <w:p w:rsidR="00221B46" w:rsidRPr="00221B46" w:rsidRDefault="00221B46" w:rsidP="00221B46">
            <w:pPr>
              <w:jc w:val="both"/>
              <w:rPr>
                <w:rFonts w:eastAsia="Times New Roman" w:cs="Arial"/>
                <w:b/>
                <w:bCs/>
                <w:sz w:val="20"/>
                <w:szCs w:val="20"/>
                <w:lang w:eastAsia="en-AU"/>
              </w:rPr>
            </w:pPr>
            <w:r w:rsidRPr="00221B46">
              <w:rPr>
                <w:rFonts w:eastAsia="Times New Roman" w:cs="Arial"/>
                <w:b/>
                <w:bCs/>
                <w:sz w:val="20"/>
                <w:szCs w:val="20"/>
                <w:lang w:eastAsia="en-AU"/>
              </w:rPr>
              <w:t>Total user fees</w:t>
            </w:r>
          </w:p>
        </w:tc>
        <w:tc>
          <w:tcPr>
            <w:tcW w:w="680" w:type="pct"/>
            <w:tcBorders>
              <w:top w:val="single" w:sz="8" w:space="0" w:color="auto"/>
              <w:left w:val="nil"/>
              <w:bottom w:val="single" w:sz="8" w:space="0" w:color="auto"/>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19,832</w:t>
            </w:r>
          </w:p>
        </w:tc>
        <w:tc>
          <w:tcPr>
            <w:tcW w:w="680" w:type="pct"/>
            <w:tcBorders>
              <w:top w:val="single" w:sz="8" w:space="0" w:color="auto"/>
              <w:left w:val="nil"/>
              <w:bottom w:val="single" w:sz="8" w:space="0" w:color="auto"/>
              <w:right w:val="nil"/>
            </w:tcBorders>
            <w:shd w:val="clear" w:color="000000" w:fill="DDEBF7"/>
            <w:vAlign w:val="center"/>
            <w:hideMark/>
          </w:tcPr>
          <w:p w:rsidR="00221B46" w:rsidRPr="00221B46" w:rsidRDefault="00221B46" w:rsidP="00221B46">
            <w:pPr>
              <w:jc w:val="right"/>
              <w:rPr>
                <w:rFonts w:eastAsia="Times New Roman" w:cs="Arial"/>
                <w:b/>
                <w:bCs/>
                <w:sz w:val="20"/>
                <w:szCs w:val="20"/>
                <w:lang w:eastAsia="en-AU"/>
              </w:rPr>
            </w:pPr>
            <w:r w:rsidRPr="00221B46">
              <w:rPr>
                <w:rFonts w:eastAsia="Times New Roman" w:cs="Arial"/>
                <w:b/>
                <w:bCs/>
                <w:sz w:val="20"/>
                <w:szCs w:val="20"/>
                <w:lang w:eastAsia="en-AU"/>
              </w:rPr>
              <w:t>20,162</w:t>
            </w:r>
          </w:p>
        </w:tc>
        <w:tc>
          <w:tcPr>
            <w:tcW w:w="680" w:type="pct"/>
            <w:tcBorders>
              <w:top w:val="single" w:sz="8" w:space="0" w:color="auto"/>
              <w:left w:val="nil"/>
              <w:bottom w:val="single" w:sz="8" w:space="0" w:color="auto"/>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330</w:t>
            </w:r>
          </w:p>
        </w:tc>
        <w:tc>
          <w:tcPr>
            <w:tcW w:w="578" w:type="pct"/>
            <w:tcBorders>
              <w:top w:val="nil"/>
              <w:left w:val="nil"/>
              <w:bottom w:val="single" w:sz="8" w:space="0" w:color="auto"/>
              <w:right w:val="nil"/>
            </w:tcBorders>
            <w:shd w:val="clear" w:color="auto" w:fill="auto"/>
            <w:vAlign w:val="center"/>
            <w:hideMark/>
          </w:tcPr>
          <w:p w:rsidR="00221B46" w:rsidRPr="00221B46" w:rsidRDefault="00221B46" w:rsidP="00221B46">
            <w:pPr>
              <w:jc w:val="right"/>
              <w:rPr>
                <w:rFonts w:eastAsia="Times New Roman" w:cs="Arial"/>
                <w:sz w:val="20"/>
                <w:szCs w:val="20"/>
                <w:lang w:eastAsia="en-AU"/>
              </w:rPr>
            </w:pPr>
            <w:r w:rsidRPr="00221B46">
              <w:rPr>
                <w:rFonts w:eastAsia="Times New Roman" w:cs="Arial"/>
                <w:sz w:val="20"/>
                <w:szCs w:val="20"/>
                <w:lang w:eastAsia="en-AU"/>
              </w:rPr>
              <w:t>1.7%</w:t>
            </w:r>
          </w:p>
        </w:tc>
      </w:tr>
    </w:tbl>
    <w:p w:rsidR="00CF7895" w:rsidRDefault="00CF7895">
      <w:pPr>
        <w:rPr>
          <w:rFonts w:eastAsia="Times New Roman" w:cs="Arial"/>
        </w:rPr>
      </w:pPr>
    </w:p>
    <w:p w:rsidR="008C6281" w:rsidRPr="0029462D" w:rsidRDefault="008C6281" w:rsidP="008C6281">
      <w:pPr>
        <w:jc w:val="both"/>
        <w:rPr>
          <w:rFonts w:eastAsia="Times New Roman" w:cs="Arial"/>
        </w:rPr>
      </w:pPr>
      <w:r w:rsidRPr="0029462D">
        <w:rPr>
          <w:rFonts w:eastAsia="Times New Roman" w:cs="Arial"/>
        </w:rPr>
        <w:t>User fees relate mainly to the recovery of service delivery costs through the charging of fees to users of Council’s services. These include use of Maroondah Leisure facilities: Aquahub; Aquanation; Croydon Memorial Pool; The Rings;</w:t>
      </w:r>
      <w:r w:rsidR="00C260C2">
        <w:rPr>
          <w:rFonts w:eastAsia="Times New Roman" w:cs="Arial"/>
        </w:rPr>
        <w:t xml:space="preserve"> Maroondah Nets;</w:t>
      </w:r>
      <w:r w:rsidRPr="0029462D">
        <w:rPr>
          <w:rFonts w:eastAsia="Times New Roman" w:cs="Arial"/>
        </w:rPr>
        <w:t xml:space="preserve"> and the Ringwood and Croydon Golf courses, Karralyka Centre and other community facilities. In addition, the provision of services such as meals on wheels, family day care, occasional care and holiday programs are included in user fees.</w:t>
      </w:r>
    </w:p>
    <w:p w:rsidR="008C6281" w:rsidRPr="0029462D" w:rsidRDefault="008C6281" w:rsidP="008C6281">
      <w:pPr>
        <w:jc w:val="both"/>
        <w:rPr>
          <w:rFonts w:eastAsia="Times New Roman" w:cs="Arial"/>
          <w:color w:val="FF0000"/>
          <w:highlight w:val="green"/>
        </w:rPr>
      </w:pPr>
    </w:p>
    <w:p w:rsidR="008C6281" w:rsidRPr="0029462D" w:rsidRDefault="008C6281" w:rsidP="008C6281">
      <w:pPr>
        <w:jc w:val="both"/>
        <w:rPr>
          <w:rFonts w:eastAsia="Times New Roman" w:cs="Arial"/>
        </w:rPr>
      </w:pPr>
      <w:r w:rsidRPr="0029462D">
        <w:rPr>
          <w:rFonts w:eastAsia="Times New Roman" w:cs="Arial"/>
        </w:rPr>
        <w:t xml:space="preserve">User fees are projected to increase by </w:t>
      </w:r>
      <w:r w:rsidR="00FD3EB0">
        <w:rPr>
          <w:rFonts w:eastAsia="Times New Roman" w:cs="Arial"/>
        </w:rPr>
        <w:t>1.7</w:t>
      </w:r>
      <w:r w:rsidRPr="00572BAE">
        <w:rPr>
          <w:rFonts w:eastAsia="Times New Roman" w:cs="Arial"/>
        </w:rPr>
        <w:t>% or $</w:t>
      </w:r>
      <w:r w:rsidR="00FD3EB0">
        <w:rPr>
          <w:rFonts w:eastAsia="Times New Roman" w:cs="Arial"/>
        </w:rPr>
        <w:t>0</w:t>
      </w:r>
      <w:r w:rsidR="00572BAE" w:rsidRPr="00572BAE">
        <w:rPr>
          <w:rFonts w:eastAsia="Times New Roman" w:cs="Arial"/>
        </w:rPr>
        <w:t>.</w:t>
      </w:r>
      <w:r w:rsidR="00FD3EB0">
        <w:rPr>
          <w:rFonts w:eastAsia="Times New Roman" w:cs="Arial"/>
        </w:rPr>
        <w:t>3</w:t>
      </w:r>
      <w:r w:rsidRPr="00572BAE">
        <w:rPr>
          <w:rFonts w:eastAsia="Times New Roman" w:cs="Arial"/>
        </w:rPr>
        <w:t xml:space="preserve"> million </w:t>
      </w:r>
      <w:r w:rsidRPr="0029462D">
        <w:rPr>
          <w:rFonts w:eastAsia="Times New Roman" w:cs="Arial"/>
        </w:rPr>
        <w:t xml:space="preserve">over </w:t>
      </w:r>
      <w:r w:rsidRPr="0029462D">
        <w:rPr>
          <w:rFonts w:eastAsia="Times New Roman" w:cs="Arial"/>
          <w:lang w:eastAsia="en-AU"/>
        </w:rPr>
        <w:t>201</w:t>
      </w:r>
      <w:r w:rsidR="00C260C2">
        <w:rPr>
          <w:rFonts w:eastAsia="Times New Roman" w:cs="Arial"/>
          <w:lang w:eastAsia="en-AU"/>
        </w:rPr>
        <w:t>9</w:t>
      </w:r>
      <w:r w:rsidRPr="0029462D">
        <w:rPr>
          <w:rFonts w:eastAsia="Times New Roman" w:cs="Arial"/>
          <w:lang w:eastAsia="en-AU"/>
        </w:rPr>
        <w:t>/</w:t>
      </w:r>
      <w:r w:rsidR="00C260C2">
        <w:rPr>
          <w:rFonts w:eastAsia="Times New Roman" w:cs="Arial"/>
          <w:lang w:eastAsia="en-AU"/>
        </w:rPr>
        <w:t>20</w:t>
      </w:r>
      <w:r w:rsidRPr="00DE24DA">
        <w:rPr>
          <w:rFonts w:eastAsia="Times New Roman" w:cs="Arial"/>
        </w:rPr>
        <w:t xml:space="preserve">. The main areas contributing to the </w:t>
      </w:r>
      <w:r w:rsidR="001C7D3B">
        <w:rPr>
          <w:rFonts w:eastAsia="Times New Roman" w:cs="Arial"/>
        </w:rPr>
        <w:t>increase are</w:t>
      </w:r>
      <w:r w:rsidRPr="00FA3A27">
        <w:rPr>
          <w:rFonts w:eastAsia="Times New Roman" w:cs="Arial"/>
        </w:rPr>
        <w:t xml:space="preserve"> Aquanation ($0.</w:t>
      </w:r>
      <w:r w:rsidR="00D31D1E" w:rsidRPr="00FA3A27">
        <w:rPr>
          <w:rFonts w:eastAsia="Times New Roman" w:cs="Arial"/>
        </w:rPr>
        <w:t>79</w:t>
      </w:r>
      <w:r w:rsidRPr="00FA3A27">
        <w:rPr>
          <w:rFonts w:eastAsia="Times New Roman" w:cs="Arial"/>
        </w:rPr>
        <w:t xml:space="preserve"> million)</w:t>
      </w:r>
      <w:r w:rsidR="001C7D3B">
        <w:rPr>
          <w:rFonts w:eastAsia="Times New Roman" w:cs="Arial"/>
        </w:rPr>
        <w:t xml:space="preserve"> and</w:t>
      </w:r>
      <w:r w:rsidR="00546242" w:rsidRPr="00FA3A27">
        <w:rPr>
          <w:rFonts w:eastAsia="Times New Roman" w:cs="Arial"/>
        </w:rPr>
        <w:t xml:space="preserve"> Aquahub ($ 0.6</w:t>
      </w:r>
      <w:r w:rsidR="00FA3A27" w:rsidRPr="00FA3A27">
        <w:rPr>
          <w:rFonts w:eastAsia="Times New Roman" w:cs="Arial"/>
        </w:rPr>
        <w:t>0</w:t>
      </w:r>
      <w:r w:rsidR="00546242" w:rsidRPr="00FA3A27">
        <w:rPr>
          <w:rFonts w:eastAsia="Times New Roman" w:cs="Arial"/>
        </w:rPr>
        <w:t xml:space="preserve"> million)</w:t>
      </w:r>
      <w:r w:rsidR="001C7D3B">
        <w:rPr>
          <w:rFonts w:eastAsia="Times New Roman" w:cs="Arial"/>
        </w:rPr>
        <w:t xml:space="preserve"> with a decrease anticipated </w:t>
      </w:r>
      <w:r w:rsidR="00884563">
        <w:rPr>
          <w:rFonts w:eastAsia="Times New Roman" w:cs="Arial"/>
        </w:rPr>
        <w:t>at</w:t>
      </w:r>
      <w:r w:rsidR="001C7D3B">
        <w:rPr>
          <w:rFonts w:eastAsia="Times New Roman" w:cs="Arial"/>
        </w:rPr>
        <w:t xml:space="preserve"> Karralyka ($1.34 million)</w:t>
      </w:r>
      <w:r w:rsidRPr="00FA3A27">
        <w:rPr>
          <w:rFonts w:eastAsia="Times New Roman" w:cs="Arial"/>
        </w:rPr>
        <w:t>.</w:t>
      </w:r>
      <w:r w:rsidR="00B50042" w:rsidRPr="00546242">
        <w:rPr>
          <w:rFonts w:eastAsia="Times New Roman" w:cs="Arial"/>
        </w:rPr>
        <w:t xml:space="preserve"> </w:t>
      </w:r>
      <w:r w:rsidRPr="00DE24DA">
        <w:rPr>
          <w:rFonts w:eastAsia="Times New Roman" w:cs="Arial"/>
        </w:rPr>
        <w:t xml:space="preserve">Council plans to increase user charges for all areas in line with expected inflationary trends </w:t>
      </w:r>
      <w:r w:rsidRPr="0029462D">
        <w:rPr>
          <w:rFonts w:eastAsia="Times New Roman" w:cs="Arial"/>
        </w:rPr>
        <w:t xml:space="preserve">and increase service use over the budget period to maintain parity between user charges and the costs of service delivery. </w:t>
      </w:r>
    </w:p>
    <w:p w:rsidR="006B1D31" w:rsidRDefault="006B1D31">
      <w:pPr>
        <w:rPr>
          <w:rFonts w:eastAsia="Times New Roman" w:cs="Arial"/>
          <w:b/>
          <w:bCs/>
          <w:lang w:eastAsia="en-AU"/>
        </w:rPr>
      </w:pPr>
      <w:r>
        <w:rPr>
          <w:rFonts w:eastAsia="Times New Roman" w:cs="Arial"/>
          <w:b/>
          <w:bCs/>
          <w:lang w:eastAsia="en-AU"/>
        </w:rPr>
        <w:br w:type="page"/>
      </w:r>
    </w:p>
    <w:p w:rsidR="0029462D" w:rsidRDefault="00DE2121" w:rsidP="0029462D">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101E30" w:rsidRPr="003254DF">
        <w:rPr>
          <w:rFonts w:eastAsia="Times New Roman" w:cs="Arial"/>
          <w:b/>
          <w:bCs/>
          <w:color w:val="4A66AC" w:themeColor="accent1"/>
          <w:lang w:eastAsia="en-AU"/>
        </w:rPr>
        <w:t>.1.4</w:t>
      </w:r>
      <w:r w:rsidR="0029462D" w:rsidRPr="003254DF">
        <w:rPr>
          <w:rFonts w:eastAsia="Times New Roman" w:cs="Arial"/>
          <w:b/>
          <w:bCs/>
          <w:color w:val="4A66AC" w:themeColor="accent1"/>
          <w:lang w:eastAsia="en-AU"/>
        </w:rPr>
        <w:t xml:space="preserve"> </w:t>
      </w:r>
      <w:r w:rsidR="00101E30" w:rsidRPr="003254DF">
        <w:rPr>
          <w:rFonts w:eastAsia="Times New Roman" w:cs="Arial"/>
          <w:b/>
          <w:bCs/>
          <w:color w:val="4A66AC" w:themeColor="accent1"/>
          <w:lang w:eastAsia="en-AU"/>
        </w:rPr>
        <w:t>Grants</w:t>
      </w:r>
    </w:p>
    <w:p w:rsidR="00B65E3B" w:rsidRDefault="00B65E3B" w:rsidP="0029462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922"/>
        <w:gridCol w:w="1277"/>
        <w:gridCol w:w="1276"/>
        <w:gridCol w:w="1276"/>
        <w:gridCol w:w="1276"/>
      </w:tblGrid>
      <w:tr w:rsidR="00B00A3A" w:rsidRPr="00B00A3A" w:rsidTr="00B00A3A">
        <w:trPr>
          <w:trHeight w:val="530"/>
        </w:trPr>
        <w:tc>
          <w:tcPr>
            <w:tcW w:w="2172" w:type="pct"/>
            <w:tcBorders>
              <w:top w:val="nil"/>
              <w:left w:val="nil"/>
              <w:bottom w:val="nil"/>
              <w:right w:val="nil"/>
            </w:tcBorders>
            <w:shd w:val="clear" w:color="000000" w:fill="5B9BD5"/>
            <w:vAlign w:val="center"/>
            <w:hideMark/>
          </w:tcPr>
          <w:p w:rsidR="00B00A3A" w:rsidRPr="00B00A3A" w:rsidRDefault="00B00A3A" w:rsidP="00B00A3A">
            <w:pPr>
              <w:jc w:val="center"/>
              <w:rPr>
                <w:rFonts w:eastAsia="Times New Roman" w:cs="Arial"/>
                <w:b/>
                <w:bCs/>
                <w:color w:val="FFFFFF"/>
                <w:sz w:val="20"/>
                <w:szCs w:val="20"/>
                <w:lang w:eastAsia="en-AU"/>
              </w:rPr>
            </w:pPr>
            <w:r w:rsidRPr="00B00A3A">
              <w:rPr>
                <w:rFonts w:eastAsia="Times New Roman" w:cs="Arial"/>
                <w:b/>
                <w:bCs/>
                <w:color w:val="FFFFFF"/>
                <w:sz w:val="20"/>
                <w:szCs w:val="20"/>
                <w:lang w:eastAsia="en-AU"/>
              </w:rPr>
              <w:t> </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center"/>
              <w:rPr>
                <w:rFonts w:eastAsia="Times New Roman" w:cs="Arial"/>
                <w:b/>
                <w:bCs/>
                <w:color w:val="FFFFFF"/>
                <w:sz w:val="20"/>
                <w:szCs w:val="20"/>
                <w:lang w:eastAsia="en-AU"/>
              </w:rPr>
            </w:pPr>
            <w:r w:rsidRPr="00B00A3A">
              <w:rPr>
                <w:rFonts w:eastAsia="Times New Roman" w:cs="Arial"/>
                <w:b/>
                <w:bCs/>
                <w:color w:val="FFFFFF"/>
                <w:sz w:val="20"/>
                <w:szCs w:val="20"/>
                <w:lang w:eastAsia="en-AU"/>
              </w:rPr>
              <w:t>Forecast Actual 2019/20</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center"/>
              <w:rPr>
                <w:rFonts w:eastAsia="Times New Roman" w:cs="Arial"/>
                <w:b/>
                <w:bCs/>
                <w:color w:val="FFFFFF"/>
                <w:sz w:val="20"/>
                <w:szCs w:val="20"/>
                <w:lang w:eastAsia="en-AU"/>
              </w:rPr>
            </w:pPr>
            <w:r w:rsidRPr="00B00A3A">
              <w:rPr>
                <w:rFonts w:eastAsia="Times New Roman" w:cs="Arial"/>
                <w:b/>
                <w:bCs/>
                <w:color w:val="FFFFFF"/>
                <w:sz w:val="20"/>
                <w:szCs w:val="20"/>
                <w:lang w:eastAsia="en-AU"/>
              </w:rPr>
              <w:t>Budget     2020/21</w:t>
            </w:r>
          </w:p>
        </w:tc>
        <w:tc>
          <w:tcPr>
            <w:tcW w:w="1414" w:type="pct"/>
            <w:gridSpan w:val="2"/>
            <w:tcBorders>
              <w:top w:val="nil"/>
              <w:left w:val="nil"/>
              <w:bottom w:val="nil"/>
              <w:right w:val="nil"/>
            </w:tcBorders>
            <w:shd w:val="clear" w:color="000000" w:fill="5B9BD5"/>
            <w:vAlign w:val="center"/>
            <w:hideMark/>
          </w:tcPr>
          <w:p w:rsidR="00B00A3A" w:rsidRPr="00B00A3A" w:rsidRDefault="00B00A3A" w:rsidP="00B00A3A">
            <w:pPr>
              <w:jc w:val="center"/>
              <w:rPr>
                <w:rFonts w:eastAsia="Times New Roman" w:cs="Arial"/>
                <w:b/>
                <w:bCs/>
                <w:color w:val="FFFFFF"/>
                <w:sz w:val="20"/>
                <w:szCs w:val="20"/>
                <w:lang w:eastAsia="en-AU"/>
              </w:rPr>
            </w:pPr>
            <w:r w:rsidRPr="00B00A3A">
              <w:rPr>
                <w:rFonts w:eastAsia="Times New Roman" w:cs="Arial"/>
                <w:b/>
                <w:bCs/>
                <w:color w:val="FFFFFF"/>
                <w:sz w:val="20"/>
                <w:szCs w:val="20"/>
                <w:lang w:eastAsia="en-AU"/>
              </w:rPr>
              <w:t>Change</w:t>
            </w:r>
          </w:p>
        </w:tc>
      </w:tr>
      <w:tr w:rsidR="00B00A3A" w:rsidRPr="00B00A3A" w:rsidTr="00B00A3A">
        <w:trPr>
          <w:trHeight w:val="290"/>
        </w:trPr>
        <w:tc>
          <w:tcPr>
            <w:tcW w:w="2172" w:type="pct"/>
            <w:tcBorders>
              <w:top w:val="nil"/>
              <w:left w:val="nil"/>
              <w:bottom w:val="nil"/>
              <w:right w:val="nil"/>
            </w:tcBorders>
            <w:shd w:val="clear" w:color="000000" w:fill="5B9BD5"/>
            <w:vAlign w:val="center"/>
            <w:hideMark/>
          </w:tcPr>
          <w:p w:rsidR="00B00A3A" w:rsidRPr="00B00A3A" w:rsidRDefault="00B00A3A" w:rsidP="00B00A3A">
            <w:pPr>
              <w:rPr>
                <w:rFonts w:eastAsia="Times New Roman" w:cs="Arial"/>
                <w:color w:val="000000"/>
                <w:sz w:val="20"/>
                <w:szCs w:val="20"/>
                <w:lang w:eastAsia="en-AU"/>
              </w:rPr>
            </w:pPr>
            <w:r w:rsidRPr="00B00A3A">
              <w:rPr>
                <w:rFonts w:eastAsia="Times New Roman" w:cs="Arial"/>
                <w:color w:val="000000"/>
                <w:sz w:val="20"/>
                <w:szCs w:val="20"/>
                <w:lang w:eastAsia="en-AU"/>
              </w:rPr>
              <w:t> </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right"/>
              <w:rPr>
                <w:rFonts w:eastAsia="Times New Roman" w:cs="Arial"/>
                <w:b/>
                <w:bCs/>
                <w:color w:val="FFFFFF"/>
                <w:sz w:val="20"/>
                <w:szCs w:val="20"/>
                <w:lang w:eastAsia="en-AU"/>
              </w:rPr>
            </w:pPr>
            <w:r w:rsidRPr="00B00A3A">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right"/>
              <w:rPr>
                <w:rFonts w:eastAsia="Times New Roman" w:cs="Arial"/>
                <w:b/>
                <w:bCs/>
                <w:color w:val="FFFFFF"/>
                <w:sz w:val="20"/>
                <w:szCs w:val="20"/>
                <w:lang w:eastAsia="en-AU"/>
              </w:rPr>
            </w:pPr>
            <w:r w:rsidRPr="00B00A3A">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right"/>
              <w:rPr>
                <w:rFonts w:eastAsia="Times New Roman" w:cs="Arial"/>
                <w:b/>
                <w:bCs/>
                <w:color w:val="FFFFFF"/>
                <w:sz w:val="20"/>
                <w:szCs w:val="20"/>
                <w:lang w:eastAsia="en-AU"/>
              </w:rPr>
            </w:pPr>
            <w:r w:rsidRPr="00B00A3A">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B00A3A" w:rsidRPr="00B00A3A" w:rsidRDefault="00B00A3A" w:rsidP="00B00A3A">
            <w:pPr>
              <w:jc w:val="right"/>
              <w:rPr>
                <w:rFonts w:eastAsia="Times New Roman" w:cs="Arial"/>
                <w:b/>
                <w:bCs/>
                <w:color w:val="FFFFFF"/>
                <w:sz w:val="20"/>
                <w:szCs w:val="20"/>
                <w:lang w:eastAsia="en-AU"/>
              </w:rPr>
            </w:pPr>
            <w:r w:rsidRPr="00B00A3A">
              <w:rPr>
                <w:rFonts w:eastAsia="Times New Roman" w:cs="Arial"/>
                <w:b/>
                <w:bCs/>
                <w:color w:val="FFFFFF"/>
                <w:sz w:val="20"/>
                <w:szCs w:val="20"/>
                <w:lang w:eastAsia="en-AU"/>
              </w:rPr>
              <w:t>%</w:t>
            </w:r>
          </w:p>
        </w:tc>
      </w:tr>
      <w:tr w:rsidR="00B00A3A" w:rsidRPr="00B00A3A" w:rsidTr="00B00A3A">
        <w:trPr>
          <w:trHeight w:val="520"/>
        </w:trPr>
        <w:tc>
          <w:tcPr>
            <w:tcW w:w="2172" w:type="pct"/>
            <w:tcBorders>
              <w:top w:val="nil"/>
              <w:left w:val="nil"/>
              <w:bottom w:val="nil"/>
              <w:right w:val="nil"/>
            </w:tcBorders>
            <w:shd w:val="clear" w:color="auto" w:fill="auto"/>
            <w:hideMark/>
          </w:tcPr>
          <w:p w:rsidR="00B00A3A" w:rsidRPr="00B00A3A" w:rsidRDefault="00B00A3A" w:rsidP="00B00A3A">
            <w:pPr>
              <w:rPr>
                <w:rFonts w:eastAsia="Times New Roman" w:cs="Arial"/>
                <w:b/>
                <w:bCs/>
                <w:sz w:val="20"/>
                <w:szCs w:val="20"/>
                <w:lang w:eastAsia="en-AU"/>
              </w:rPr>
            </w:pPr>
            <w:r w:rsidRPr="00B00A3A">
              <w:rPr>
                <w:rFonts w:eastAsia="Times New Roman" w:cs="Arial"/>
                <w:b/>
                <w:bCs/>
                <w:sz w:val="20"/>
                <w:szCs w:val="20"/>
                <w:lang w:eastAsia="en-AU"/>
              </w:rPr>
              <w:t xml:space="preserve"> Grants were received in respect of the following: </w:t>
            </w:r>
          </w:p>
        </w:tc>
        <w:tc>
          <w:tcPr>
            <w:tcW w:w="707"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b/>
                <w:bCs/>
                <w:sz w:val="20"/>
                <w:szCs w:val="20"/>
                <w:lang w:eastAsia="en-AU"/>
              </w:rPr>
            </w:pPr>
          </w:p>
        </w:tc>
        <w:tc>
          <w:tcPr>
            <w:tcW w:w="707" w:type="pct"/>
            <w:tcBorders>
              <w:top w:val="nil"/>
              <w:left w:val="nil"/>
              <w:bottom w:val="nil"/>
              <w:right w:val="nil"/>
            </w:tcBorders>
            <w:shd w:val="clear" w:color="000000" w:fill="DDEBF7"/>
            <w:vAlign w:val="center"/>
            <w:hideMark/>
          </w:tcPr>
          <w:p w:rsidR="00B00A3A" w:rsidRPr="00B00A3A" w:rsidRDefault="00B00A3A" w:rsidP="00B00A3A">
            <w:pPr>
              <w:jc w:val="right"/>
              <w:rPr>
                <w:rFonts w:eastAsia="Times New Roman" w:cs="Arial"/>
                <w:sz w:val="18"/>
                <w:szCs w:val="18"/>
                <w:lang w:eastAsia="en-AU"/>
              </w:rPr>
            </w:pPr>
            <w:r w:rsidRPr="00B00A3A">
              <w:rPr>
                <w:rFonts w:eastAsia="Times New Roman" w:cs="Arial"/>
                <w:sz w:val="18"/>
                <w:szCs w:val="18"/>
                <w:lang w:eastAsia="en-AU"/>
              </w:rPr>
              <w:t> </w:t>
            </w:r>
          </w:p>
        </w:tc>
        <w:tc>
          <w:tcPr>
            <w:tcW w:w="707" w:type="pct"/>
            <w:tcBorders>
              <w:top w:val="nil"/>
              <w:left w:val="nil"/>
              <w:bottom w:val="nil"/>
              <w:right w:val="nil"/>
            </w:tcBorders>
            <w:shd w:val="clear" w:color="auto" w:fill="auto"/>
            <w:vAlign w:val="center"/>
            <w:hideMark/>
          </w:tcPr>
          <w:p w:rsidR="00B00A3A" w:rsidRPr="00B00A3A" w:rsidRDefault="00B00A3A" w:rsidP="00B00A3A">
            <w:pPr>
              <w:jc w:val="right"/>
              <w:rPr>
                <w:rFonts w:eastAsia="Times New Roman" w:cs="Arial"/>
                <w:sz w:val="18"/>
                <w:szCs w:val="18"/>
                <w:lang w:eastAsia="en-AU"/>
              </w:rPr>
            </w:pPr>
          </w:p>
        </w:tc>
        <w:tc>
          <w:tcPr>
            <w:tcW w:w="707" w:type="pct"/>
            <w:tcBorders>
              <w:top w:val="nil"/>
              <w:left w:val="nil"/>
              <w:bottom w:val="nil"/>
              <w:right w:val="nil"/>
            </w:tcBorders>
            <w:shd w:val="clear" w:color="auto" w:fill="auto"/>
            <w:vAlign w:val="center"/>
            <w:hideMark/>
          </w:tcPr>
          <w:p w:rsidR="00B00A3A" w:rsidRPr="00B00A3A" w:rsidRDefault="00B00A3A" w:rsidP="00B00A3A">
            <w:pPr>
              <w:jc w:val="right"/>
              <w:rPr>
                <w:rFonts w:ascii="Times New Roman" w:eastAsia="Times New Roman" w:hAnsi="Times New Roman"/>
                <w:sz w:val="20"/>
                <w:szCs w:val="20"/>
                <w:lang w:eastAsia="en-AU"/>
              </w:rPr>
            </w:pPr>
          </w:p>
        </w:tc>
      </w:tr>
      <w:tr w:rsidR="00B00A3A" w:rsidRPr="00B00A3A" w:rsidTr="00B00A3A">
        <w:trPr>
          <w:trHeight w:val="290"/>
        </w:trPr>
        <w:tc>
          <w:tcPr>
            <w:tcW w:w="2172"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sz w:val="20"/>
                <w:szCs w:val="20"/>
                <w:lang w:eastAsia="en-AU"/>
              </w:rPr>
            </w:pPr>
            <w:r w:rsidRPr="00B00A3A">
              <w:rPr>
                <w:rFonts w:eastAsia="Times New Roman" w:cs="Arial"/>
                <w:sz w:val="20"/>
                <w:szCs w:val="20"/>
                <w:lang w:eastAsia="en-AU"/>
              </w:rPr>
              <w:t>Summary of grants</w:t>
            </w:r>
          </w:p>
        </w:tc>
        <w:tc>
          <w:tcPr>
            <w:tcW w:w="707"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sz w:val="20"/>
                <w:szCs w:val="20"/>
                <w:lang w:eastAsia="en-AU"/>
              </w:rPr>
            </w:pPr>
          </w:p>
        </w:tc>
        <w:tc>
          <w:tcPr>
            <w:tcW w:w="707" w:type="pct"/>
            <w:tcBorders>
              <w:top w:val="nil"/>
              <w:left w:val="nil"/>
              <w:bottom w:val="nil"/>
              <w:right w:val="nil"/>
            </w:tcBorders>
            <w:shd w:val="clear" w:color="000000" w:fill="DDEBF7"/>
            <w:vAlign w:val="center"/>
            <w:hideMark/>
          </w:tcPr>
          <w:p w:rsidR="00B00A3A" w:rsidRPr="00B00A3A" w:rsidRDefault="00B00A3A" w:rsidP="00B00A3A">
            <w:pPr>
              <w:jc w:val="right"/>
              <w:rPr>
                <w:rFonts w:eastAsia="Times New Roman" w:cs="Arial"/>
                <w:sz w:val="18"/>
                <w:szCs w:val="18"/>
                <w:lang w:eastAsia="en-AU"/>
              </w:rPr>
            </w:pPr>
            <w:r w:rsidRPr="00B00A3A">
              <w:rPr>
                <w:rFonts w:eastAsia="Times New Roman" w:cs="Arial"/>
                <w:sz w:val="18"/>
                <w:szCs w:val="18"/>
                <w:lang w:eastAsia="en-AU"/>
              </w:rPr>
              <w:t> </w:t>
            </w:r>
          </w:p>
        </w:tc>
        <w:tc>
          <w:tcPr>
            <w:tcW w:w="707" w:type="pct"/>
            <w:tcBorders>
              <w:top w:val="nil"/>
              <w:left w:val="nil"/>
              <w:bottom w:val="nil"/>
              <w:right w:val="nil"/>
            </w:tcBorders>
            <w:shd w:val="clear" w:color="auto" w:fill="auto"/>
            <w:vAlign w:val="center"/>
            <w:hideMark/>
          </w:tcPr>
          <w:p w:rsidR="00B00A3A" w:rsidRPr="00B00A3A" w:rsidRDefault="00B00A3A" w:rsidP="00B00A3A">
            <w:pPr>
              <w:jc w:val="right"/>
              <w:rPr>
                <w:rFonts w:eastAsia="Times New Roman" w:cs="Arial"/>
                <w:sz w:val="18"/>
                <w:szCs w:val="18"/>
                <w:lang w:eastAsia="en-AU"/>
              </w:rPr>
            </w:pPr>
          </w:p>
        </w:tc>
        <w:tc>
          <w:tcPr>
            <w:tcW w:w="707" w:type="pct"/>
            <w:tcBorders>
              <w:top w:val="nil"/>
              <w:left w:val="nil"/>
              <w:bottom w:val="nil"/>
              <w:right w:val="nil"/>
            </w:tcBorders>
            <w:shd w:val="clear" w:color="auto" w:fill="auto"/>
            <w:vAlign w:val="center"/>
            <w:hideMark/>
          </w:tcPr>
          <w:p w:rsidR="00B00A3A" w:rsidRPr="00B00A3A" w:rsidRDefault="00B00A3A" w:rsidP="00B00A3A">
            <w:pPr>
              <w:jc w:val="right"/>
              <w:rPr>
                <w:rFonts w:ascii="Times New Roman" w:eastAsia="Times New Roman" w:hAnsi="Times New Roman"/>
                <w:sz w:val="20"/>
                <w:szCs w:val="20"/>
                <w:lang w:eastAsia="en-AU"/>
              </w:rPr>
            </w:pPr>
          </w:p>
        </w:tc>
      </w:tr>
      <w:tr w:rsidR="00B00A3A" w:rsidRPr="00B00A3A" w:rsidTr="00B00A3A">
        <w:trPr>
          <w:trHeight w:val="290"/>
        </w:trPr>
        <w:tc>
          <w:tcPr>
            <w:tcW w:w="2172"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sz w:val="20"/>
                <w:szCs w:val="20"/>
                <w:lang w:eastAsia="en-AU"/>
              </w:rPr>
            </w:pPr>
            <w:r w:rsidRPr="00B00A3A">
              <w:rPr>
                <w:rFonts w:eastAsia="Times New Roman" w:cs="Arial"/>
                <w:sz w:val="20"/>
                <w:szCs w:val="20"/>
                <w:lang w:eastAsia="en-AU"/>
              </w:rPr>
              <w:t>Commonwealth funded grants</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11,976</w:t>
            </w:r>
          </w:p>
        </w:tc>
        <w:tc>
          <w:tcPr>
            <w:tcW w:w="707" w:type="pct"/>
            <w:tcBorders>
              <w:top w:val="nil"/>
              <w:left w:val="nil"/>
              <w:bottom w:val="nil"/>
              <w:right w:val="nil"/>
            </w:tcBorders>
            <w:shd w:val="clear" w:color="000000" w:fill="DDEBF7"/>
            <w:vAlign w:val="center"/>
            <w:hideMark/>
          </w:tcPr>
          <w:p w:rsidR="00B00A3A" w:rsidRPr="00B00A3A" w:rsidRDefault="00B00A3A" w:rsidP="00B00A3A">
            <w:pPr>
              <w:jc w:val="right"/>
              <w:rPr>
                <w:rFonts w:eastAsia="Times New Roman" w:cs="Arial"/>
                <w:b/>
                <w:bCs/>
                <w:sz w:val="20"/>
                <w:szCs w:val="20"/>
                <w:lang w:eastAsia="en-AU"/>
              </w:rPr>
            </w:pPr>
            <w:r w:rsidRPr="00B00A3A">
              <w:rPr>
                <w:rFonts w:eastAsia="Times New Roman" w:cs="Arial"/>
                <w:b/>
                <w:bCs/>
                <w:sz w:val="20"/>
                <w:szCs w:val="20"/>
                <w:lang w:eastAsia="en-AU"/>
              </w:rPr>
              <w:t>32,279</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20,303</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169.53%</w:t>
            </w:r>
          </w:p>
        </w:tc>
      </w:tr>
      <w:tr w:rsidR="00B00A3A" w:rsidRPr="00B00A3A" w:rsidTr="00B00A3A">
        <w:trPr>
          <w:trHeight w:val="300"/>
        </w:trPr>
        <w:tc>
          <w:tcPr>
            <w:tcW w:w="2172"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sz w:val="20"/>
                <w:szCs w:val="20"/>
                <w:lang w:eastAsia="en-AU"/>
              </w:rPr>
            </w:pPr>
            <w:r w:rsidRPr="00B00A3A">
              <w:rPr>
                <w:rFonts w:eastAsia="Times New Roman" w:cs="Arial"/>
                <w:sz w:val="20"/>
                <w:szCs w:val="20"/>
                <w:lang w:eastAsia="en-AU"/>
              </w:rPr>
              <w:t>State funded grants</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4,861</w:t>
            </w:r>
          </w:p>
        </w:tc>
        <w:tc>
          <w:tcPr>
            <w:tcW w:w="707" w:type="pct"/>
            <w:tcBorders>
              <w:top w:val="nil"/>
              <w:left w:val="nil"/>
              <w:bottom w:val="nil"/>
              <w:right w:val="nil"/>
            </w:tcBorders>
            <w:shd w:val="clear" w:color="000000" w:fill="DDEBF7"/>
            <w:vAlign w:val="center"/>
            <w:hideMark/>
          </w:tcPr>
          <w:p w:rsidR="00B00A3A" w:rsidRPr="00B00A3A" w:rsidRDefault="00B00A3A" w:rsidP="00B00A3A">
            <w:pPr>
              <w:jc w:val="right"/>
              <w:rPr>
                <w:rFonts w:eastAsia="Times New Roman" w:cs="Arial"/>
                <w:b/>
                <w:bCs/>
                <w:sz w:val="20"/>
                <w:szCs w:val="20"/>
                <w:lang w:eastAsia="en-AU"/>
              </w:rPr>
            </w:pPr>
            <w:r w:rsidRPr="00B00A3A">
              <w:rPr>
                <w:rFonts w:eastAsia="Times New Roman" w:cs="Arial"/>
                <w:b/>
                <w:bCs/>
                <w:sz w:val="20"/>
                <w:szCs w:val="20"/>
                <w:lang w:eastAsia="en-AU"/>
              </w:rPr>
              <w:t xml:space="preserve"> 2,661</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(2,199)</w:t>
            </w:r>
          </w:p>
        </w:tc>
        <w:tc>
          <w:tcPr>
            <w:tcW w:w="707" w:type="pct"/>
            <w:tcBorders>
              <w:top w:val="nil"/>
              <w:left w:val="nil"/>
              <w:bottom w:val="nil"/>
              <w:right w:val="nil"/>
            </w:tcBorders>
            <w:shd w:val="clear" w:color="auto" w:fill="auto"/>
            <w:noWrap/>
            <w:vAlign w:val="center"/>
            <w:hideMark/>
          </w:tcPr>
          <w:p w:rsidR="00B00A3A" w:rsidRPr="00B00A3A" w:rsidRDefault="00B00A3A" w:rsidP="00B00A3A">
            <w:pPr>
              <w:jc w:val="right"/>
              <w:rPr>
                <w:rFonts w:eastAsia="Times New Roman" w:cs="Arial"/>
                <w:color w:val="000000"/>
                <w:sz w:val="20"/>
                <w:szCs w:val="20"/>
                <w:lang w:eastAsia="en-AU"/>
              </w:rPr>
            </w:pPr>
            <w:r w:rsidRPr="00B00A3A">
              <w:rPr>
                <w:rFonts w:eastAsia="Times New Roman" w:cs="Arial"/>
                <w:color w:val="000000"/>
                <w:sz w:val="20"/>
                <w:szCs w:val="20"/>
                <w:lang w:eastAsia="en-AU"/>
              </w:rPr>
              <w:t>(45.2%)</w:t>
            </w:r>
          </w:p>
        </w:tc>
      </w:tr>
      <w:tr w:rsidR="00B00A3A" w:rsidRPr="00B00A3A" w:rsidTr="00B00A3A">
        <w:trPr>
          <w:trHeight w:val="300"/>
        </w:trPr>
        <w:tc>
          <w:tcPr>
            <w:tcW w:w="2172" w:type="pct"/>
            <w:tcBorders>
              <w:top w:val="nil"/>
              <w:left w:val="nil"/>
              <w:bottom w:val="nil"/>
              <w:right w:val="nil"/>
            </w:tcBorders>
            <w:shd w:val="clear" w:color="auto" w:fill="auto"/>
            <w:vAlign w:val="center"/>
            <w:hideMark/>
          </w:tcPr>
          <w:p w:rsidR="00B00A3A" w:rsidRPr="00B00A3A" w:rsidRDefault="00B00A3A" w:rsidP="00B00A3A">
            <w:pPr>
              <w:rPr>
                <w:rFonts w:eastAsia="Times New Roman" w:cs="Arial"/>
                <w:b/>
                <w:bCs/>
                <w:sz w:val="20"/>
                <w:szCs w:val="20"/>
                <w:lang w:eastAsia="en-AU"/>
              </w:rPr>
            </w:pPr>
            <w:r w:rsidRPr="00B00A3A">
              <w:rPr>
                <w:rFonts w:eastAsia="Times New Roman" w:cs="Arial"/>
                <w:b/>
                <w:bCs/>
                <w:sz w:val="20"/>
                <w:szCs w:val="20"/>
                <w:lang w:eastAsia="en-AU"/>
              </w:rPr>
              <w:t>Total grants received</w:t>
            </w:r>
          </w:p>
        </w:tc>
        <w:tc>
          <w:tcPr>
            <w:tcW w:w="707" w:type="pct"/>
            <w:tcBorders>
              <w:top w:val="single" w:sz="8" w:space="0" w:color="auto"/>
              <w:left w:val="nil"/>
              <w:bottom w:val="single" w:sz="8" w:space="0" w:color="auto"/>
              <w:right w:val="nil"/>
            </w:tcBorders>
            <w:shd w:val="clear" w:color="auto" w:fill="auto"/>
            <w:noWrap/>
            <w:vAlign w:val="center"/>
            <w:hideMark/>
          </w:tcPr>
          <w:p w:rsidR="00B00A3A" w:rsidRPr="00B00A3A" w:rsidRDefault="00B00A3A" w:rsidP="00B00A3A">
            <w:pPr>
              <w:jc w:val="right"/>
              <w:rPr>
                <w:rFonts w:eastAsia="Times New Roman" w:cs="Arial"/>
                <w:b/>
                <w:bCs/>
                <w:color w:val="000000"/>
                <w:sz w:val="20"/>
                <w:szCs w:val="20"/>
                <w:lang w:eastAsia="en-AU"/>
              </w:rPr>
            </w:pPr>
            <w:r w:rsidRPr="00B00A3A">
              <w:rPr>
                <w:rFonts w:eastAsia="Times New Roman" w:cs="Arial"/>
                <w:b/>
                <w:bCs/>
                <w:color w:val="000000"/>
                <w:sz w:val="20"/>
                <w:szCs w:val="20"/>
                <w:lang w:eastAsia="en-AU"/>
              </w:rPr>
              <w:t>16,837</w:t>
            </w:r>
          </w:p>
        </w:tc>
        <w:tc>
          <w:tcPr>
            <w:tcW w:w="707" w:type="pct"/>
            <w:tcBorders>
              <w:top w:val="single" w:sz="8" w:space="0" w:color="auto"/>
              <w:left w:val="nil"/>
              <w:bottom w:val="single" w:sz="8" w:space="0" w:color="auto"/>
              <w:right w:val="nil"/>
            </w:tcBorders>
            <w:shd w:val="clear" w:color="000000" w:fill="DDEBF7"/>
            <w:noWrap/>
            <w:vAlign w:val="center"/>
            <w:hideMark/>
          </w:tcPr>
          <w:p w:rsidR="00B00A3A" w:rsidRPr="00B00A3A" w:rsidRDefault="00B00A3A" w:rsidP="00B00A3A">
            <w:pPr>
              <w:jc w:val="right"/>
              <w:rPr>
                <w:rFonts w:eastAsia="Times New Roman" w:cs="Arial"/>
                <w:b/>
                <w:bCs/>
                <w:color w:val="000000"/>
                <w:sz w:val="20"/>
                <w:szCs w:val="20"/>
                <w:lang w:eastAsia="en-AU"/>
              </w:rPr>
            </w:pPr>
            <w:r w:rsidRPr="00B00A3A">
              <w:rPr>
                <w:rFonts w:eastAsia="Times New Roman" w:cs="Arial"/>
                <w:b/>
                <w:bCs/>
                <w:color w:val="000000"/>
                <w:sz w:val="20"/>
                <w:szCs w:val="20"/>
                <w:lang w:eastAsia="en-AU"/>
              </w:rPr>
              <w:t>34,941</w:t>
            </w:r>
          </w:p>
        </w:tc>
        <w:tc>
          <w:tcPr>
            <w:tcW w:w="707" w:type="pct"/>
            <w:tcBorders>
              <w:top w:val="single" w:sz="8" w:space="0" w:color="auto"/>
              <w:left w:val="nil"/>
              <w:bottom w:val="single" w:sz="8" w:space="0" w:color="auto"/>
              <w:right w:val="nil"/>
            </w:tcBorders>
            <w:shd w:val="clear" w:color="auto" w:fill="auto"/>
            <w:noWrap/>
            <w:vAlign w:val="center"/>
            <w:hideMark/>
          </w:tcPr>
          <w:p w:rsidR="00B00A3A" w:rsidRPr="00B00A3A" w:rsidRDefault="00B00A3A" w:rsidP="00B00A3A">
            <w:pPr>
              <w:jc w:val="right"/>
              <w:rPr>
                <w:rFonts w:eastAsia="Times New Roman" w:cs="Arial"/>
                <w:b/>
                <w:bCs/>
                <w:color w:val="000000"/>
                <w:sz w:val="20"/>
                <w:szCs w:val="20"/>
                <w:lang w:eastAsia="en-AU"/>
              </w:rPr>
            </w:pPr>
            <w:r w:rsidRPr="00B00A3A">
              <w:rPr>
                <w:rFonts w:eastAsia="Times New Roman" w:cs="Arial"/>
                <w:b/>
                <w:bCs/>
                <w:color w:val="000000"/>
                <w:sz w:val="20"/>
                <w:szCs w:val="20"/>
                <w:lang w:eastAsia="en-AU"/>
              </w:rPr>
              <w:t>18,104</w:t>
            </w:r>
          </w:p>
        </w:tc>
        <w:tc>
          <w:tcPr>
            <w:tcW w:w="707" w:type="pct"/>
            <w:tcBorders>
              <w:top w:val="single" w:sz="8" w:space="0" w:color="auto"/>
              <w:left w:val="nil"/>
              <w:bottom w:val="single" w:sz="8" w:space="0" w:color="auto"/>
              <w:right w:val="nil"/>
            </w:tcBorders>
            <w:shd w:val="clear" w:color="auto" w:fill="auto"/>
            <w:noWrap/>
            <w:vAlign w:val="center"/>
            <w:hideMark/>
          </w:tcPr>
          <w:p w:rsidR="00B00A3A" w:rsidRPr="00B00A3A" w:rsidRDefault="00B00A3A" w:rsidP="00B00A3A">
            <w:pPr>
              <w:jc w:val="right"/>
              <w:rPr>
                <w:rFonts w:eastAsia="Times New Roman" w:cs="Arial"/>
                <w:b/>
                <w:bCs/>
                <w:color w:val="000000"/>
                <w:sz w:val="20"/>
                <w:szCs w:val="20"/>
                <w:lang w:eastAsia="en-AU"/>
              </w:rPr>
            </w:pPr>
            <w:r w:rsidRPr="00B00A3A">
              <w:rPr>
                <w:rFonts w:eastAsia="Times New Roman" w:cs="Arial"/>
                <w:b/>
                <w:bCs/>
                <w:color w:val="000000"/>
                <w:sz w:val="20"/>
                <w:szCs w:val="20"/>
                <w:lang w:eastAsia="en-AU"/>
              </w:rPr>
              <w:t>107.53%</w:t>
            </w:r>
          </w:p>
        </w:tc>
      </w:tr>
    </w:tbl>
    <w:p w:rsidR="00B63832" w:rsidRDefault="00B63832" w:rsidP="00BE2BBA">
      <w:pPr>
        <w:jc w:val="both"/>
        <w:rPr>
          <w:rFonts w:eastAsia="Times New Roman" w:cs="Arial"/>
        </w:rPr>
      </w:pPr>
    </w:p>
    <w:p w:rsidR="00791333" w:rsidRDefault="00DE2121" w:rsidP="00791333">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791333" w:rsidRPr="003254DF">
        <w:rPr>
          <w:rFonts w:eastAsia="Times New Roman" w:cs="Arial"/>
          <w:b/>
          <w:bCs/>
          <w:color w:val="4A66AC" w:themeColor="accent1"/>
          <w:lang w:eastAsia="en-AU"/>
        </w:rPr>
        <w:t>.1.</w:t>
      </w:r>
      <w:r w:rsidR="00101E30" w:rsidRPr="003254DF">
        <w:rPr>
          <w:rFonts w:eastAsia="Times New Roman" w:cs="Arial"/>
          <w:b/>
          <w:bCs/>
          <w:color w:val="4A66AC" w:themeColor="accent1"/>
          <w:lang w:eastAsia="en-AU"/>
        </w:rPr>
        <w:t>4.1 Grants – operating</w:t>
      </w:r>
    </w:p>
    <w:p w:rsidR="00791333" w:rsidRDefault="00791333" w:rsidP="00BE2BBA">
      <w:pPr>
        <w:jc w:val="both"/>
        <w:rPr>
          <w:rFonts w:eastAsia="Times New Roman" w:cs="Arial"/>
        </w:rPr>
      </w:pPr>
    </w:p>
    <w:p w:rsidR="0029462D" w:rsidRPr="000A43F2" w:rsidRDefault="0029462D" w:rsidP="00BE2BBA">
      <w:pPr>
        <w:jc w:val="both"/>
        <w:rPr>
          <w:rFonts w:eastAsia="Times New Roman" w:cs="Arial"/>
        </w:rPr>
      </w:pPr>
      <w:r w:rsidRPr="000A43F2">
        <w:rPr>
          <w:rFonts w:eastAsia="Times New Roman" w:cs="Arial"/>
        </w:rPr>
        <w:t xml:space="preserve">Operating grants include all monies received from State and Federal sources for the purposes of funding the delivery of Council’s services to ratepayers. Overall, the level of operating grants </w:t>
      </w:r>
      <w:r w:rsidRPr="00961AA3">
        <w:rPr>
          <w:rFonts w:eastAsia="Times New Roman" w:cs="Arial"/>
        </w:rPr>
        <w:t xml:space="preserve">has </w:t>
      </w:r>
      <w:r w:rsidR="00A27FA4">
        <w:rPr>
          <w:rFonts w:eastAsia="Times New Roman" w:cs="Arial"/>
        </w:rPr>
        <w:t>de</w:t>
      </w:r>
      <w:r w:rsidRPr="00961AA3">
        <w:rPr>
          <w:rFonts w:eastAsia="Times New Roman" w:cs="Arial"/>
        </w:rPr>
        <w:t xml:space="preserve">creased by </w:t>
      </w:r>
      <w:r w:rsidR="008F7777">
        <w:rPr>
          <w:rFonts w:eastAsia="Times New Roman" w:cs="Arial"/>
        </w:rPr>
        <w:t>7.</w:t>
      </w:r>
      <w:r w:rsidR="00A27FA4">
        <w:rPr>
          <w:rFonts w:eastAsia="Times New Roman" w:cs="Arial"/>
        </w:rPr>
        <w:t>4</w:t>
      </w:r>
      <w:r w:rsidRPr="00961AA3">
        <w:rPr>
          <w:rFonts w:eastAsia="Times New Roman" w:cs="Arial"/>
        </w:rPr>
        <w:t>% or $</w:t>
      </w:r>
      <w:r w:rsidR="00A27FA4">
        <w:rPr>
          <w:rFonts w:eastAsia="Times New Roman" w:cs="Arial"/>
        </w:rPr>
        <w:t>0.67</w:t>
      </w:r>
      <w:r w:rsidRPr="00961AA3">
        <w:rPr>
          <w:rFonts w:eastAsia="Times New Roman" w:cs="Arial"/>
        </w:rPr>
        <w:t xml:space="preserve"> </w:t>
      </w:r>
      <w:r w:rsidRPr="000A43F2">
        <w:rPr>
          <w:rFonts w:eastAsia="Times New Roman" w:cs="Arial"/>
        </w:rPr>
        <w:t xml:space="preserve">million compared to </w:t>
      </w:r>
      <w:r w:rsidRPr="000A43F2">
        <w:rPr>
          <w:rFonts w:eastAsia="Times New Roman" w:cs="Arial"/>
          <w:lang w:eastAsia="en-AU"/>
        </w:rPr>
        <w:t>201</w:t>
      </w:r>
      <w:r w:rsidR="00263DBE">
        <w:rPr>
          <w:rFonts w:eastAsia="Times New Roman" w:cs="Arial"/>
          <w:lang w:eastAsia="en-AU"/>
        </w:rPr>
        <w:t>9</w:t>
      </w:r>
      <w:r w:rsidRPr="000A43F2">
        <w:rPr>
          <w:rFonts w:eastAsia="Times New Roman" w:cs="Arial"/>
          <w:lang w:eastAsia="en-AU"/>
        </w:rPr>
        <w:t>/</w:t>
      </w:r>
      <w:r w:rsidR="00263DBE">
        <w:rPr>
          <w:rFonts w:eastAsia="Times New Roman" w:cs="Arial"/>
          <w:lang w:eastAsia="en-AU"/>
        </w:rPr>
        <w:t>20</w:t>
      </w:r>
      <w:r w:rsidRPr="000A43F2">
        <w:rPr>
          <w:rFonts w:eastAsia="Times New Roman" w:cs="Arial"/>
          <w:lang w:eastAsia="en-AU"/>
        </w:rPr>
        <w:t xml:space="preserve">. </w:t>
      </w:r>
      <w:r w:rsidRPr="000A43F2">
        <w:rPr>
          <w:rFonts w:eastAsia="Times New Roman" w:cs="Arial"/>
        </w:rPr>
        <w:t xml:space="preserve">Significant movements in grant funding are summarised </w:t>
      </w:r>
      <w:r w:rsidR="00512CA2" w:rsidRPr="000A43F2">
        <w:rPr>
          <w:rFonts w:eastAsia="Times New Roman" w:cs="Arial"/>
        </w:rPr>
        <w:t>below:</w:t>
      </w:r>
    </w:p>
    <w:p w:rsidR="009F65CB" w:rsidRPr="0029462D" w:rsidRDefault="009F65CB" w:rsidP="0029462D">
      <w:pPr>
        <w:jc w:val="both"/>
        <w:rPr>
          <w:rFonts w:eastAsia="Times New Roman" w:cs="Arial"/>
        </w:rPr>
      </w:pPr>
    </w:p>
    <w:tbl>
      <w:tblPr>
        <w:tblW w:w="5000" w:type="pct"/>
        <w:tblLook w:val="04A0" w:firstRow="1" w:lastRow="0" w:firstColumn="1" w:lastColumn="0" w:noHBand="0" w:noVBand="1"/>
      </w:tblPr>
      <w:tblGrid>
        <w:gridCol w:w="3922"/>
        <w:gridCol w:w="1277"/>
        <w:gridCol w:w="1276"/>
        <w:gridCol w:w="1276"/>
        <w:gridCol w:w="1276"/>
      </w:tblGrid>
      <w:tr w:rsidR="00A71DEC" w:rsidRPr="00A71DEC" w:rsidTr="00A71DEC">
        <w:trPr>
          <w:trHeight w:val="520"/>
        </w:trPr>
        <w:tc>
          <w:tcPr>
            <w:tcW w:w="2172" w:type="pct"/>
            <w:tcBorders>
              <w:top w:val="nil"/>
              <w:left w:val="nil"/>
              <w:bottom w:val="nil"/>
              <w:right w:val="nil"/>
            </w:tcBorders>
            <w:shd w:val="clear" w:color="000000" w:fill="5B9BD5"/>
            <w:vAlign w:val="center"/>
            <w:hideMark/>
          </w:tcPr>
          <w:p w:rsidR="00A71DEC" w:rsidRPr="00A71DEC" w:rsidRDefault="00A71DEC" w:rsidP="00A71DEC">
            <w:pPr>
              <w:jc w:val="center"/>
              <w:rPr>
                <w:rFonts w:eastAsia="Times New Roman" w:cs="Arial"/>
                <w:b/>
                <w:bCs/>
                <w:color w:val="FFFFFF"/>
                <w:sz w:val="20"/>
                <w:szCs w:val="20"/>
                <w:lang w:eastAsia="en-AU"/>
              </w:rPr>
            </w:pPr>
            <w:r w:rsidRPr="00A71DEC">
              <w:rPr>
                <w:rFonts w:eastAsia="Times New Roman" w:cs="Arial"/>
                <w:b/>
                <w:bCs/>
                <w:color w:val="FFFFFF"/>
                <w:sz w:val="20"/>
                <w:szCs w:val="20"/>
                <w:lang w:eastAsia="en-AU"/>
              </w:rPr>
              <w:t>Operating Grants</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center"/>
              <w:rPr>
                <w:rFonts w:eastAsia="Times New Roman" w:cs="Arial"/>
                <w:b/>
                <w:bCs/>
                <w:color w:val="FFFFFF"/>
                <w:sz w:val="20"/>
                <w:szCs w:val="20"/>
                <w:lang w:eastAsia="en-AU"/>
              </w:rPr>
            </w:pPr>
            <w:r w:rsidRPr="00A71DEC">
              <w:rPr>
                <w:rFonts w:eastAsia="Times New Roman" w:cs="Arial"/>
                <w:b/>
                <w:bCs/>
                <w:color w:val="FFFFFF"/>
                <w:sz w:val="20"/>
                <w:szCs w:val="20"/>
                <w:lang w:eastAsia="en-AU"/>
              </w:rPr>
              <w:t>Forecast Actual 2019/2020</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center"/>
              <w:rPr>
                <w:rFonts w:eastAsia="Times New Roman" w:cs="Arial"/>
                <w:b/>
                <w:bCs/>
                <w:color w:val="FFFFFF"/>
                <w:sz w:val="20"/>
                <w:szCs w:val="20"/>
                <w:lang w:eastAsia="en-AU"/>
              </w:rPr>
            </w:pPr>
            <w:r w:rsidRPr="00A71DEC">
              <w:rPr>
                <w:rFonts w:eastAsia="Times New Roman" w:cs="Arial"/>
                <w:b/>
                <w:bCs/>
                <w:color w:val="FFFFFF"/>
                <w:sz w:val="20"/>
                <w:szCs w:val="20"/>
                <w:lang w:eastAsia="en-AU"/>
              </w:rPr>
              <w:t>Budget 2020/2021</w:t>
            </w:r>
          </w:p>
        </w:tc>
        <w:tc>
          <w:tcPr>
            <w:tcW w:w="1414" w:type="pct"/>
            <w:gridSpan w:val="2"/>
            <w:tcBorders>
              <w:top w:val="nil"/>
              <w:left w:val="nil"/>
              <w:bottom w:val="nil"/>
              <w:right w:val="nil"/>
            </w:tcBorders>
            <w:shd w:val="clear" w:color="000000" w:fill="5B9BD5"/>
            <w:vAlign w:val="center"/>
            <w:hideMark/>
          </w:tcPr>
          <w:p w:rsidR="00A71DEC" w:rsidRPr="00A71DEC" w:rsidRDefault="00A71DEC" w:rsidP="00A71DEC">
            <w:pPr>
              <w:jc w:val="center"/>
              <w:rPr>
                <w:rFonts w:eastAsia="Times New Roman" w:cs="Arial"/>
                <w:b/>
                <w:bCs/>
                <w:color w:val="FFFFFF"/>
                <w:sz w:val="20"/>
                <w:szCs w:val="20"/>
                <w:lang w:eastAsia="en-AU"/>
              </w:rPr>
            </w:pPr>
            <w:r w:rsidRPr="00A71DEC">
              <w:rPr>
                <w:rFonts w:eastAsia="Times New Roman" w:cs="Arial"/>
                <w:b/>
                <w:bCs/>
                <w:color w:val="FFFFFF"/>
                <w:sz w:val="20"/>
                <w:szCs w:val="20"/>
                <w:lang w:eastAsia="en-AU"/>
              </w:rPr>
              <w:t>Change</w:t>
            </w:r>
          </w:p>
        </w:tc>
      </w:tr>
      <w:tr w:rsidR="00A71DEC" w:rsidRPr="00A71DEC" w:rsidTr="00A71DEC">
        <w:trPr>
          <w:trHeight w:val="290"/>
        </w:trPr>
        <w:tc>
          <w:tcPr>
            <w:tcW w:w="2172" w:type="pct"/>
            <w:tcBorders>
              <w:top w:val="nil"/>
              <w:left w:val="nil"/>
              <w:bottom w:val="nil"/>
              <w:right w:val="nil"/>
            </w:tcBorders>
            <w:shd w:val="clear" w:color="000000" w:fill="5B9BD5"/>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 </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right"/>
              <w:rPr>
                <w:rFonts w:eastAsia="Times New Roman" w:cs="Arial"/>
                <w:b/>
                <w:bCs/>
                <w:color w:val="FFFFFF"/>
                <w:sz w:val="20"/>
                <w:szCs w:val="20"/>
                <w:lang w:eastAsia="en-AU"/>
              </w:rPr>
            </w:pPr>
            <w:r w:rsidRPr="00A71DEC">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right"/>
              <w:rPr>
                <w:rFonts w:eastAsia="Times New Roman" w:cs="Arial"/>
                <w:b/>
                <w:bCs/>
                <w:color w:val="FFFFFF"/>
                <w:sz w:val="20"/>
                <w:szCs w:val="20"/>
                <w:lang w:eastAsia="en-AU"/>
              </w:rPr>
            </w:pPr>
            <w:r w:rsidRPr="00A71DEC">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right"/>
              <w:rPr>
                <w:rFonts w:eastAsia="Times New Roman" w:cs="Arial"/>
                <w:b/>
                <w:bCs/>
                <w:color w:val="FFFFFF"/>
                <w:sz w:val="20"/>
                <w:szCs w:val="20"/>
                <w:lang w:eastAsia="en-AU"/>
              </w:rPr>
            </w:pPr>
            <w:r w:rsidRPr="00A71DEC">
              <w:rPr>
                <w:rFonts w:eastAsia="Times New Roman" w:cs="Arial"/>
                <w:b/>
                <w:bCs/>
                <w:color w:val="FFFFFF"/>
                <w:sz w:val="20"/>
                <w:szCs w:val="20"/>
                <w:lang w:eastAsia="en-AU"/>
              </w:rPr>
              <w:t>$’000</w:t>
            </w:r>
          </w:p>
        </w:tc>
        <w:tc>
          <w:tcPr>
            <w:tcW w:w="707" w:type="pct"/>
            <w:tcBorders>
              <w:top w:val="nil"/>
              <w:left w:val="nil"/>
              <w:bottom w:val="nil"/>
              <w:right w:val="nil"/>
            </w:tcBorders>
            <w:shd w:val="clear" w:color="000000" w:fill="5B9BD5"/>
            <w:vAlign w:val="center"/>
            <w:hideMark/>
          </w:tcPr>
          <w:p w:rsidR="00A71DEC" w:rsidRPr="00A71DEC" w:rsidRDefault="00A71DEC" w:rsidP="00A71DEC">
            <w:pPr>
              <w:jc w:val="right"/>
              <w:rPr>
                <w:rFonts w:eastAsia="Times New Roman" w:cs="Arial"/>
                <w:b/>
                <w:bCs/>
                <w:color w:val="FFFFFF"/>
                <w:sz w:val="20"/>
                <w:szCs w:val="20"/>
                <w:lang w:eastAsia="en-AU"/>
              </w:rPr>
            </w:pPr>
            <w:r w:rsidRPr="00A71DEC">
              <w:rPr>
                <w:rFonts w:eastAsia="Times New Roman" w:cs="Arial"/>
                <w:b/>
                <w:bCs/>
                <w:color w:val="FFFFFF"/>
                <w:sz w:val="20"/>
                <w:szCs w:val="20"/>
                <w:lang w:eastAsia="en-AU"/>
              </w:rPr>
              <w:t>%</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b/>
                <w:bCs/>
                <w:i/>
                <w:iCs/>
                <w:color w:val="000000"/>
                <w:sz w:val="20"/>
                <w:szCs w:val="20"/>
                <w:lang w:eastAsia="en-AU"/>
              </w:rPr>
            </w:pPr>
            <w:r w:rsidRPr="00A71DEC">
              <w:rPr>
                <w:rFonts w:eastAsia="Times New Roman" w:cs="Arial"/>
                <w:b/>
                <w:bCs/>
                <w:i/>
                <w:iCs/>
                <w:color w:val="000000"/>
                <w:sz w:val="20"/>
                <w:szCs w:val="20"/>
                <w:lang w:eastAsia="en-AU"/>
              </w:rPr>
              <w:t>Recurrent - Commonwealth Government</w:t>
            </w: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eastAsia="Times New Roman" w:cs="Arial"/>
                <w:b/>
                <w:bCs/>
                <w:i/>
                <w:iCs/>
                <w:color w:val="000000"/>
                <w:sz w:val="20"/>
                <w:szCs w:val="20"/>
                <w:lang w:eastAsia="en-AU"/>
              </w:rPr>
            </w:pPr>
          </w:p>
        </w:tc>
        <w:tc>
          <w:tcPr>
            <w:tcW w:w="707" w:type="pct"/>
            <w:tcBorders>
              <w:top w:val="nil"/>
              <w:left w:val="nil"/>
              <w:bottom w:val="nil"/>
              <w:right w:val="nil"/>
            </w:tcBorders>
            <w:shd w:val="clear" w:color="000000" w:fill="DDEBF7"/>
            <w:noWrap/>
            <w:vAlign w:val="bottom"/>
            <w:hideMark/>
          </w:tcPr>
          <w:p w:rsidR="00A71DEC" w:rsidRPr="00A71DEC" w:rsidRDefault="00A71DEC" w:rsidP="00A71DEC">
            <w:pPr>
              <w:rPr>
                <w:rFonts w:ascii="Calibri" w:eastAsia="Times New Roman" w:hAnsi="Calibri" w:cs="Calibri"/>
                <w:color w:val="000000"/>
                <w:sz w:val="20"/>
                <w:szCs w:val="20"/>
                <w:lang w:eastAsia="en-AU"/>
              </w:rPr>
            </w:pPr>
            <w:r w:rsidRPr="00A71DEC">
              <w:rPr>
                <w:rFonts w:ascii="Calibri" w:eastAsia="Times New Roman" w:hAnsi="Calibri" w:cs="Calibri"/>
                <w:color w:val="000000"/>
                <w:sz w:val="20"/>
                <w:szCs w:val="20"/>
                <w:lang w:eastAsia="en-AU"/>
              </w:rPr>
              <w:t> </w:t>
            </w: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ascii="Calibri" w:eastAsia="Times New Roman" w:hAnsi="Calibri" w:cs="Calibri"/>
                <w:color w:val="000000"/>
                <w:sz w:val="20"/>
                <w:szCs w:val="20"/>
                <w:lang w:eastAsia="en-AU"/>
              </w:rPr>
            </w:pP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ascii="Times New Roman" w:eastAsia="Times New Roman" w:hAnsi="Times New Roman"/>
                <w:sz w:val="20"/>
                <w:szCs w:val="20"/>
                <w:lang w:eastAsia="en-AU"/>
              </w:rPr>
            </w:pP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 xml:space="preserve">Aged and Disability Services </w:t>
            </w:r>
          </w:p>
        </w:tc>
        <w:tc>
          <w:tcPr>
            <w:tcW w:w="707" w:type="pct"/>
            <w:tcBorders>
              <w:top w:val="nil"/>
              <w:left w:val="nil"/>
              <w:bottom w:val="nil"/>
              <w:right w:val="nil"/>
            </w:tcBorders>
            <w:shd w:val="clear" w:color="000000" w:fill="FFFFFF"/>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830</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875</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45</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5.4%</w:t>
            </w:r>
          </w:p>
        </w:tc>
      </w:tr>
      <w:tr w:rsidR="00A71DEC" w:rsidRPr="00A71DEC" w:rsidTr="00A71DEC">
        <w:trPr>
          <w:trHeight w:val="290"/>
        </w:trPr>
        <w:tc>
          <w:tcPr>
            <w:tcW w:w="2172" w:type="pct"/>
            <w:tcBorders>
              <w:top w:val="nil"/>
              <w:left w:val="nil"/>
              <w:bottom w:val="nil"/>
              <w:right w:val="nil"/>
            </w:tcBorders>
            <w:shd w:val="clear" w:color="auto" w:fill="auto"/>
            <w:noWrap/>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Children’s Services</w:t>
            </w:r>
          </w:p>
        </w:tc>
        <w:tc>
          <w:tcPr>
            <w:tcW w:w="707" w:type="pct"/>
            <w:tcBorders>
              <w:top w:val="nil"/>
              <w:left w:val="nil"/>
              <w:bottom w:val="nil"/>
              <w:right w:val="nil"/>
            </w:tcBorders>
            <w:shd w:val="clear" w:color="000000" w:fill="FFFFFF"/>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287</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187</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(34.9%)</w:t>
            </w:r>
          </w:p>
        </w:tc>
      </w:tr>
      <w:tr w:rsidR="00A71DEC" w:rsidRPr="00A71DEC" w:rsidTr="00A71DEC">
        <w:trPr>
          <w:trHeight w:val="290"/>
        </w:trPr>
        <w:tc>
          <w:tcPr>
            <w:tcW w:w="2172" w:type="pct"/>
            <w:tcBorders>
              <w:top w:val="nil"/>
              <w:left w:val="nil"/>
              <w:bottom w:val="nil"/>
              <w:right w:val="nil"/>
            </w:tcBorders>
            <w:shd w:val="clear" w:color="auto" w:fill="auto"/>
            <w:noWrap/>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Community Health Immunisation</w:t>
            </w:r>
          </w:p>
        </w:tc>
        <w:tc>
          <w:tcPr>
            <w:tcW w:w="707" w:type="pct"/>
            <w:tcBorders>
              <w:top w:val="nil"/>
              <w:left w:val="nil"/>
              <w:bottom w:val="nil"/>
              <w:right w:val="nil"/>
            </w:tcBorders>
            <w:shd w:val="clear" w:color="000000" w:fill="FFFFFF"/>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123</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128</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6</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4.5%</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Financial Assistance Grants</w:t>
            </w:r>
          </w:p>
        </w:tc>
        <w:tc>
          <w:tcPr>
            <w:tcW w:w="707" w:type="pct"/>
            <w:tcBorders>
              <w:top w:val="nil"/>
              <w:left w:val="nil"/>
              <w:bottom w:val="nil"/>
              <w:right w:val="nil"/>
            </w:tcBorders>
            <w:shd w:val="clear" w:color="000000" w:fill="FFFFFF"/>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5,139</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4,951</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(188)</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(3.7%)</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b/>
                <w:bCs/>
                <w:i/>
                <w:iCs/>
                <w:color w:val="000000"/>
                <w:sz w:val="20"/>
                <w:szCs w:val="20"/>
                <w:lang w:eastAsia="en-AU"/>
              </w:rPr>
            </w:pPr>
            <w:r w:rsidRPr="00A71DEC">
              <w:rPr>
                <w:rFonts w:eastAsia="Times New Roman" w:cs="Arial"/>
                <w:b/>
                <w:bCs/>
                <w:i/>
                <w:iCs/>
                <w:color w:val="000000"/>
                <w:sz w:val="20"/>
                <w:szCs w:val="20"/>
                <w:lang w:eastAsia="en-AU"/>
              </w:rPr>
              <w:t>Recurrent - State Government</w:t>
            </w: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eastAsia="Times New Roman" w:cs="Arial"/>
                <w:b/>
                <w:bCs/>
                <w:i/>
                <w:iCs/>
                <w:color w:val="000000"/>
                <w:sz w:val="20"/>
                <w:szCs w:val="20"/>
                <w:lang w:eastAsia="en-AU"/>
              </w:rPr>
            </w:pPr>
          </w:p>
        </w:tc>
        <w:tc>
          <w:tcPr>
            <w:tcW w:w="707" w:type="pct"/>
            <w:tcBorders>
              <w:top w:val="nil"/>
              <w:left w:val="nil"/>
              <w:bottom w:val="nil"/>
              <w:right w:val="nil"/>
            </w:tcBorders>
            <w:shd w:val="clear" w:color="000000" w:fill="DDEBF7"/>
            <w:noWrap/>
            <w:vAlign w:val="bottom"/>
            <w:hideMark/>
          </w:tcPr>
          <w:p w:rsidR="00A71DEC" w:rsidRPr="00A71DEC" w:rsidRDefault="00A71DEC" w:rsidP="00A71DEC">
            <w:pPr>
              <w:rPr>
                <w:rFonts w:ascii="Calibri" w:eastAsia="Times New Roman" w:hAnsi="Calibri" w:cs="Calibri"/>
                <w:b/>
                <w:bCs/>
                <w:color w:val="000000"/>
                <w:sz w:val="20"/>
                <w:szCs w:val="20"/>
                <w:lang w:eastAsia="en-AU"/>
              </w:rPr>
            </w:pPr>
            <w:r w:rsidRPr="00A71DEC">
              <w:rPr>
                <w:rFonts w:ascii="Calibri" w:eastAsia="Times New Roman" w:hAnsi="Calibri" w:cs="Calibri"/>
                <w:b/>
                <w:bCs/>
                <w:color w:val="000000"/>
                <w:sz w:val="20"/>
                <w:szCs w:val="20"/>
                <w:lang w:eastAsia="en-AU"/>
              </w:rPr>
              <w:t> </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rPr>
                <w:rFonts w:ascii="Calibri" w:eastAsia="Times New Roman" w:hAnsi="Calibri" w:cs="Calibri"/>
                <w:b/>
                <w:bCs/>
                <w:color w:val="000000"/>
                <w:sz w:val="20"/>
                <w:szCs w:val="20"/>
                <w:lang w:eastAsia="en-AU"/>
              </w:rPr>
            </w:pP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ascii="Times New Roman" w:eastAsia="Times New Roman" w:hAnsi="Times New Roman"/>
                <w:sz w:val="20"/>
                <w:szCs w:val="20"/>
                <w:lang w:eastAsia="en-AU"/>
              </w:rPr>
            </w:pP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 xml:space="preserve">Aged and Disability Services </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547</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561</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14</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2.6%</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Children’s Services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0.0%</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Community health</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(100.0%)</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Maternal Child Health</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1,148</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1,106</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(42)</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(3.6%)</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Youth Services Programs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69</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47</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(23)</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(32.6%)</w:t>
            </w:r>
          </w:p>
        </w:tc>
      </w:tr>
      <w:tr w:rsidR="00A71DEC" w:rsidRPr="00A71DEC" w:rsidTr="00A71DEC">
        <w:trPr>
          <w:trHeight w:val="30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Other Grants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73</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(73)</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(100.0%)</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b/>
                <w:bCs/>
                <w:i/>
                <w:iCs/>
                <w:color w:val="000000"/>
                <w:sz w:val="20"/>
                <w:szCs w:val="20"/>
                <w:lang w:eastAsia="en-AU"/>
              </w:rPr>
            </w:pPr>
            <w:r w:rsidRPr="00A71DEC">
              <w:rPr>
                <w:rFonts w:eastAsia="Times New Roman" w:cs="Arial"/>
                <w:b/>
                <w:bCs/>
                <w:i/>
                <w:iCs/>
                <w:color w:val="000000"/>
                <w:sz w:val="20"/>
                <w:szCs w:val="20"/>
                <w:lang w:eastAsia="en-AU"/>
              </w:rPr>
              <w:t>Total recurrent grants</w:t>
            </w:r>
          </w:p>
        </w:tc>
        <w:tc>
          <w:tcPr>
            <w:tcW w:w="707" w:type="pct"/>
            <w:tcBorders>
              <w:top w:val="single" w:sz="8" w:space="0" w:color="auto"/>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8,221</w:t>
            </w:r>
          </w:p>
        </w:tc>
        <w:tc>
          <w:tcPr>
            <w:tcW w:w="707" w:type="pct"/>
            <w:tcBorders>
              <w:top w:val="single" w:sz="8" w:space="0" w:color="auto"/>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7,856</w:t>
            </w:r>
          </w:p>
        </w:tc>
        <w:tc>
          <w:tcPr>
            <w:tcW w:w="707" w:type="pct"/>
            <w:tcBorders>
              <w:top w:val="single" w:sz="8" w:space="0" w:color="auto"/>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(366)</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(4.4%)</w:t>
            </w:r>
          </w:p>
        </w:tc>
      </w:tr>
      <w:tr w:rsidR="00A71DEC" w:rsidRPr="00A71DEC" w:rsidTr="00A71DEC">
        <w:trPr>
          <w:trHeight w:val="52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b/>
                <w:bCs/>
                <w:i/>
                <w:iCs/>
                <w:color w:val="000000"/>
                <w:sz w:val="20"/>
                <w:szCs w:val="20"/>
                <w:lang w:eastAsia="en-AU"/>
              </w:rPr>
            </w:pPr>
            <w:r w:rsidRPr="00A71DEC">
              <w:rPr>
                <w:rFonts w:eastAsia="Times New Roman" w:cs="Arial"/>
                <w:b/>
                <w:bCs/>
                <w:i/>
                <w:iCs/>
                <w:color w:val="000000"/>
                <w:sz w:val="20"/>
                <w:szCs w:val="20"/>
                <w:lang w:eastAsia="en-AU"/>
              </w:rPr>
              <w:t>Non- recurrent - Commonwealth Government</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rPr>
                <w:rFonts w:eastAsia="Times New Roman" w:cs="Arial"/>
                <w:b/>
                <w:bCs/>
                <w:i/>
                <w:iCs/>
                <w:color w:val="000000"/>
                <w:sz w:val="20"/>
                <w:szCs w:val="20"/>
                <w:lang w:eastAsia="en-AU"/>
              </w:rPr>
            </w:pP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 </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b/>
                <w:bCs/>
                <w:color w:val="000000"/>
                <w:sz w:val="20"/>
                <w:szCs w:val="20"/>
                <w:lang w:eastAsia="en-AU"/>
              </w:rPr>
            </w:pP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ascii="Times New Roman" w:eastAsia="Times New Roman" w:hAnsi="Times New Roman"/>
                <w:sz w:val="20"/>
                <w:szCs w:val="20"/>
                <w:lang w:eastAsia="en-AU"/>
              </w:rPr>
            </w:pP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Children’s Services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57</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81</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24</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41.8%</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Other Grants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20</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(100.0%)</w:t>
            </w:r>
          </w:p>
        </w:tc>
      </w:tr>
      <w:tr w:rsidR="00A71DEC" w:rsidRPr="00A71DEC" w:rsidTr="00A71DEC">
        <w:trPr>
          <w:trHeight w:val="290"/>
        </w:trPr>
        <w:tc>
          <w:tcPr>
            <w:tcW w:w="2172" w:type="pct"/>
            <w:tcBorders>
              <w:top w:val="nil"/>
              <w:left w:val="nil"/>
              <w:bottom w:val="nil"/>
              <w:right w:val="nil"/>
            </w:tcBorders>
            <w:shd w:val="clear" w:color="000000" w:fill="FFFFFF"/>
            <w:vAlign w:val="center"/>
            <w:hideMark/>
          </w:tcPr>
          <w:p w:rsidR="00A71DEC" w:rsidRPr="00A71DEC" w:rsidRDefault="00A71DEC" w:rsidP="00A71DEC">
            <w:pPr>
              <w:rPr>
                <w:rFonts w:eastAsia="Times New Roman" w:cs="Arial"/>
                <w:b/>
                <w:bCs/>
                <w:i/>
                <w:iCs/>
                <w:color w:val="000000"/>
                <w:sz w:val="20"/>
                <w:szCs w:val="20"/>
                <w:lang w:eastAsia="en-AU"/>
              </w:rPr>
            </w:pPr>
            <w:r w:rsidRPr="00A71DEC">
              <w:rPr>
                <w:rFonts w:eastAsia="Times New Roman" w:cs="Arial"/>
                <w:b/>
                <w:bCs/>
                <w:i/>
                <w:iCs/>
                <w:color w:val="000000"/>
                <w:sz w:val="20"/>
                <w:szCs w:val="20"/>
                <w:lang w:eastAsia="en-AU"/>
              </w:rPr>
              <w:t>Non-recurrent - State Government</w:t>
            </w: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eastAsia="Times New Roman" w:cs="Arial"/>
                <w:b/>
                <w:bCs/>
                <w:i/>
                <w:iCs/>
                <w:color w:val="000000"/>
                <w:sz w:val="20"/>
                <w:szCs w:val="20"/>
                <w:lang w:eastAsia="en-AU"/>
              </w:rPr>
            </w:pPr>
          </w:p>
        </w:tc>
        <w:tc>
          <w:tcPr>
            <w:tcW w:w="707" w:type="pct"/>
            <w:tcBorders>
              <w:top w:val="nil"/>
              <w:left w:val="nil"/>
              <w:bottom w:val="nil"/>
              <w:right w:val="nil"/>
            </w:tcBorders>
            <w:shd w:val="clear" w:color="000000" w:fill="DDEBF7"/>
            <w:noWrap/>
            <w:vAlign w:val="bottom"/>
            <w:hideMark/>
          </w:tcPr>
          <w:p w:rsidR="00A71DEC" w:rsidRPr="00A71DEC" w:rsidRDefault="00A71DEC" w:rsidP="00A71DEC">
            <w:pPr>
              <w:rPr>
                <w:rFonts w:ascii="Calibri" w:eastAsia="Times New Roman" w:hAnsi="Calibri" w:cs="Calibri"/>
                <w:b/>
                <w:bCs/>
                <w:color w:val="000000"/>
                <w:sz w:val="20"/>
                <w:szCs w:val="20"/>
                <w:lang w:eastAsia="en-AU"/>
              </w:rPr>
            </w:pPr>
            <w:r w:rsidRPr="00A71DEC">
              <w:rPr>
                <w:rFonts w:ascii="Calibri" w:eastAsia="Times New Roman" w:hAnsi="Calibri" w:cs="Calibri"/>
                <w:b/>
                <w:bCs/>
                <w:color w:val="000000"/>
                <w:sz w:val="20"/>
                <w:szCs w:val="20"/>
                <w:lang w:eastAsia="en-AU"/>
              </w:rPr>
              <w:t> </w:t>
            </w:r>
          </w:p>
        </w:tc>
        <w:tc>
          <w:tcPr>
            <w:tcW w:w="707" w:type="pct"/>
            <w:tcBorders>
              <w:top w:val="nil"/>
              <w:left w:val="nil"/>
              <w:bottom w:val="nil"/>
              <w:right w:val="nil"/>
            </w:tcBorders>
            <w:shd w:val="clear" w:color="auto" w:fill="auto"/>
            <w:noWrap/>
            <w:vAlign w:val="bottom"/>
            <w:hideMark/>
          </w:tcPr>
          <w:p w:rsidR="00A71DEC" w:rsidRPr="00A71DEC" w:rsidRDefault="00A71DEC" w:rsidP="00A71DEC">
            <w:pPr>
              <w:rPr>
                <w:rFonts w:ascii="Calibri" w:eastAsia="Times New Roman" w:hAnsi="Calibri" w:cs="Calibri"/>
                <w:b/>
                <w:bCs/>
                <w:color w:val="000000"/>
                <w:sz w:val="20"/>
                <w:szCs w:val="20"/>
                <w:lang w:eastAsia="en-AU"/>
              </w:rPr>
            </w:pPr>
          </w:p>
        </w:tc>
        <w:tc>
          <w:tcPr>
            <w:tcW w:w="707" w:type="pct"/>
            <w:tcBorders>
              <w:top w:val="nil"/>
              <w:left w:val="nil"/>
              <w:bottom w:val="nil"/>
              <w:right w:val="nil"/>
            </w:tcBorders>
            <w:shd w:val="clear" w:color="auto" w:fill="auto"/>
            <w:noWrap/>
            <w:vAlign w:val="center"/>
            <w:hideMark/>
          </w:tcPr>
          <w:p w:rsidR="00A71DEC" w:rsidRPr="00A71DEC" w:rsidRDefault="00A71DEC" w:rsidP="00A71DEC">
            <w:pPr>
              <w:rPr>
                <w:rFonts w:ascii="Times New Roman" w:eastAsia="Times New Roman" w:hAnsi="Times New Roman"/>
                <w:sz w:val="20"/>
                <w:szCs w:val="20"/>
                <w:lang w:eastAsia="en-AU"/>
              </w:rPr>
            </w:pP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Maternal Child Health</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69</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141</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72</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100.0%</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Community health</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20</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20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0.0%</w:t>
            </w:r>
          </w:p>
        </w:tc>
      </w:tr>
      <w:tr w:rsidR="00A71DEC" w:rsidRPr="00A71DEC" w:rsidTr="00A71DEC">
        <w:trPr>
          <w:trHeight w:val="290"/>
        </w:trPr>
        <w:tc>
          <w:tcPr>
            <w:tcW w:w="2172" w:type="pct"/>
            <w:tcBorders>
              <w:top w:val="nil"/>
              <w:left w:val="nil"/>
              <w:bottom w:val="nil"/>
              <w:right w:val="nil"/>
            </w:tcBorders>
            <w:shd w:val="clear" w:color="auto" w:fill="auto"/>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Children’s Services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64</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48</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(17)</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(25.8%)</w:t>
            </w:r>
          </w:p>
        </w:tc>
      </w:tr>
      <w:tr w:rsidR="00A71DEC" w:rsidRPr="00A71DEC" w:rsidTr="00A71DEC">
        <w:trPr>
          <w:trHeight w:val="290"/>
        </w:trPr>
        <w:tc>
          <w:tcPr>
            <w:tcW w:w="2172" w:type="pct"/>
            <w:tcBorders>
              <w:top w:val="nil"/>
              <w:left w:val="nil"/>
              <w:bottom w:val="nil"/>
              <w:right w:val="nil"/>
            </w:tcBorders>
            <w:shd w:val="clear" w:color="auto" w:fill="auto"/>
            <w:noWrap/>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 xml:space="preserve">Waste </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280</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(280)</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(100.0%)</w:t>
            </w:r>
          </w:p>
        </w:tc>
      </w:tr>
      <w:tr w:rsidR="00A71DEC" w:rsidRPr="00A71DEC" w:rsidTr="00A71DEC">
        <w:trPr>
          <w:trHeight w:val="500"/>
        </w:trPr>
        <w:tc>
          <w:tcPr>
            <w:tcW w:w="2172" w:type="pct"/>
            <w:tcBorders>
              <w:top w:val="nil"/>
              <w:left w:val="nil"/>
              <w:bottom w:val="nil"/>
              <w:right w:val="nil"/>
            </w:tcBorders>
            <w:shd w:val="clear" w:color="000000" w:fill="FFFFFF"/>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Youth Services Programs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199</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113</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(86)</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(43.0%)</w:t>
            </w:r>
          </w:p>
        </w:tc>
      </w:tr>
      <w:tr w:rsidR="00A71DEC" w:rsidRPr="00A71DEC" w:rsidTr="00A71DEC">
        <w:trPr>
          <w:trHeight w:val="300"/>
        </w:trPr>
        <w:tc>
          <w:tcPr>
            <w:tcW w:w="2172" w:type="pct"/>
            <w:tcBorders>
              <w:top w:val="nil"/>
              <w:left w:val="nil"/>
              <w:bottom w:val="nil"/>
              <w:right w:val="nil"/>
            </w:tcBorders>
            <w:shd w:val="clear" w:color="auto" w:fill="auto"/>
            <w:noWrap/>
            <w:vAlign w:val="center"/>
            <w:hideMark/>
          </w:tcPr>
          <w:p w:rsidR="00A71DEC" w:rsidRPr="00A71DEC" w:rsidRDefault="00A71DEC" w:rsidP="00A71DEC">
            <w:pPr>
              <w:rPr>
                <w:rFonts w:eastAsia="Times New Roman" w:cs="Arial"/>
                <w:color w:val="000000"/>
                <w:sz w:val="20"/>
                <w:szCs w:val="20"/>
                <w:lang w:eastAsia="en-AU"/>
              </w:rPr>
            </w:pPr>
            <w:r w:rsidRPr="00A71DEC">
              <w:rPr>
                <w:rFonts w:eastAsia="Times New Roman" w:cs="Arial"/>
                <w:color w:val="000000"/>
                <w:sz w:val="20"/>
                <w:szCs w:val="20"/>
                <w:lang w:eastAsia="en-AU"/>
              </w:rPr>
              <w:t>Other Grants</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121</w:t>
            </w:r>
          </w:p>
        </w:tc>
        <w:tc>
          <w:tcPr>
            <w:tcW w:w="707" w:type="pct"/>
            <w:tcBorders>
              <w:top w:val="nil"/>
              <w:left w:val="nil"/>
              <w:bottom w:val="nil"/>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124</w:t>
            </w:r>
          </w:p>
        </w:tc>
        <w:tc>
          <w:tcPr>
            <w:tcW w:w="707" w:type="pct"/>
            <w:tcBorders>
              <w:top w:val="nil"/>
              <w:left w:val="nil"/>
              <w:bottom w:val="nil"/>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2.3%</w:t>
            </w:r>
          </w:p>
        </w:tc>
      </w:tr>
      <w:tr w:rsidR="00A71DEC" w:rsidRPr="00A71DEC" w:rsidTr="00A71DEC">
        <w:trPr>
          <w:trHeight w:val="300"/>
        </w:trPr>
        <w:tc>
          <w:tcPr>
            <w:tcW w:w="2172" w:type="pct"/>
            <w:tcBorders>
              <w:top w:val="nil"/>
              <w:left w:val="nil"/>
              <w:bottom w:val="nil"/>
              <w:right w:val="nil"/>
            </w:tcBorders>
            <w:shd w:val="clear" w:color="000000" w:fill="FFFFFF"/>
            <w:noWrap/>
            <w:vAlign w:val="center"/>
            <w:hideMark/>
          </w:tcPr>
          <w:p w:rsidR="00A71DEC" w:rsidRPr="00A71DEC" w:rsidRDefault="00A71DEC" w:rsidP="00A71DEC">
            <w:pPr>
              <w:rPr>
                <w:rFonts w:eastAsia="Times New Roman" w:cs="Arial"/>
                <w:b/>
                <w:bCs/>
                <w:color w:val="000000"/>
                <w:sz w:val="20"/>
                <w:szCs w:val="20"/>
                <w:lang w:eastAsia="en-AU"/>
              </w:rPr>
            </w:pPr>
            <w:r w:rsidRPr="00A71DEC">
              <w:rPr>
                <w:rFonts w:eastAsia="Times New Roman" w:cs="Arial"/>
                <w:b/>
                <w:bCs/>
                <w:color w:val="000000"/>
                <w:sz w:val="20"/>
                <w:szCs w:val="20"/>
                <w:lang w:eastAsia="en-AU"/>
              </w:rPr>
              <w:t>Total non-recurrent grants</w:t>
            </w:r>
          </w:p>
        </w:tc>
        <w:tc>
          <w:tcPr>
            <w:tcW w:w="707" w:type="pct"/>
            <w:tcBorders>
              <w:top w:val="single" w:sz="8" w:space="0" w:color="auto"/>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831</w:t>
            </w:r>
          </w:p>
        </w:tc>
        <w:tc>
          <w:tcPr>
            <w:tcW w:w="707" w:type="pct"/>
            <w:tcBorders>
              <w:top w:val="single" w:sz="8" w:space="0" w:color="auto"/>
              <w:left w:val="nil"/>
              <w:bottom w:val="single" w:sz="8" w:space="0" w:color="auto"/>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528</w:t>
            </w:r>
          </w:p>
        </w:tc>
        <w:tc>
          <w:tcPr>
            <w:tcW w:w="707" w:type="pct"/>
            <w:tcBorders>
              <w:top w:val="single" w:sz="8" w:space="0" w:color="auto"/>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(307)</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(36.9%)</w:t>
            </w:r>
          </w:p>
        </w:tc>
      </w:tr>
      <w:tr w:rsidR="00A71DEC" w:rsidRPr="00A71DEC" w:rsidTr="00A71DEC">
        <w:trPr>
          <w:trHeight w:val="300"/>
        </w:trPr>
        <w:tc>
          <w:tcPr>
            <w:tcW w:w="2172" w:type="pct"/>
            <w:tcBorders>
              <w:top w:val="single" w:sz="8" w:space="0" w:color="auto"/>
              <w:left w:val="nil"/>
              <w:bottom w:val="single" w:sz="8" w:space="0" w:color="auto"/>
              <w:right w:val="nil"/>
            </w:tcBorders>
            <w:shd w:val="clear" w:color="auto" w:fill="auto"/>
            <w:noWrap/>
            <w:vAlign w:val="center"/>
            <w:hideMark/>
          </w:tcPr>
          <w:p w:rsidR="00A71DEC" w:rsidRPr="00A71DEC" w:rsidRDefault="00A71DEC" w:rsidP="00A71DEC">
            <w:pPr>
              <w:rPr>
                <w:rFonts w:eastAsia="Times New Roman" w:cs="Arial"/>
                <w:b/>
                <w:bCs/>
                <w:color w:val="000000"/>
                <w:sz w:val="20"/>
                <w:szCs w:val="20"/>
                <w:lang w:eastAsia="en-AU"/>
              </w:rPr>
            </w:pPr>
            <w:r w:rsidRPr="00A71DEC">
              <w:rPr>
                <w:rFonts w:eastAsia="Times New Roman" w:cs="Arial"/>
                <w:b/>
                <w:bCs/>
                <w:color w:val="000000"/>
                <w:sz w:val="20"/>
                <w:szCs w:val="20"/>
                <w:lang w:eastAsia="en-AU"/>
              </w:rPr>
              <w:t>Total Operating Grants</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9,052</w:t>
            </w:r>
          </w:p>
        </w:tc>
        <w:tc>
          <w:tcPr>
            <w:tcW w:w="707" w:type="pct"/>
            <w:tcBorders>
              <w:top w:val="nil"/>
              <w:left w:val="nil"/>
              <w:bottom w:val="single" w:sz="8" w:space="0" w:color="auto"/>
              <w:right w:val="nil"/>
            </w:tcBorders>
            <w:shd w:val="clear" w:color="000000" w:fill="DDEBF7"/>
            <w:noWrap/>
            <w:vAlign w:val="center"/>
            <w:hideMark/>
          </w:tcPr>
          <w:p w:rsidR="00A71DEC" w:rsidRPr="00A71DEC" w:rsidRDefault="00A71DEC" w:rsidP="00A71DEC">
            <w:pPr>
              <w:jc w:val="right"/>
              <w:rPr>
                <w:rFonts w:eastAsia="Times New Roman" w:cs="Arial"/>
                <w:b/>
                <w:bCs/>
                <w:color w:val="000000"/>
                <w:sz w:val="20"/>
                <w:szCs w:val="20"/>
                <w:lang w:eastAsia="en-AU"/>
              </w:rPr>
            </w:pPr>
            <w:r w:rsidRPr="00A71DEC">
              <w:rPr>
                <w:rFonts w:eastAsia="Times New Roman" w:cs="Arial"/>
                <w:b/>
                <w:bCs/>
                <w:color w:val="000000"/>
                <w:sz w:val="20"/>
                <w:szCs w:val="20"/>
                <w:lang w:eastAsia="en-AU"/>
              </w:rPr>
              <w:t>8,384</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(672)</w:t>
            </w:r>
          </w:p>
        </w:tc>
        <w:tc>
          <w:tcPr>
            <w:tcW w:w="707" w:type="pct"/>
            <w:tcBorders>
              <w:top w:val="nil"/>
              <w:left w:val="nil"/>
              <w:bottom w:val="single" w:sz="8" w:space="0" w:color="auto"/>
              <w:right w:val="nil"/>
            </w:tcBorders>
            <w:shd w:val="clear" w:color="auto" w:fill="auto"/>
            <w:noWrap/>
            <w:vAlign w:val="center"/>
            <w:hideMark/>
          </w:tcPr>
          <w:p w:rsidR="00A71DEC" w:rsidRPr="00A71DEC" w:rsidRDefault="00A71DEC" w:rsidP="00A71DEC">
            <w:pPr>
              <w:jc w:val="right"/>
              <w:rPr>
                <w:rFonts w:eastAsia="Times New Roman" w:cs="Arial"/>
                <w:color w:val="000000"/>
                <w:sz w:val="20"/>
                <w:szCs w:val="20"/>
                <w:lang w:eastAsia="en-AU"/>
              </w:rPr>
            </w:pPr>
            <w:r w:rsidRPr="00A71DEC">
              <w:rPr>
                <w:rFonts w:eastAsia="Times New Roman" w:cs="Arial"/>
                <w:color w:val="000000"/>
                <w:sz w:val="20"/>
                <w:szCs w:val="20"/>
                <w:lang w:eastAsia="en-AU"/>
              </w:rPr>
              <w:t>(7.4%)</w:t>
            </w:r>
          </w:p>
        </w:tc>
      </w:tr>
    </w:tbl>
    <w:p w:rsidR="00B63832" w:rsidRDefault="00B63832">
      <w:pPr>
        <w:rPr>
          <w:rFonts w:eastAsia="Times New Roman" w:cs="Arial"/>
        </w:rPr>
      </w:pPr>
      <w:r>
        <w:rPr>
          <w:rFonts w:eastAsia="Times New Roman" w:cs="Arial"/>
        </w:rPr>
        <w:br w:type="page"/>
      </w:r>
    </w:p>
    <w:p w:rsidR="00B65E3B" w:rsidRDefault="00B65E3B" w:rsidP="0029462D">
      <w:pPr>
        <w:rPr>
          <w:rFonts w:eastAsia="Times New Roman" w:cs="Arial"/>
        </w:rPr>
      </w:pPr>
    </w:p>
    <w:p w:rsidR="0029462D" w:rsidRPr="00D40606" w:rsidRDefault="001E7276" w:rsidP="0029462D">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C30580" w:rsidRPr="003254DF">
        <w:rPr>
          <w:rFonts w:eastAsia="Times New Roman" w:cs="Arial"/>
          <w:b/>
          <w:bCs/>
          <w:color w:val="4A66AC" w:themeColor="accent1"/>
          <w:lang w:eastAsia="en-AU"/>
        </w:rPr>
        <w:t>.</w:t>
      </w:r>
      <w:r w:rsidR="0029462D" w:rsidRPr="003254DF">
        <w:rPr>
          <w:rFonts w:eastAsia="Times New Roman" w:cs="Arial"/>
          <w:b/>
          <w:bCs/>
          <w:color w:val="4A66AC" w:themeColor="accent1"/>
          <w:lang w:eastAsia="en-AU"/>
        </w:rPr>
        <w:t>1.</w:t>
      </w:r>
      <w:r w:rsidR="00C30580" w:rsidRPr="003254DF">
        <w:rPr>
          <w:rFonts w:eastAsia="Times New Roman" w:cs="Arial"/>
          <w:b/>
          <w:bCs/>
          <w:color w:val="4A66AC" w:themeColor="accent1"/>
          <w:lang w:eastAsia="en-AU"/>
        </w:rPr>
        <w:t>4.2</w:t>
      </w:r>
      <w:r w:rsidR="0029462D" w:rsidRPr="003254DF">
        <w:rPr>
          <w:rFonts w:eastAsia="Times New Roman" w:cs="Arial"/>
          <w:b/>
          <w:bCs/>
          <w:color w:val="4A66AC" w:themeColor="accent1"/>
          <w:lang w:eastAsia="en-AU"/>
        </w:rPr>
        <w:t xml:space="preserve"> Grants - capital</w:t>
      </w:r>
    </w:p>
    <w:p w:rsidR="0029462D" w:rsidRPr="0029462D" w:rsidRDefault="0029462D" w:rsidP="0029462D">
      <w:pPr>
        <w:jc w:val="both"/>
        <w:rPr>
          <w:rFonts w:eastAsia="Times New Roman" w:cs="Arial"/>
        </w:rPr>
      </w:pPr>
      <w:r w:rsidRPr="0029462D">
        <w:rPr>
          <w:rFonts w:eastAsia="Times New Roman" w:cs="Arial"/>
        </w:rPr>
        <w:t>Ca</w:t>
      </w:r>
      <w:r w:rsidR="00D81B47">
        <w:rPr>
          <w:rFonts w:eastAsia="Times New Roman" w:cs="Arial"/>
        </w:rPr>
        <w:t>pital grants (recurrent and non-</w:t>
      </w:r>
      <w:r w:rsidRPr="0029462D">
        <w:rPr>
          <w:rFonts w:eastAsia="Times New Roman" w:cs="Arial"/>
        </w:rPr>
        <w:t xml:space="preserve">recurrent) include all monies received from State, Federal and community sources for the purposes of funding the capital works program.  Overall the level of capital grants </w:t>
      </w:r>
      <w:r w:rsidRPr="00293B16">
        <w:rPr>
          <w:rFonts w:eastAsia="Times New Roman" w:cs="Arial"/>
        </w:rPr>
        <w:t xml:space="preserve">has </w:t>
      </w:r>
      <w:r w:rsidR="00293B16" w:rsidRPr="00293B16">
        <w:rPr>
          <w:rFonts w:eastAsia="Times New Roman" w:cs="Arial"/>
        </w:rPr>
        <w:t>in</w:t>
      </w:r>
      <w:r w:rsidRPr="00293B16">
        <w:rPr>
          <w:rFonts w:eastAsia="Times New Roman" w:cs="Arial"/>
        </w:rPr>
        <w:t xml:space="preserve">creased by </w:t>
      </w:r>
      <w:r w:rsidR="00C523C1">
        <w:rPr>
          <w:rFonts w:eastAsia="Times New Roman" w:cs="Arial"/>
        </w:rPr>
        <w:t>241</w:t>
      </w:r>
      <w:r w:rsidR="00722DAF">
        <w:rPr>
          <w:rFonts w:eastAsia="Times New Roman" w:cs="Arial"/>
        </w:rPr>
        <w:t>.1</w:t>
      </w:r>
      <w:r w:rsidRPr="00293B16">
        <w:rPr>
          <w:rFonts w:eastAsia="Times New Roman" w:cs="Arial"/>
        </w:rPr>
        <w:t>% or $</w:t>
      </w:r>
      <w:r w:rsidR="00C523C1">
        <w:rPr>
          <w:rFonts w:eastAsia="Times New Roman" w:cs="Arial"/>
        </w:rPr>
        <w:t>18.8</w:t>
      </w:r>
      <w:r w:rsidRPr="00293B16">
        <w:rPr>
          <w:rFonts w:eastAsia="Times New Roman" w:cs="Arial"/>
        </w:rPr>
        <w:t xml:space="preserve"> million compared </w:t>
      </w:r>
      <w:r w:rsidRPr="0029462D">
        <w:rPr>
          <w:rFonts w:eastAsia="Times New Roman" w:cs="Arial"/>
        </w:rPr>
        <w:t xml:space="preserve">to </w:t>
      </w:r>
      <w:r w:rsidRPr="0029462D">
        <w:rPr>
          <w:rFonts w:eastAsia="Times New Roman" w:cs="Arial"/>
          <w:lang w:eastAsia="en-AU"/>
        </w:rPr>
        <w:t>201</w:t>
      </w:r>
      <w:r w:rsidR="008F1478">
        <w:rPr>
          <w:rFonts w:eastAsia="Times New Roman" w:cs="Arial"/>
          <w:lang w:eastAsia="en-AU"/>
        </w:rPr>
        <w:t>9</w:t>
      </w:r>
      <w:r w:rsidRPr="0029462D">
        <w:rPr>
          <w:rFonts w:eastAsia="Times New Roman" w:cs="Arial"/>
          <w:lang w:eastAsia="en-AU"/>
        </w:rPr>
        <w:t>/</w:t>
      </w:r>
      <w:r w:rsidR="008F1478" w:rsidRPr="00293B16">
        <w:rPr>
          <w:rFonts w:eastAsia="Times New Roman" w:cs="Arial"/>
          <w:lang w:eastAsia="en-AU"/>
        </w:rPr>
        <w:t>20</w:t>
      </w:r>
      <w:r w:rsidRPr="00293B16">
        <w:rPr>
          <w:rFonts w:eastAsia="Times New Roman" w:cs="Arial"/>
          <w:lang w:eastAsia="en-AU"/>
        </w:rPr>
        <w:t xml:space="preserve"> as specific funding in 20</w:t>
      </w:r>
      <w:r w:rsidR="00293B16" w:rsidRPr="00293B16">
        <w:rPr>
          <w:rFonts w:eastAsia="Times New Roman" w:cs="Arial"/>
          <w:lang w:eastAsia="en-AU"/>
        </w:rPr>
        <w:t>20</w:t>
      </w:r>
      <w:r w:rsidRPr="00293B16">
        <w:rPr>
          <w:rFonts w:eastAsia="Times New Roman" w:cs="Arial"/>
          <w:lang w:eastAsia="en-AU"/>
        </w:rPr>
        <w:t>/</w:t>
      </w:r>
      <w:r w:rsidR="00293B16" w:rsidRPr="00293B16">
        <w:rPr>
          <w:rFonts w:eastAsia="Times New Roman" w:cs="Arial"/>
          <w:lang w:eastAsia="en-AU"/>
        </w:rPr>
        <w:t>21</w:t>
      </w:r>
      <w:r w:rsidRPr="00293B16">
        <w:rPr>
          <w:rFonts w:eastAsia="Times New Roman" w:cs="Arial"/>
          <w:lang w:eastAsia="en-AU"/>
        </w:rPr>
        <w:t xml:space="preserve"> </w:t>
      </w:r>
      <w:r w:rsidRPr="00722DAF">
        <w:rPr>
          <w:rFonts w:eastAsia="Times New Roman" w:cs="Arial"/>
          <w:lang w:eastAsia="en-AU"/>
        </w:rPr>
        <w:t>for</w:t>
      </w:r>
      <w:r w:rsidRPr="00722DAF">
        <w:rPr>
          <w:rFonts w:eastAsia="Times New Roman" w:cs="Arial"/>
        </w:rPr>
        <w:t xml:space="preserve"> large capital works </w:t>
      </w:r>
      <w:r w:rsidR="00101A48" w:rsidRPr="00722DAF">
        <w:rPr>
          <w:rFonts w:eastAsia="Times New Roman" w:cs="Arial"/>
        </w:rPr>
        <w:t>project</w:t>
      </w:r>
      <w:r w:rsidR="00293B16" w:rsidRPr="00722DAF">
        <w:rPr>
          <w:rFonts w:eastAsia="Times New Roman" w:cs="Arial"/>
        </w:rPr>
        <w:t xml:space="preserve">s including Multilevel Carpark Development </w:t>
      </w:r>
      <w:r w:rsidR="00722DAF" w:rsidRPr="00722DAF">
        <w:rPr>
          <w:rFonts w:eastAsia="Times New Roman" w:cs="Arial"/>
        </w:rPr>
        <w:t>will be received</w:t>
      </w:r>
      <w:r w:rsidR="00A64454" w:rsidRPr="00722DAF">
        <w:rPr>
          <w:rFonts w:eastAsia="Times New Roman" w:cs="Arial"/>
        </w:rPr>
        <w:t>.</w:t>
      </w:r>
      <w:r w:rsidRPr="00722DAF">
        <w:rPr>
          <w:rFonts w:eastAsia="Times New Roman" w:cs="Arial"/>
          <w:lang w:eastAsia="en-AU"/>
        </w:rPr>
        <w:t xml:space="preserve">  </w:t>
      </w:r>
      <w:r w:rsidRPr="001D31D1">
        <w:rPr>
          <w:rFonts w:eastAsia="Times New Roman" w:cs="Arial"/>
        </w:rPr>
        <w:t xml:space="preserve">Section </w:t>
      </w:r>
      <w:r w:rsidR="001D31D1" w:rsidRPr="001D31D1">
        <w:rPr>
          <w:rFonts w:eastAsia="Times New Roman" w:cs="Arial"/>
        </w:rPr>
        <w:t>4.5</w:t>
      </w:r>
      <w:r w:rsidRPr="001D31D1">
        <w:rPr>
          <w:rFonts w:eastAsia="Times New Roman" w:cs="Arial"/>
        </w:rPr>
        <w:t xml:space="preserve"> “</w:t>
      </w:r>
      <w:r w:rsidR="001D31D1">
        <w:rPr>
          <w:rFonts w:eastAsia="Times New Roman" w:cs="Arial"/>
        </w:rPr>
        <w:t>Capital works program</w:t>
      </w:r>
      <w:r w:rsidRPr="0029462D">
        <w:rPr>
          <w:rFonts w:eastAsia="Times New Roman" w:cs="Arial"/>
        </w:rPr>
        <w:t>” includes a more detailed analysis of the grants and contributions expected to be received during the 20</w:t>
      </w:r>
      <w:r w:rsidR="008F1478">
        <w:rPr>
          <w:rFonts w:eastAsia="Times New Roman" w:cs="Arial"/>
        </w:rPr>
        <w:t>20</w:t>
      </w:r>
      <w:r w:rsidRPr="0029462D">
        <w:rPr>
          <w:rFonts w:eastAsia="Times New Roman" w:cs="Arial"/>
        </w:rPr>
        <w:t>/</w:t>
      </w:r>
      <w:r w:rsidR="00A64454">
        <w:rPr>
          <w:rFonts w:eastAsia="Times New Roman" w:cs="Arial"/>
        </w:rPr>
        <w:t>2</w:t>
      </w:r>
      <w:r w:rsidR="008F1478">
        <w:rPr>
          <w:rFonts w:eastAsia="Times New Roman" w:cs="Arial"/>
        </w:rPr>
        <w:t>1</w:t>
      </w:r>
      <w:r w:rsidRPr="0029462D">
        <w:rPr>
          <w:rFonts w:eastAsia="Times New Roman" w:cs="Arial"/>
        </w:rPr>
        <w:t xml:space="preserve"> year.</w:t>
      </w:r>
      <w:r w:rsidRPr="0029462D">
        <w:rPr>
          <w:rFonts w:eastAsia="Times New Roman" w:cs="Arial"/>
          <w:color w:val="FF0000"/>
        </w:rPr>
        <w:t xml:space="preserve">  </w:t>
      </w:r>
      <w:r w:rsidR="003F2B7F" w:rsidRPr="00740601">
        <w:rPr>
          <w:rFonts w:eastAsia="Times New Roman" w:cs="Arial"/>
        </w:rPr>
        <w:t xml:space="preserve">Significant movements in </w:t>
      </w:r>
      <w:r w:rsidR="00740601" w:rsidRPr="00740601">
        <w:rPr>
          <w:rFonts w:eastAsia="Times New Roman" w:cs="Arial"/>
        </w:rPr>
        <w:t xml:space="preserve">capital </w:t>
      </w:r>
      <w:r w:rsidR="003F2B7F" w:rsidRPr="00740601">
        <w:rPr>
          <w:rFonts w:eastAsia="Times New Roman" w:cs="Arial"/>
        </w:rPr>
        <w:t>grant funding are summarised below:</w:t>
      </w:r>
    </w:p>
    <w:p w:rsidR="0029462D" w:rsidRPr="0029462D" w:rsidRDefault="0029462D" w:rsidP="0029462D">
      <w:pPr>
        <w:jc w:val="both"/>
        <w:rPr>
          <w:rFonts w:eastAsia="Times New Roman" w:cs="Arial"/>
        </w:rPr>
      </w:pPr>
    </w:p>
    <w:tbl>
      <w:tblPr>
        <w:tblW w:w="5000" w:type="pct"/>
        <w:tblLook w:val="04A0" w:firstRow="1" w:lastRow="0" w:firstColumn="1" w:lastColumn="0" w:noHBand="0" w:noVBand="1"/>
      </w:tblPr>
      <w:tblGrid>
        <w:gridCol w:w="4397"/>
        <w:gridCol w:w="1162"/>
        <w:gridCol w:w="1162"/>
        <w:gridCol w:w="1099"/>
        <w:gridCol w:w="1207"/>
      </w:tblGrid>
      <w:tr w:rsidR="00C523C1" w:rsidRPr="00C523C1" w:rsidTr="00C523C1">
        <w:trPr>
          <w:trHeight w:val="520"/>
        </w:trPr>
        <w:tc>
          <w:tcPr>
            <w:tcW w:w="1896" w:type="pct"/>
            <w:tcBorders>
              <w:top w:val="nil"/>
              <w:left w:val="nil"/>
              <w:bottom w:val="nil"/>
              <w:right w:val="nil"/>
            </w:tcBorders>
            <w:shd w:val="clear" w:color="000000" w:fill="5B9BD5"/>
            <w:vAlign w:val="center"/>
            <w:hideMark/>
          </w:tcPr>
          <w:p w:rsidR="00C523C1" w:rsidRPr="00C523C1" w:rsidRDefault="00C523C1" w:rsidP="00C523C1">
            <w:pPr>
              <w:jc w:val="center"/>
              <w:rPr>
                <w:rFonts w:eastAsia="Times New Roman" w:cs="Arial"/>
                <w:b/>
                <w:bCs/>
                <w:color w:val="FFFFFF"/>
                <w:sz w:val="20"/>
                <w:szCs w:val="20"/>
                <w:lang w:eastAsia="en-AU"/>
              </w:rPr>
            </w:pPr>
            <w:r w:rsidRPr="00C523C1">
              <w:rPr>
                <w:rFonts w:eastAsia="Times New Roman" w:cs="Arial"/>
                <w:b/>
                <w:bCs/>
                <w:color w:val="FFFFFF"/>
                <w:sz w:val="20"/>
                <w:szCs w:val="20"/>
                <w:lang w:eastAsia="en-AU"/>
              </w:rPr>
              <w:t>Capital Grants</w:t>
            </w:r>
          </w:p>
        </w:tc>
        <w:tc>
          <w:tcPr>
            <w:tcW w:w="767"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bookmarkStart w:id="131" w:name="RANGE!D59"/>
            <w:r w:rsidRPr="00C523C1">
              <w:rPr>
                <w:rFonts w:eastAsia="Times New Roman" w:cs="Arial"/>
                <w:b/>
                <w:bCs/>
                <w:color w:val="FFFFFF"/>
                <w:sz w:val="20"/>
                <w:szCs w:val="20"/>
                <w:lang w:eastAsia="en-AU"/>
              </w:rPr>
              <w:t>Forecast Actual 2019/2020</w:t>
            </w:r>
            <w:bookmarkEnd w:id="131"/>
          </w:p>
        </w:tc>
        <w:tc>
          <w:tcPr>
            <w:tcW w:w="767"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bookmarkStart w:id="132" w:name="RANGE!E59"/>
            <w:r w:rsidRPr="00C523C1">
              <w:rPr>
                <w:rFonts w:eastAsia="Times New Roman" w:cs="Arial"/>
                <w:b/>
                <w:bCs/>
                <w:color w:val="FFFFFF"/>
                <w:sz w:val="20"/>
                <w:szCs w:val="20"/>
                <w:lang w:eastAsia="en-AU"/>
              </w:rPr>
              <w:t>Budget 2020/2021</w:t>
            </w:r>
            <w:bookmarkEnd w:id="132"/>
          </w:p>
        </w:tc>
        <w:tc>
          <w:tcPr>
            <w:tcW w:w="1570" w:type="pct"/>
            <w:gridSpan w:val="2"/>
            <w:tcBorders>
              <w:top w:val="nil"/>
              <w:left w:val="nil"/>
              <w:bottom w:val="nil"/>
              <w:right w:val="nil"/>
            </w:tcBorders>
            <w:shd w:val="clear" w:color="000000" w:fill="5B9BD5"/>
            <w:vAlign w:val="center"/>
            <w:hideMark/>
          </w:tcPr>
          <w:p w:rsidR="00C523C1" w:rsidRPr="00C523C1" w:rsidRDefault="00C523C1" w:rsidP="00C523C1">
            <w:pPr>
              <w:jc w:val="center"/>
              <w:rPr>
                <w:rFonts w:eastAsia="Times New Roman" w:cs="Arial"/>
                <w:b/>
                <w:bCs/>
                <w:color w:val="FFFFFF"/>
                <w:sz w:val="20"/>
                <w:szCs w:val="20"/>
                <w:lang w:eastAsia="en-AU"/>
              </w:rPr>
            </w:pPr>
            <w:r w:rsidRPr="00C523C1">
              <w:rPr>
                <w:rFonts w:eastAsia="Times New Roman" w:cs="Arial"/>
                <w:b/>
                <w:bCs/>
                <w:color w:val="FFFFFF"/>
                <w:sz w:val="20"/>
                <w:szCs w:val="20"/>
                <w:lang w:eastAsia="en-AU"/>
              </w:rPr>
              <w:t>Change</w:t>
            </w:r>
          </w:p>
        </w:tc>
      </w:tr>
      <w:tr w:rsidR="00C523C1" w:rsidRPr="00C523C1" w:rsidTr="00C523C1">
        <w:trPr>
          <w:trHeight w:val="290"/>
        </w:trPr>
        <w:tc>
          <w:tcPr>
            <w:tcW w:w="1896" w:type="pct"/>
            <w:tcBorders>
              <w:top w:val="nil"/>
              <w:left w:val="nil"/>
              <w:bottom w:val="nil"/>
              <w:right w:val="nil"/>
            </w:tcBorders>
            <w:shd w:val="clear" w:color="000000" w:fill="5B9BD5"/>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767"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r w:rsidRPr="00C523C1">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r w:rsidRPr="00C523C1">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r w:rsidRPr="00C523C1">
              <w:rPr>
                <w:rFonts w:eastAsia="Times New Roman" w:cs="Arial"/>
                <w:b/>
                <w:bCs/>
                <w:color w:val="FFFFFF"/>
                <w:sz w:val="20"/>
                <w:szCs w:val="20"/>
                <w:lang w:eastAsia="en-AU"/>
              </w:rPr>
              <w:t>$’000</w:t>
            </w:r>
          </w:p>
        </w:tc>
        <w:tc>
          <w:tcPr>
            <w:tcW w:w="802" w:type="pct"/>
            <w:tcBorders>
              <w:top w:val="nil"/>
              <w:left w:val="nil"/>
              <w:bottom w:val="nil"/>
              <w:right w:val="nil"/>
            </w:tcBorders>
            <w:shd w:val="clear" w:color="000000" w:fill="5B9BD5"/>
            <w:vAlign w:val="center"/>
            <w:hideMark/>
          </w:tcPr>
          <w:p w:rsidR="00C523C1" w:rsidRPr="00C523C1" w:rsidRDefault="00C523C1" w:rsidP="00C523C1">
            <w:pPr>
              <w:jc w:val="right"/>
              <w:rPr>
                <w:rFonts w:eastAsia="Times New Roman" w:cs="Arial"/>
                <w:b/>
                <w:bCs/>
                <w:color w:val="FFFFFF"/>
                <w:sz w:val="20"/>
                <w:szCs w:val="20"/>
                <w:lang w:eastAsia="en-AU"/>
              </w:rPr>
            </w:pPr>
            <w:r w:rsidRPr="00C523C1">
              <w:rPr>
                <w:rFonts w:eastAsia="Times New Roman" w:cs="Arial"/>
                <w:b/>
                <w:bCs/>
                <w:color w:val="FFFFFF"/>
                <w:sz w:val="20"/>
                <w:szCs w:val="20"/>
                <w:lang w:eastAsia="en-AU"/>
              </w:rPr>
              <w:t>%</w:t>
            </w:r>
          </w:p>
        </w:tc>
      </w:tr>
      <w:tr w:rsidR="00C523C1" w:rsidRPr="00C523C1" w:rsidTr="00C523C1">
        <w:trPr>
          <w:trHeight w:val="290"/>
        </w:trPr>
        <w:tc>
          <w:tcPr>
            <w:tcW w:w="1896" w:type="pct"/>
            <w:tcBorders>
              <w:top w:val="nil"/>
              <w:left w:val="nil"/>
              <w:bottom w:val="nil"/>
              <w:right w:val="nil"/>
            </w:tcBorders>
            <w:shd w:val="clear" w:color="auto" w:fill="auto"/>
            <w:vAlign w:val="center"/>
            <w:hideMark/>
          </w:tcPr>
          <w:p w:rsidR="00C523C1" w:rsidRPr="00C523C1" w:rsidRDefault="00C523C1" w:rsidP="00C523C1">
            <w:pPr>
              <w:rPr>
                <w:rFonts w:eastAsia="Times New Roman" w:cs="Arial"/>
                <w:b/>
                <w:bCs/>
                <w:i/>
                <w:iCs/>
                <w:color w:val="000000"/>
                <w:sz w:val="20"/>
                <w:szCs w:val="20"/>
                <w:lang w:eastAsia="en-AU"/>
              </w:rPr>
            </w:pPr>
            <w:r w:rsidRPr="00C523C1">
              <w:rPr>
                <w:rFonts w:eastAsia="Times New Roman" w:cs="Arial"/>
                <w:b/>
                <w:bCs/>
                <w:i/>
                <w:iCs/>
                <w:color w:val="000000"/>
                <w:sz w:val="20"/>
                <w:szCs w:val="20"/>
                <w:lang w:eastAsia="en-AU"/>
              </w:rPr>
              <w:t>Recurrent - Commonwealth Government</w:t>
            </w:r>
          </w:p>
        </w:tc>
        <w:tc>
          <w:tcPr>
            <w:tcW w:w="767" w:type="pct"/>
            <w:tcBorders>
              <w:top w:val="nil"/>
              <w:left w:val="nil"/>
              <w:bottom w:val="nil"/>
              <w:right w:val="nil"/>
            </w:tcBorders>
            <w:shd w:val="clear" w:color="auto" w:fill="auto"/>
            <w:vAlign w:val="bottom"/>
            <w:hideMark/>
          </w:tcPr>
          <w:p w:rsidR="00C523C1" w:rsidRPr="00C523C1" w:rsidRDefault="00C523C1" w:rsidP="00C523C1">
            <w:pPr>
              <w:rPr>
                <w:rFonts w:eastAsia="Times New Roman" w:cs="Arial"/>
                <w:b/>
                <w:bCs/>
                <w:i/>
                <w:iCs/>
                <w:color w:val="000000"/>
                <w:sz w:val="20"/>
                <w:szCs w:val="20"/>
                <w:lang w:eastAsia="en-AU"/>
              </w:rPr>
            </w:pPr>
          </w:p>
        </w:tc>
        <w:tc>
          <w:tcPr>
            <w:tcW w:w="767" w:type="pct"/>
            <w:tcBorders>
              <w:top w:val="nil"/>
              <w:left w:val="nil"/>
              <w:bottom w:val="nil"/>
              <w:right w:val="nil"/>
            </w:tcBorders>
            <w:shd w:val="clear" w:color="000000" w:fill="DDEBF7"/>
            <w:vAlign w:val="bottom"/>
            <w:hideMark/>
          </w:tcPr>
          <w:p w:rsidR="00C523C1" w:rsidRPr="00C523C1" w:rsidRDefault="00C523C1" w:rsidP="00C523C1">
            <w:pPr>
              <w:rPr>
                <w:rFonts w:ascii="Calibri" w:eastAsia="Times New Roman" w:hAnsi="Calibri" w:cs="Calibri"/>
                <w:b/>
                <w:bCs/>
                <w:color w:val="000000"/>
                <w:sz w:val="20"/>
                <w:szCs w:val="20"/>
                <w:lang w:eastAsia="en-AU"/>
              </w:rPr>
            </w:pPr>
            <w:r w:rsidRPr="00C523C1">
              <w:rPr>
                <w:rFonts w:ascii="Calibri" w:eastAsia="Times New Roman" w:hAnsi="Calibri" w:cs="Calibri"/>
                <w:b/>
                <w:bCs/>
                <w:color w:val="000000"/>
                <w:sz w:val="20"/>
                <w:szCs w:val="20"/>
                <w:lang w:eastAsia="en-AU"/>
              </w:rPr>
              <w:t> </w:t>
            </w:r>
          </w:p>
        </w:tc>
        <w:tc>
          <w:tcPr>
            <w:tcW w:w="767" w:type="pct"/>
            <w:tcBorders>
              <w:top w:val="nil"/>
              <w:left w:val="nil"/>
              <w:bottom w:val="nil"/>
              <w:right w:val="nil"/>
            </w:tcBorders>
            <w:shd w:val="clear" w:color="auto" w:fill="auto"/>
            <w:vAlign w:val="bottom"/>
            <w:hideMark/>
          </w:tcPr>
          <w:p w:rsidR="00C523C1" w:rsidRPr="00C523C1" w:rsidRDefault="00C523C1" w:rsidP="00C523C1">
            <w:pPr>
              <w:rPr>
                <w:rFonts w:ascii="Calibri" w:eastAsia="Times New Roman" w:hAnsi="Calibri" w:cs="Calibri"/>
                <w:b/>
                <w:bCs/>
                <w:color w:val="000000"/>
                <w:sz w:val="20"/>
                <w:szCs w:val="20"/>
                <w:lang w:eastAsia="en-AU"/>
              </w:rPr>
            </w:pPr>
          </w:p>
        </w:tc>
        <w:tc>
          <w:tcPr>
            <w:tcW w:w="802" w:type="pct"/>
            <w:tcBorders>
              <w:top w:val="nil"/>
              <w:left w:val="nil"/>
              <w:bottom w:val="nil"/>
              <w:right w:val="nil"/>
            </w:tcBorders>
            <w:shd w:val="clear" w:color="auto" w:fill="auto"/>
            <w:vAlign w:val="bottom"/>
            <w:hideMark/>
          </w:tcPr>
          <w:p w:rsidR="00C523C1" w:rsidRPr="00C523C1" w:rsidRDefault="00C523C1" w:rsidP="00C523C1">
            <w:pPr>
              <w:rPr>
                <w:rFonts w:ascii="Times New Roman" w:eastAsia="Times New Roman" w:hAnsi="Times New Roman"/>
                <w:sz w:val="20"/>
                <w:szCs w:val="20"/>
                <w:lang w:eastAsia="en-AU"/>
              </w:rPr>
            </w:pPr>
          </w:p>
        </w:tc>
      </w:tr>
      <w:tr w:rsidR="00C523C1" w:rsidRPr="00C523C1" w:rsidTr="00C523C1">
        <w:trPr>
          <w:trHeight w:val="290"/>
        </w:trPr>
        <w:tc>
          <w:tcPr>
            <w:tcW w:w="1896" w:type="pct"/>
            <w:tcBorders>
              <w:top w:val="nil"/>
              <w:left w:val="nil"/>
              <w:bottom w:val="nil"/>
              <w:right w:val="nil"/>
            </w:tcBorders>
            <w:shd w:val="clear" w:color="000000" w:fill="FFFFFF"/>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Roads to Recovery</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500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407</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(93)</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(18.6%)</w:t>
            </w:r>
          </w:p>
        </w:tc>
      </w:tr>
      <w:tr w:rsidR="00C523C1" w:rsidRPr="00C523C1" w:rsidTr="00C523C1">
        <w:trPr>
          <w:trHeight w:val="300"/>
        </w:trPr>
        <w:tc>
          <w:tcPr>
            <w:tcW w:w="1896" w:type="pct"/>
            <w:tcBorders>
              <w:top w:val="nil"/>
              <w:left w:val="nil"/>
              <w:bottom w:val="nil"/>
              <w:right w:val="nil"/>
            </w:tcBorders>
            <w:shd w:val="clear" w:color="auto" w:fill="auto"/>
            <w:vAlign w:val="center"/>
            <w:hideMark/>
          </w:tcPr>
          <w:p w:rsidR="00C523C1" w:rsidRPr="00C523C1" w:rsidRDefault="00C523C1" w:rsidP="00C523C1">
            <w:pPr>
              <w:rPr>
                <w:rFonts w:eastAsia="Times New Roman" w:cs="Arial"/>
                <w:b/>
                <w:bCs/>
                <w:i/>
                <w:iCs/>
                <w:color w:val="000000"/>
                <w:sz w:val="20"/>
                <w:szCs w:val="20"/>
                <w:lang w:eastAsia="en-AU"/>
              </w:rPr>
            </w:pPr>
            <w:r w:rsidRPr="00C523C1">
              <w:rPr>
                <w:rFonts w:eastAsia="Times New Roman" w:cs="Arial"/>
                <w:b/>
                <w:bCs/>
                <w:i/>
                <w:iCs/>
                <w:color w:val="000000"/>
                <w:sz w:val="20"/>
                <w:szCs w:val="20"/>
                <w:lang w:eastAsia="en-AU"/>
              </w:rPr>
              <w:t>Recurrent - State Government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rPr>
                <w:rFonts w:eastAsia="Times New Roman" w:cs="Arial"/>
                <w:b/>
                <w:bCs/>
                <w:color w:val="000000"/>
                <w:sz w:val="20"/>
                <w:szCs w:val="20"/>
                <w:lang w:eastAsia="en-AU"/>
              </w:rPr>
            </w:pPr>
            <w:r w:rsidRPr="00C523C1">
              <w:rPr>
                <w:rFonts w:eastAsia="Times New Roman" w:cs="Arial"/>
                <w:b/>
                <w:bCs/>
                <w:color w:val="000000"/>
                <w:sz w:val="20"/>
                <w:szCs w:val="20"/>
                <w:lang w:eastAsia="en-AU"/>
              </w:rPr>
              <w:t> </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r>
      <w:tr w:rsidR="00C523C1" w:rsidRPr="00C523C1" w:rsidTr="00C523C1">
        <w:trPr>
          <w:trHeight w:val="290"/>
        </w:trPr>
        <w:tc>
          <w:tcPr>
            <w:tcW w:w="1896" w:type="pct"/>
            <w:tcBorders>
              <w:top w:val="nil"/>
              <w:left w:val="nil"/>
              <w:bottom w:val="nil"/>
              <w:right w:val="nil"/>
            </w:tcBorders>
            <w:shd w:val="clear" w:color="000000" w:fill="FFFFFF"/>
            <w:vAlign w:val="center"/>
            <w:hideMark/>
          </w:tcPr>
          <w:p w:rsidR="00C523C1" w:rsidRPr="00C523C1" w:rsidRDefault="00C523C1" w:rsidP="00C523C1">
            <w:pPr>
              <w:rPr>
                <w:rFonts w:eastAsia="Times New Roman" w:cs="Arial"/>
                <w:b/>
                <w:bCs/>
                <w:color w:val="000000"/>
                <w:sz w:val="20"/>
                <w:szCs w:val="20"/>
                <w:lang w:eastAsia="en-AU"/>
              </w:rPr>
            </w:pPr>
            <w:r w:rsidRPr="00C523C1">
              <w:rPr>
                <w:rFonts w:eastAsia="Times New Roman" w:cs="Arial"/>
                <w:b/>
                <w:bCs/>
                <w:color w:val="000000"/>
                <w:sz w:val="20"/>
                <w:szCs w:val="20"/>
                <w:lang w:eastAsia="en-AU"/>
              </w:rPr>
              <w:t>Total recurrent grants</w:t>
            </w:r>
          </w:p>
        </w:tc>
        <w:tc>
          <w:tcPr>
            <w:tcW w:w="767" w:type="pct"/>
            <w:tcBorders>
              <w:top w:val="single" w:sz="8" w:space="0" w:color="auto"/>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500</w:t>
            </w:r>
          </w:p>
        </w:tc>
        <w:tc>
          <w:tcPr>
            <w:tcW w:w="767" w:type="pct"/>
            <w:tcBorders>
              <w:top w:val="single" w:sz="8" w:space="0" w:color="auto"/>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407</w:t>
            </w:r>
          </w:p>
        </w:tc>
        <w:tc>
          <w:tcPr>
            <w:tcW w:w="767" w:type="pct"/>
            <w:tcBorders>
              <w:top w:val="single" w:sz="8" w:space="0" w:color="auto"/>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(93)</w:t>
            </w:r>
          </w:p>
        </w:tc>
        <w:tc>
          <w:tcPr>
            <w:tcW w:w="802" w:type="pct"/>
            <w:tcBorders>
              <w:top w:val="single" w:sz="8" w:space="0" w:color="auto"/>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(18.6%)</w:t>
            </w:r>
          </w:p>
        </w:tc>
      </w:tr>
      <w:tr w:rsidR="00C523C1" w:rsidRPr="00C523C1" w:rsidTr="00C523C1">
        <w:trPr>
          <w:trHeight w:val="520"/>
        </w:trPr>
        <w:tc>
          <w:tcPr>
            <w:tcW w:w="1896" w:type="pct"/>
            <w:tcBorders>
              <w:top w:val="nil"/>
              <w:left w:val="nil"/>
              <w:bottom w:val="nil"/>
              <w:right w:val="nil"/>
            </w:tcBorders>
            <w:shd w:val="clear" w:color="000000" w:fill="FFFFFF"/>
            <w:vAlign w:val="center"/>
            <w:hideMark/>
          </w:tcPr>
          <w:p w:rsidR="00C523C1" w:rsidRPr="00C523C1" w:rsidRDefault="00C523C1" w:rsidP="00C523C1">
            <w:pPr>
              <w:rPr>
                <w:rFonts w:eastAsia="Times New Roman" w:cs="Arial"/>
                <w:b/>
                <w:bCs/>
                <w:i/>
                <w:iCs/>
                <w:color w:val="000000"/>
                <w:sz w:val="20"/>
                <w:szCs w:val="20"/>
                <w:lang w:eastAsia="en-AU"/>
              </w:rPr>
            </w:pPr>
            <w:r w:rsidRPr="00C523C1">
              <w:rPr>
                <w:rFonts w:eastAsia="Times New Roman" w:cs="Arial"/>
                <w:b/>
                <w:bCs/>
                <w:i/>
                <w:iCs/>
                <w:color w:val="000000"/>
                <w:sz w:val="20"/>
                <w:szCs w:val="20"/>
                <w:lang w:eastAsia="en-AU"/>
              </w:rPr>
              <w:t>Non-recurrent - Commonwealth Government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rPr>
                <w:rFonts w:eastAsia="Times New Roman" w:cs="Arial"/>
                <w:b/>
                <w:bCs/>
                <w:color w:val="000000"/>
                <w:sz w:val="20"/>
                <w:szCs w:val="20"/>
                <w:lang w:eastAsia="en-AU"/>
              </w:rPr>
            </w:pPr>
            <w:r w:rsidRPr="00C523C1">
              <w:rPr>
                <w:rFonts w:eastAsia="Times New Roman" w:cs="Arial"/>
                <w:b/>
                <w:bCs/>
                <w:color w:val="000000"/>
                <w:sz w:val="20"/>
                <w:szCs w:val="20"/>
                <w:lang w:eastAsia="en-AU"/>
              </w:rPr>
              <w:t> </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Ainslie Park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Croydon Multilevel Carpark 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350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14,650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14,300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Dorset Multipurpose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2,000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2,000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HE Parker Multisports Complex</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1,050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(1,050)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Heathmont Multilevel Carpark 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3,500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1,000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(2,500)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(71.4%)</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Lipscombe Park Kinder</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Ringwood Multilevel Carpark 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7,500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7,500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auto" w:fill="auto"/>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Springfield Sports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500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500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vAlign w:val="center"/>
            <w:hideMark/>
          </w:tcPr>
          <w:p w:rsidR="00C523C1" w:rsidRPr="00C523C1" w:rsidRDefault="00C523C1" w:rsidP="00C523C1">
            <w:pPr>
              <w:rPr>
                <w:rFonts w:eastAsia="Times New Roman" w:cs="Arial"/>
                <w:b/>
                <w:bCs/>
                <w:i/>
                <w:iCs/>
                <w:color w:val="000000"/>
                <w:sz w:val="20"/>
                <w:szCs w:val="20"/>
                <w:lang w:eastAsia="en-AU"/>
              </w:rPr>
            </w:pPr>
            <w:r w:rsidRPr="00C523C1">
              <w:rPr>
                <w:rFonts w:eastAsia="Times New Roman" w:cs="Arial"/>
                <w:b/>
                <w:bCs/>
                <w:i/>
                <w:iCs/>
                <w:color w:val="000000"/>
                <w:sz w:val="20"/>
                <w:szCs w:val="20"/>
                <w:lang w:eastAsia="en-AU"/>
              </w:rPr>
              <w:t>Non-recurrent - State Government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FF0000"/>
                <w:sz w:val="20"/>
                <w:szCs w:val="20"/>
                <w:lang w:eastAsia="en-AU"/>
              </w:rPr>
            </w:pPr>
            <w:r w:rsidRPr="00C523C1">
              <w:rPr>
                <w:rFonts w:eastAsia="Times New Roman" w:cs="Arial"/>
                <w:color w:val="FF0000"/>
                <w:sz w:val="20"/>
                <w:szCs w:val="20"/>
                <w:lang w:eastAsia="en-AU"/>
              </w:rPr>
              <w:t> </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rPr>
                <w:rFonts w:eastAsia="Times New Roman" w:cs="Arial"/>
                <w:b/>
                <w:bCs/>
                <w:color w:val="FF0000"/>
                <w:sz w:val="20"/>
                <w:szCs w:val="20"/>
                <w:lang w:eastAsia="en-AU"/>
              </w:rPr>
            </w:pPr>
            <w:r w:rsidRPr="00C523C1">
              <w:rPr>
                <w:rFonts w:eastAsia="Times New Roman" w:cs="Arial"/>
                <w:b/>
                <w:bCs/>
                <w:color w:val="FF0000"/>
                <w:sz w:val="20"/>
                <w:szCs w:val="20"/>
                <w:lang w:eastAsia="en-AU"/>
              </w:rPr>
              <w:t> </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 </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Ainslie Park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500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500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Cheong Park Sporting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191</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(191)</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HE Parker Multisports Complex</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300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(300)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Jubilee Park Sports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800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(800)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Lipscombe Park Playspace 1&amp;4</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61</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(61)</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Local Area Traffic Management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51</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(51)</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Quambee Sporting Pavilion Change Rooms</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77</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(77)</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Silcock Sports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220</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(220)</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Sportsfield Lighting</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208</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(208)</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29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Springfield Sports Pavilion Redevelopment</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sz w:val="20"/>
                <w:szCs w:val="20"/>
                <w:lang w:eastAsia="en-AU"/>
              </w:rPr>
            </w:pPr>
            <w:r w:rsidRPr="00C523C1">
              <w:rPr>
                <w:rFonts w:eastAsia="Times New Roman" w:cs="Arial"/>
                <w:sz w:val="20"/>
                <w:szCs w:val="20"/>
                <w:lang w:eastAsia="en-AU"/>
              </w:rPr>
              <w:t>308</w:t>
            </w:r>
          </w:p>
        </w:tc>
        <w:tc>
          <w:tcPr>
            <w:tcW w:w="767" w:type="pct"/>
            <w:tcBorders>
              <w:top w:val="nil"/>
              <w:left w:val="nil"/>
              <w:bottom w:val="nil"/>
              <w:right w:val="nil"/>
            </w:tcBorders>
            <w:shd w:val="clear" w:color="000000" w:fill="DDEBF7"/>
            <w:noWrap/>
            <w:vAlign w:val="center"/>
            <w:hideMark/>
          </w:tcPr>
          <w:p w:rsidR="00C523C1" w:rsidRPr="00C523C1" w:rsidRDefault="00C523C1" w:rsidP="00C523C1">
            <w:pPr>
              <w:jc w:val="right"/>
              <w:rPr>
                <w:rFonts w:eastAsia="Times New Roman" w:cs="Arial"/>
                <w:b/>
                <w:bCs/>
                <w:sz w:val="20"/>
                <w:szCs w:val="20"/>
                <w:lang w:eastAsia="en-AU"/>
              </w:rPr>
            </w:pPr>
            <w:r w:rsidRPr="00C523C1">
              <w:rPr>
                <w:rFonts w:eastAsia="Times New Roman" w:cs="Arial"/>
                <w:b/>
                <w:bCs/>
                <w:sz w:val="20"/>
                <w:szCs w:val="20"/>
                <w:lang w:eastAsia="en-AU"/>
              </w:rPr>
              <w:t>0</w:t>
            </w:r>
          </w:p>
        </w:tc>
        <w:tc>
          <w:tcPr>
            <w:tcW w:w="767"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(308)</w:t>
            </w:r>
          </w:p>
        </w:tc>
        <w:tc>
          <w:tcPr>
            <w:tcW w:w="802" w:type="pct"/>
            <w:tcBorders>
              <w:top w:val="nil"/>
              <w:left w:val="nil"/>
              <w:bottom w:val="nil"/>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30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color w:val="000000"/>
                <w:sz w:val="20"/>
                <w:szCs w:val="20"/>
                <w:lang w:eastAsia="en-AU"/>
              </w:rPr>
            </w:pPr>
            <w:r w:rsidRPr="00C523C1">
              <w:rPr>
                <w:rFonts w:eastAsia="Times New Roman" w:cs="Arial"/>
                <w:color w:val="000000"/>
                <w:sz w:val="20"/>
                <w:szCs w:val="20"/>
                <w:lang w:eastAsia="en-AU"/>
              </w:rPr>
              <w:t>Other</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49</w:t>
            </w:r>
          </w:p>
        </w:tc>
        <w:tc>
          <w:tcPr>
            <w:tcW w:w="767" w:type="pct"/>
            <w:tcBorders>
              <w:top w:val="nil"/>
              <w:left w:val="nil"/>
              <w:bottom w:val="single" w:sz="8" w:space="0" w:color="auto"/>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0</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(49)</w:t>
            </w:r>
          </w:p>
        </w:tc>
        <w:tc>
          <w:tcPr>
            <w:tcW w:w="802"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color w:val="000000"/>
                <w:sz w:val="20"/>
                <w:szCs w:val="20"/>
                <w:lang w:eastAsia="en-AU"/>
              </w:rPr>
            </w:pPr>
            <w:r w:rsidRPr="00C523C1">
              <w:rPr>
                <w:rFonts w:eastAsia="Times New Roman" w:cs="Arial"/>
                <w:color w:val="000000"/>
                <w:sz w:val="20"/>
                <w:szCs w:val="20"/>
                <w:lang w:eastAsia="en-AU"/>
              </w:rPr>
              <w:t>(100.0%)</w:t>
            </w:r>
          </w:p>
        </w:tc>
      </w:tr>
      <w:tr w:rsidR="00C523C1" w:rsidRPr="00C523C1" w:rsidTr="00C523C1">
        <w:trPr>
          <w:trHeight w:val="300"/>
        </w:trPr>
        <w:tc>
          <w:tcPr>
            <w:tcW w:w="1896" w:type="pct"/>
            <w:tcBorders>
              <w:top w:val="nil"/>
              <w:left w:val="nil"/>
              <w:bottom w:val="nil"/>
              <w:right w:val="nil"/>
            </w:tcBorders>
            <w:shd w:val="clear" w:color="000000" w:fill="FFFFFF"/>
            <w:noWrap/>
            <w:vAlign w:val="center"/>
            <w:hideMark/>
          </w:tcPr>
          <w:p w:rsidR="00C523C1" w:rsidRPr="00C523C1" w:rsidRDefault="00C523C1" w:rsidP="00C523C1">
            <w:pPr>
              <w:rPr>
                <w:rFonts w:eastAsia="Times New Roman" w:cs="Arial"/>
                <w:b/>
                <w:bCs/>
                <w:color w:val="000000"/>
                <w:sz w:val="20"/>
                <w:szCs w:val="20"/>
                <w:lang w:eastAsia="en-AU"/>
              </w:rPr>
            </w:pPr>
            <w:r w:rsidRPr="00C523C1">
              <w:rPr>
                <w:rFonts w:eastAsia="Times New Roman" w:cs="Arial"/>
                <w:b/>
                <w:bCs/>
                <w:color w:val="000000"/>
                <w:sz w:val="20"/>
                <w:szCs w:val="20"/>
                <w:lang w:eastAsia="en-AU"/>
              </w:rPr>
              <w:t>Total non-recurrent grants</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7,285</w:t>
            </w:r>
          </w:p>
        </w:tc>
        <w:tc>
          <w:tcPr>
            <w:tcW w:w="767" w:type="pct"/>
            <w:tcBorders>
              <w:top w:val="nil"/>
              <w:left w:val="nil"/>
              <w:bottom w:val="single" w:sz="8" w:space="0" w:color="auto"/>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26,150</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18,865</w:t>
            </w:r>
          </w:p>
        </w:tc>
        <w:tc>
          <w:tcPr>
            <w:tcW w:w="802"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259.0%</w:t>
            </w:r>
          </w:p>
        </w:tc>
      </w:tr>
      <w:tr w:rsidR="00C523C1" w:rsidRPr="00C523C1" w:rsidTr="00C523C1">
        <w:trPr>
          <w:trHeight w:val="300"/>
        </w:trPr>
        <w:tc>
          <w:tcPr>
            <w:tcW w:w="1896" w:type="pct"/>
            <w:tcBorders>
              <w:top w:val="single" w:sz="8" w:space="0" w:color="auto"/>
              <w:left w:val="nil"/>
              <w:bottom w:val="single" w:sz="8" w:space="0" w:color="auto"/>
              <w:right w:val="nil"/>
            </w:tcBorders>
            <w:shd w:val="clear" w:color="000000" w:fill="FFFFFF"/>
            <w:noWrap/>
            <w:vAlign w:val="center"/>
            <w:hideMark/>
          </w:tcPr>
          <w:p w:rsidR="00C523C1" w:rsidRPr="00C523C1" w:rsidRDefault="00C523C1" w:rsidP="00C523C1">
            <w:pPr>
              <w:rPr>
                <w:rFonts w:eastAsia="Times New Roman" w:cs="Arial"/>
                <w:b/>
                <w:bCs/>
                <w:color w:val="000000"/>
                <w:sz w:val="20"/>
                <w:szCs w:val="20"/>
                <w:lang w:eastAsia="en-AU"/>
              </w:rPr>
            </w:pPr>
            <w:r w:rsidRPr="00C523C1">
              <w:rPr>
                <w:rFonts w:eastAsia="Times New Roman" w:cs="Arial"/>
                <w:b/>
                <w:bCs/>
                <w:color w:val="000000"/>
                <w:sz w:val="20"/>
                <w:szCs w:val="20"/>
                <w:lang w:eastAsia="en-AU"/>
              </w:rPr>
              <w:t>Total Capital Grants</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7,785</w:t>
            </w:r>
          </w:p>
        </w:tc>
        <w:tc>
          <w:tcPr>
            <w:tcW w:w="767" w:type="pct"/>
            <w:tcBorders>
              <w:top w:val="nil"/>
              <w:left w:val="nil"/>
              <w:bottom w:val="single" w:sz="8" w:space="0" w:color="auto"/>
              <w:right w:val="nil"/>
            </w:tcBorders>
            <w:shd w:val="clear" w:color="000000" w:fill="DDEBF7"/>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26,557</w:t>
            </w:r>
          </w:p>
        </w:tc>
        <w:tc>
          <w:tcPr>
            <w:tcW w:w="767"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18,772</w:t>
            </w:r>
          </w:p>
        </w:tc>
        <w:tc>
          <w:tcPr>
            <w:tcW w:w="802" w:type="pct"/>
            <w:tcBorders>
              <w:top w:val="nil"/>
              <w:left w:val="nil"/>
              <w:bottom w:val="single" w:sz="8" w:space="0" w:color="auto"/>
              <w:right w:val="nil"/>
            </w:tcBorders>
            <w:shd w:val="clear" w:color="000000" w:fill="FFFFFF"/>
            <w:noWrap/>
            <w:vAlign w:val="center"/>
            <w:hideMark/>
          </w:tcPr>
          <w:p w:rsidR="00C523C1" w:rsidRPr="00C523C1" w:rsidRDefault="00C523C1" w:rsidP="00C523C1">
            <w:pPr>
              <w:jc w:val="right"/>
              <w:rPr>
                <w:rFonts w:eastAsia="Times New Roman" w:cs="Arial"/>
                <w:b/>
                <w:bCs/>
                <w:color w:val="000000"/>
                <w:sz w:val="20"/>
                <w:szCs w:val="20"/>
                <w:lang w:eastAsia="en-AU"/>
              </w:rPr>
            </w:pPr>
            <w:r w:rsidRPr="00C523C1">
              <w:rPr>
                <w:rFonts w:eastAsia="Times New Roman" w:cs="Arial"/>
                <w:b/>
                <w:bCs/>
                <w:color w:val="000000"/>
                <w:sz w:val="20"/>
                <w:szCs w:val="20"/>
                <w:lang w:eastAsia="en-AU"/>
              </w:rPr>
              <w:t>241.1%</w:t>
            </w:r>
          </w:p>
        </w:tc>
      </w:tr>
    </w:tbl>
    <w:p w:rsidR="00DA6915" w:rsidRDefault="00DA6915" w:rsidP="0029462D">
      <w:pPr>
        <w:spacing w:after="20"/>
        <w:rPr>
          <w:rFonts w:eastAsia="Times New Roman" w:cs="Arial"/>
        </w:rPr>
      </w:pPr>
    </w:p>
    <w:p w:rsidR="00DA6915" w:rsidRDefault="00DA6915">
      <w:pPr>
        <w:rPr>
          <w:rFonts w:eastAsia="Times New Roman" w:cs="Arial"/>
        </w:rPr>
      </w:pPr>
      <w:r>
        <w:rPr>
          <w:rFonts w:eastAsia="Times New Roman" w:cs="Arial"/>
        </w:rPr>
        <w:br w:type="page"/>
      </w:r>
    </w:p>
    <w:p w:rsidR="00C566FE" w:rsidRDefault="001E7276" w:rsidP="00C566FE">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C566FE" w:rsidRPr="003254DF">
        <w:rPr>
          <w:rFonts w:eastAsia="Times New Roman" w:cs="Arial"/>
          <w:b/>
          <w:bCs/>
          <w:color w:val="4A66AC" w:themeColor="accent1"/>
          <w:lang w:eastAsia="en-AU"/>
        </w:rPr>
        <w:t>.1.5 Contributions</w:t>
      </w:r>
    </w:p>
    <w:p w:rsidR="00C566FE" w:rsidRDefault="00C566FE" w:rsidP="00C566FE">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598"/>
        <w:gridCol w:w="1600"/>
        <w:gridCol w:w="1347"/>
        <w:gridCol w:w="1242"/>
        <w:gridCol w:w="1240"/>
      </w:tblGrid>
      <w:tr w:rsidR="00BF4DB4" w:rsidRPr="00BF4DB4" w:rsidTr="002B40E6">
        <w:trPr>
          <w:trHeight w:val="290"/>
        </w:trPr>
        <w:tc>
          <w:tcPr>
            <w:tcW w:w="1993" w:type="pct"/>
            <w:vMerge w:val="restar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 </w:t>
            </w:r>
          </w:p>
        </w:tc>
        <w:tc>
          <w:tcPr>
            <w:tcW w:w="88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Forecast Actual</w:t>
            </w:r>
          </w:p>
        </w:tc>
        <w:tc>
          <w:tcPr>
            <w:tcW w:w="74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Budget</w:t>
            </w:r>
          </w:p>
        </w:tc>
        <w:tc>
          <w:tcPr>
            <w:tcW w:w="1375" w:type="pct"/>
            <w:gridSpan w:val="2"/>
            <w:vMerge w:val="restar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Change</w:t>
            </w:r>
          </w:p>
        </w:tc>
      </w:tr>
      <w:tr w:rsidR="00BF4DB4" w:rsidRPr="00BF4DB4" w:rsidTr="002B40E6">
        <w:trPr>
          <w:trHeight w:val="300"/>
        </w:trPr>
        <w:tc>
          <w:tcPr>
            <w:tcW w:w="1993" w:type="pct"/>
            <w:vMerge/>
            <w:tcBorders>
              <w:top w:val="nil"/>
              <w:left w:val="nil"/>
              <w:bottom w:val="nil"/>
              <w:right w:val="nil"/>
            </w:tcBorders>
            <w:vAlign w:val="center"/>
            <w:hideMark/>
          </w:tcPr>
          <w:p w:rsidR="00BF4DB4" w:rsidRPr="00BF4DB4" w:rsidRDefault="00BF4DB4" w:rsidP="00BF4DB4">
            <w:pPr>
              <w:rPr>
                <w:rFonts w:eastAsia="Times New Roman" w:cs="Arial"/>
                <w:b/>
                <w:bCs/>
                <w:color w:val="FFFFFF"/>
                <w:sz w:val="18"/>
                <w:szCs w:val="18"/>
                <w:lang w:eastAsia="en-AU"/>
              </w:rPr>
            </w:pPr>
          </w:p>
        </w:tc>
        <w:tc>
          <w:tcPr>
            <w:tcW w:w="88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2019/20</w:t>
            </w:r>
          </w:p>
        </w:tc>
        <w:tc>
          <w:tcPr>
            <w:tcW w:w="74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2020/21</w:t>
            </w:r>
          </w:p>
        </w:tc>
        <w:tc>
          <w:tcPr>
            <w:tcW w:w="1375" w:type="pct"/>
            <w:gridSpan w:val="2"/>
            <w:vMerge/>
            <w:tcBorders>
              <w:top w:val="nil"/>
              <w:left w:val="nil"/>
              <w:bottom w:val="nil"/>
              <w:right w:val="nil"/>
            </w:tcBorders>
            <w:vAlign w:val="center"/>
            <w:hideMark/>
          </w:tcPr>
          <w:p w:rsidR="00BF4DB4" w:rsidRPr="00BF4DB4" w:rsidRDefault="00BF4DB4" w:rsidP="00BF4DB4">
            <w:pPr>
              <w:rPr>
                <w:rFonts w:eastAsia="Times New Roman" w:cs="Arial"/>
                <w:b/>
                <w:bCs/>
                <w:color w:val="FFFFFF"/>
                <w:sz w:val="18"/>
                <w:szCs w:val="18"/>
                <w:lang w:eastAsia="en-AU"/>
              </w:rPr>
            </w:pPr>
          </w:p>
        </w:tc>
      </w:tr>
      <w:tr w:rsidR="00BF4DB4" w:rsidRPr="00BF4DB4" w:rsidTr="002B40E6">
        <w:trPr>
          <w:trHeight w:val="290"/>
        </w:trPr>
        <w:tc>
          <w:tcPr>
            <w:tcW w:w="1993" w:type="pct"/>
            <w:vMerge/>
            <w:tcBorders>
              <w:top w:val="nil"/>
              <w:left w:val="nil"/>
              <w:bottom w:val="nil"/>
              <w:right w:val="nil"/>
            </w:tcBorders>
            <w:vAlign w:val="center"/>
            <w:hideMark/>
          </w:tcPr>
          <w:p w:rsidR="00BF4DB4" w:rsidRPr="00BF4DB4" w:rsidRDefault="00BF4DB4" w:rsidP="00BF4DB4">
            <w:pPr>
              <w:rPr>
                <w:rFonts w:eastAsia="Times New Roman" w:cs="Arial"/>
                <w:b/>
                <w:bCs/>
                <w:color w:val="FFFFFF"/>
                <w:sz w:val="18"/>
                <w:szCs w:val="18"/>
                <w:lang w:eastAsia="en-AU"/>
              </w:rPr>
            </w:pPr>
          </w:p>
        </w:tc>
        <w:tc>
          <w:tcPr>
            <w:tcW w:w="88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$’000</w:t>
            </w:r>
          </w:p>
        </w:tc>
        <w:tc>
          <w:tcPr>
            <w:tcW w:w="746"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$’000</w:t>
            </w:r>
          </w:p>
        </w:tc>
        <w:tc>
          <w:tcPr>
            <w:tcW w:w="688"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$’000</w:t>
            </w:r>
          </w:p>
        </w:tc>
        <w:tc>
          <w:tcPr>
            <w:tcW w:w="688" w:type="pct"/>
            <w:tcBorders>
              <w:top w:val="nil"/>
              <w:left w:val="nil"/>
              <w:bottom w:val="nil"/>
              <w:right w:val="nil"/>
            </w:tcBorders>
            <w:shd w:val="clear" w:color="000000" w:fill="5B9BD5"/>
            <w:vAlign w:val="center"/>
            <w:hideMark/>
          </w:tcPr>
          <w:p w:rsidR="00BF4DB4" w:rsidRPr="00BF4DB4" w:rsidRDefault="00BF4DB4" w:rsidP="00BF4DB4">
            <w:pPr>
              <w:jc w:val="center"/>
              <w:rPr>
                <w:rFonts w:eastAsia="Times New Roman" w:cs="Arial"/>
                <w:b/>
                <w:bCs/>
                <w:color w:val="FFFFFF"/>
                <w:sz w:val="18"/>
                <w:szCs w:val="18"/>
                <w:lang w:eastAsia="en-AU"/>
              </w:rPr>
            </w:pPr>
            <w:r w:rsidRPr="00BF4DB4">
              <w:rPr>
                <w:rFonts w:eastAsia="Times New Roman" w:cs="Arial"/>
                <w:b/>
                <w:bCs/>
                <w:color w:val="FFFFFF"/>
                <w:sz w:val="18"/>
                <w:szCs w:val="18"/>
                <w:lang w:eastAsia="en-AU"/>
              </w:rPr>
              <w:t xml:space="preserve"> % </w:t>
            </w:r>
          </w:p>
        </w:tc>
      </w:tr>
      <w:tr w:rsidR="00BF4DB4" w:rsidRPr="00BF4DB4" w:rsidTr="002B40E6">
        <w:trPr>
          <w:trHeight w:val="290"/>
        </w:trPr>
        <w:tc>
          <w:tcPr>
            <w:tcW w:w="1993" w:type="pct"/>
            <w:tcBorders>
              <w:top w:val="nil"/>
              <w:left w:val="nil"/>
              <w:bottom w:val="nil"/>
              <w:right w:val="nil"/>
            </w:tcBorders>
            <w:shd w:val="clear" w:color="auto" w:fill="auto"/>
            <w:vAlign w:val="center"/>
            <w:hideMark/>
          </w:tcPr>
          <w:p w:rsidR="00BF4DB4" w:rsidRPr="00BF4DB4" w:rsidRDefault="00BF4DB4" w:rsidP="00BF4DB4">
            <w:pPr>
              <w:jc w:val="both"/>
              <w:rPr>
                <w:rFonts w:eastAsia="Times New Roman" w:cs="Arial"/>
                <w:sz w:val="20"/>
                <w:szCs w:val="20"/>
                <w:lang w:eastAsia="en-AU"/>
              </w:rPr>
            </w:pPr>
            <w:r w:rsidRPr="00BF4DB4">
              <w:rPr>
                <w:rFonts w:eastAsia="Times New Roman" w:cs="Arial"/>
                <w:sz w:val="20"/>
                <w:szCs w:val="20"/>
                <w:lang w:eastAsia="en-AU"/>
              </w:rPr>
              <w:t>Contributions - Monetary</w:t>
            </w:r>
          </w:p>
        </w:tc>
        <w:tc>
          <w:tcPr>
            <w:tcW w:w="886" w:type="pct"/>
            <w:tcBorders>
              <w:top w:val="nil"/>
              <w:left w:val="nil"/>
              <w:bottom w:val="nil"/>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4,952</w:t>
            </w:r>
          </w:p>
        </w:tc>
        <w:tc>
          <w:tcPr>
            <w:tcW w:w="746" w:type="pct"/>
            <w:tcBorders>
              <w:top w:val="nil"/>
              <w:left w:val="nil"/>
              <w:bottom w:val="nil"/>
              <w:right w:val="nil"/>
            </w:tcBorders>
            <w:shd w:val="clear" w:color="000000" w:fill="DDEBF7"/>
            <w:vAlign w:val="center"/>
            <w:hideMark/>
          </w:tcPr>
          <w:p w:rsidR="00BF4DB4" w:rsidRPr="00BF4DB4" w:rsidRDefault="00BF4DB4" w:rsidP="00BF4DB4">
            <w:pPr>
              <w:jc w:val="right"/>
              <w:rPr>
                <w:rFonts w:eastAsia="Times New Roman" w:cs="Arial"/>
                <w:b/>
                <w:bCs/>
                <w:sz w:val="20"/>
                <w:szCs w:val="20"/>
                <w:lang w:eastAsia="en-AU"/>
              </w:rPr>
            </w:pPr>
            <w:r w:rsidRPr="00BF4DB4">
              <w:rPr>
                <w:rFonts w:eastAsia="Times New Roman" w:cs="Arial"/>
                <w:b/>
                <w:bCs/>
                <w:sz w:val="20"/>
                <w:szCs w:val="20"/>
                <w:lang w:eastAsia="en-AU"/>
              </w:rPr>
              <w:t>4,498</w:t>
            </w:r>
          </w:p>
        </w:tc>
        <w:tc>
          <w:tcPr>
            <w:tcW w:w="688" w:type="pct"/>
            <w:tcBorders>
              <w:top w:val="nil"/>
              <w:left w:val="nil"/>
              <w:bottom w:val="nil"/>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(455)</w:t>
            </w:r>
          </w:p>
        </w:tc>
        <w:tc>
          <w:tcPr>
            <w:tcW w:w="688" w:type="pct"/>
            <w:tcBorders>
              <w:top w:val="nil"/>
              <w:left w:val="nil"/>
              <w:bottom w:val="nil"/>
              <w:right w:val="nil"/>
            </w:tcBorders>
            <w:shd w:val="clear" w:color="000000" w:fill="FFFFFF"/>
            <w:noWrap/>
            <w:vAlign w:val="center"/>
            <w:hideMark/>
          </w:tcPr>
          <w:p w:rsidR="00BF4DB4" w:rsidRPr="00BF4DB4" w:rsidRDefault="00BF4DB4" w:rsidP="00BF4DB4">
            <w:pPr>
              <w:jc w:val="right"/>
              <w:rPr>
                <w:rFonts w:eastAsia="Times New Roman" w:cs="Arial"/>
                <w:color w:val="000000"/>
                <w:sz w:val="20"/>
                <w:szCs w:val="20"/>
                <w:lang w:eastAsia="en-AU"/>
              </w:rPr>
            </w:pPr>
            <w:r w:rsidRPr="00BF4DB4">
              <w:rPr>
                <w:rFonts w:eastAsia="Times New Roman" w:cs="Arial"/>
                <w:color w:val="000000"/>
                <w:sz w:val="20"/>
                <w:szCs w:val="20"/>
                <w:lang w:eastAsia="en-AU"/>
              </w:rPr>
              <w:t>(9.2%)</w:t>
            </w:r>
          </w:p>
        </w:tc>
      </w:tr>
      <w:tr w:rsidR="00BF4DB4" w:rsidRPr="00BF4DB4" w:rsidTr="002B40E6">
        <w:trPr>
          <w:trHeight w:val="300"/>
        </w:trPr>
        <w:tc>
          <w:tcPr>
            <w:tcW w:w="1993" w:type="pct"/>
            <w:tcBorders>
              <w:top w:val="nil"/>
              <w:left w:val="nil"/>
              <w:bottom w:val="nil"/>
              <w:right w:val="nil"/>
            </w:tcBorders>
            <w:shd w:val="clear" w:color="auto" w:fill="auto"/>
            <w:vAlign w:val="center"/>
            <w:hideMark/>
          </w:tcPr>
          <w:p w:rsidR="00BF4DB4" w:rsidRPr="00BF4DB4" w:rsidRDefault="00BF4DB4" w:rsidP="00BF4DB4">
            <w:pPr>
              <w:jc w:val="both"/>
              <w:rPr>
                <w:rFonts w:eastAsia="Times New Roman" w:cs="Arial"/>
                <w:sz w:val="20"/>
                <w:szCs w:val="20"/>
                <w:lang w:eastAsia="en-AU"/>
              </w:rPr>
            </w:pPr>
            <w:r w:rsidRPr="00BF4DB4">
              <w:rPr>
                <w:rFonts w:eastAsia="Times New Roman" w:cs="Arial"/>
                <w:sz w:val="20"/>
                <w:szCs w:val="20"/>
                <w:lang w:eastAsia="en-AU"/>
              </w:rPr>
              <w:t>Contributions - Monetary (Capital)</w:t>
            </w:r>
          </w:p>
        </w:tc>
        <w:tc>
          <w:tcPr>
            <w:tcW w:w="886" w:type="pct"/>
            <w:tcBorders>
              <w:top w:val="nil"/>
              <w:left w:val="nil"/>
              <w:bottom w:val="nil"/>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624</w:t>
            </w:r>
          </w:p>
        </w:tc>
        <w:tc>
          <w:tcPr>
            <w:tcW w:w="746" w:type="pct"/>
            <w:tcBorders>
              <w:top w:val="nil"/>
              <w:left w:val="nil"/>
              <w:bottom w:val="nil"/>
              <w:right w:val="nil"/>
            </w:tcBorders>
            <w:shd w:val="clear" w:color="000000" w:fill="DDEBF7"/>
            <w:vAlign w:val="center"/>
            <w:hideMark/>
          </w:tcPr>
          <w:p w:rsidR="00BF4DB4" w:rsidRPr="00BF4DB4" w:rsidRDefault="00BF4DB4" w:rsidP="00BF4DB4">
            <w:pPr>
              <w:jc w:val="right"/>
              <w:rPr>
                <w:rFonts w:eastAsia="Times New Roman" w:cs="Arial"/>
                <w:b/>
                <w:bCs/>
                <w:sz w:val="20"/>
                <w:szCs w:val="20"/>
                <w:lang w:eastAsia="en-AU"/>
              </w:rPr>
            </w:pPr>
            <w:r w:rsidRPr="00BF4DB4">
              <w:rPr>
                <w:rFonts w:eastAsia="Times New Roman" w:cs="Arial"/>
                <w:b/>
                <w:bCs/>
                <w:sz w:val="20"/>
                <w:szCs w:val="20"/>
                <w:lang w:eastAsia="en-AU"/>
              </w:rPr>
              <w:t>228</w:t>
            </w:r>
          </w:p>
        </w:tc>
        <w:tc>
          <w:tcPr>
            <w:tcW w:w="688" w:type="pct"/>
            <w:tcBorders>
              <w:top w:val="nil"/>
              <w:left w:val="nil"/>
              <w:bottom w:val="single" w:sz="8" w:space="0" w:color="auto"/>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(396)</w:t>
            </w:r>
          </w:p>
        </w:tc>
        <w:tc>
          <w:tcPr>
            <w:tcW w:w="688" w:type="pct"/>
            <w:tcBorders>
              <w:top w:val="nil"/>
              <w:left w:val="nil"/>
              <w:bottom w:val="nil"/>
              <w:right w:val="nil"/>
            </w:tcBorders>
            <w:shd w:val="clear" w:color="000000" w:fill="FFFFFF"/>
            <w:noWrap/>
            <w:vAlign w:val="center"/>
            <w:hideMark/>
          </w:tcPr>
          <w:p w:rsidR="00BF4DB4" w:rsidRPr="00BF4DB4" w:rsidRDefault="00BF4DB4" w:rsidP="00BF4DB4">
            <w:pPr>
              <w:jc w:val="right"/>
              <w:rPr>
                <w:rFonts w:eastAsia="Times New Roman" w:cs="Arial"/>
                <w:color w:val="000000"/>
                <w:sz w:val="20"/>
                <w:szCs w:val="20"/>
                <w:lang w:eastAsia="en-AU"/>
              </w:rPr>
            </w:pPr>
            <w:r w:rsidRPr="00BF4DB4">
              <w:rPr>
                <w:rFonts w:eastAsia="Times New Roman" w:cs="Arial"/>
                <w:color w:val="000000"/>
                <w:sz w:val="20"/>
                <w:szCs w:val="20"/>
                <w:lang w:eastAsia="en-AU"/>
              </w:rPr>
              <w:t>(63.5%)</w:t>
            </w:r>
          </w:p>
        </w:tc>
      </w:tr>
      <w:tr w:rsidR="00BF4DB4" w:rsidRPr="00BF4DB4" w:rsidTr="002B40E6">
        <w:trPr>
          <w:trHeight w:val="300"/>
        </w:trPr>
        <w:tc>
          <w:tcPr>
            <w:tcW w:w="1993" w:type="pct"/>
            <w:tcBorders>
              <w:top w:val="nil"/>
              <w:left w:val="nil"/>
              <w:bottom w:val="single" w:sz="8" w:space="0" w:color="auto"/>
              <w:right w:val="nil"/>
            </w:tcBorders>
            <w:shd w:val="clear" w:color="auto" w:fill="auto"/>
            <w:vAlign w:val="center"/>
            <w:hideMark/>
          </w:tcPr>
          <w:p w:rsidR="00BF4DB4" w:rsidRPr="00BF4DB4" w:rsidRDefault="00BF4DB4" w:rsidP="00BF4DB4">
            <w:pPr>
              <w:jc w:val="both"/>
              <w:rPr>
                <w:rFonts w:eastAsia="Times New Roman" w:cs="Arial"/>
                <w:b/>
                <w:bCs/>
                <w:sz w:val="20"/>
                <w:szCs w:val="20"/>
                <w:lang w:eastAsia="en-AU"/>
              </w:rPr>
            </w:pPr>
            <w:r w:rsidRPr="00BF4DB4">
              <w:rPr>
                <w:rFonts w:eastAsia="Times New Roman" w:cs="Arial"/>
                <w:b/>
                <w:bCs/>
                <w:sz w:val="20"/>
                <w:szCs w:val="20"/>
                <w:lang w:eastAsia="en-AU"/>
              </w:rPr>
              <w:t>Total contributions</w:t>
            </w:r>
          </w:p>
        </w:tc>
        <w:tc>
          <w:tcPr>
            <w:tcW w:w="886" w:type="pct"/>
            <w:tcBorders>
              <w:top w:val="single" w:sz="8" w:space="0" w:color="auto"/>
              <w:left w:val="nil"/>
              <w:bottom w:val="single" w:sz="8" w:space="0" w:color="auto"/>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5,577</w:t>
            </w:r>
          </w:p>
        </w:tc>
        <w:tc>
          <w:tcPr>
            <w:tcW w:w="746" w:type="pct"/>
            <w:tcBorders>
              <w:top w:val="single" w:sz="8" w:space="0" w:color="auto"/>
              <w:left w:val="nil"/>
              <w:bottom w:val="single" w:sz="8" w:space="0" w:color="auto"/>
              <w:right w:val="nil"/>
            </w:tcBorders>
            <w:shd w:val="clear" w:color="000000" w:fill="DDEBF7"/>
            <w:vAlign w:val="center"/>
            <w:hideMark/>
          </w:tcPr>
          <w:p w:rsidR="00BF4DB4" w:rsidRPr="00BF4DB4" w:rsidRDefault="00BF4DB4" w:rsidP="00BF4DB4">
            <w:pPr>
              <w:jc w:val="right"/>
              <w:rPr>
                <w:rFonts w:eastAsia="Times New Roman" w:cs="Arial"/>
                <w:b/>
                <w:bCs/>
                <w:sz w:val="20"/>
                <w:szCs w:val="20"/>
                <w:lang w:eastAsia="en-AU"/>
              </w:rPr>
            </w:pPr>
            <w:r w:rsidRPr="00BF4DB4">
              <w:rPr>
                <w:rFonts w:eastAsia="Times New Roman" w:cs="Arial"/>
                <w:b/>
                <w:bCs/>
                <w:sz w:val="20"/>
                <w:szCs w:val="20"/>
                <w:lang w:eastAsia="en-AU"/>
              </w:rPr>
              <w:t>4,726</w:t>
            </w:r>
          </w:p>
        </w:tc>
        <w:tc>
          <w:tcPr>
            <w:tcW w:w="688" w:type="pct"/>
            <w:tcBorders>
              <w:top w:val="nil"/>
              <w:left w:val="nil"/>
              <w:bottom w:val="single" w:sz="8" w:space="0" w:color="auto"/>
              <w:right w:val="nil"/>
            </w:tcBorders>
            <w:shd w:val="clear" w:color="auto" w:fill="auto"/>
            <w:vAlign w:val="center"/>
            <w:hideMark/>
          </w:tcPr>
          <w:p w:rsidR="00BF4DB4" w:rsidRPr="00BF4DB4" w:rsidRDefault="00BF4DB4" w:rsidP="00BF4DB4">
            <w:pPr>
              <w:jc w:val="right"/>
              <w:rPr>
                <w:rFonts w:eastAsia="Times New Roman" w:cs="Arial"/>
                <w:sz w:val="20"/>
                <w:szCs w:val="20"/>
                <w:lang w:eastAsia="en-AU"/>
              </w:rPr>
            </w:pPr>
            <w:r w:rsidRPr="00BF4DB4">
              <w:rPr>
                <w:rFonts w:eastAsia="Times New Roman" w:cs="Arial"/>
                <w:sz w:val="20"/>
                <w:szCs w:val="20"/>
                <w:lang w:eastAsia="en-AU"/>
              </w:rPr>
              <w:t>(851)</w:t>
            </w:r>
          </w:p>
        </w:tc>
        <w:tc>
          <w:tcPr>
            <w:tcW w:w="688" w:type="pct"/>
            <w:tcBorders>
              <w:top w:val="single" w:sz="8" w:space="0" w:color="auto"/>
              <w:left w:val="nil"/>
              <w:bottom w:val="single" w:sz="8" w:space="0" w:color="auto"/>
              <w:right w:val="nil"/>
            </w:tcBorders>
            <w:shd w:val="clear" w:color="000000" w:fill="FFFFFF"/>
            <w:noWrap/>
            <w:vAlign w:val="center"/>
            <w:hideMark/>
          </w:tcPr>
          <w:p w:rsidR="00BF4DB4" w:rsidRPr="00BF4DB4" w:rsidRDefault="00BF4DB4" w:rsidP="00BF4DB4">
            <w:pPr>
              <w:jc w:val="right"/>
              <w:rPr>
                <w:rFonts w:eastAsia="Times New Roman" w:cs="Arial"/>
                <w:color w:val="000000"/>
                <w:sz w:val="20"/>
                <w:szCs w:val="20"/>
                <w:lang w:eastAsia="en-AU"/>
              </w:rPr>
            </w:pPr>
            <w:r w:rsidRPr="00BF4DB4">
              <w:rPr>
                <w:rFonts w:eastAsia="Times New Roman" w:cs="Arial"/>
                <w:color w:val="000000"/>
                <w:sz w:val="20"/>
                <w:szCs w:val="20"/>
                <w:lang w:eastAsia="en-AU"/>
              </w:rPr>
              <w:t>(15.3%)</w:t>
            </w:r>
          </w:p>
        </w:tc>
      </w:tr>
    </w:tbl>
    <w:p w:rsidR="00C566FE" w:rsidRDefault="00C566FE" w:rsidP="00C566FE">
      <w:pPr>
        <w:spacing w:after="20"/>
        <w:rPr>
          <w:rFonts w:eastAsia="Times New Roman" w:cs="Arial"/>
          <w:b/>
          <w:bCs/>
          <w:color w:val="4A66AC" w:themeColor="accent1"/>
          <w:lang w:eastAsia="en-AU"/>
        </w:rPr>
      </w:pPr>
    </w:p>
    <w:p w:rsidR="00ED79FA" w:rsidRPr="00E7742A" w:rsidRDefault="001B4DD5" w:rsidP="00ED79FA">
      <w:pPr>
        <w:jc w:val="both"/>
        <w:rPr>
          <w:rFonts w:eastAsia="Times New Roman" w:cs="Arial"/>
        </w:rPr>
      </w:pPr>
      <w:r>
        <w:rPr>
          <w:rFonts w:eastAsia="Times New Roman" w:cs="Arial"/>
        </w:rPr>
        <w:t xml:space="preserve">Contributions </w:t>
      </w:r>
      <w:r w:rsidR="00FA452D">
        <w:rPr>
          <w:rFonts w:eastAsia="Times New Roman" w:cs="Arial"/>
        </w:rPr>
        <w:t>Monetary are projected to decrease by $0.</w:t>
      </w:r>
      <w:r w:rsidR="00DE335B">
        <w:rPr>
          <w:rFonts w:eastAsia="Times New Roman" w:cs="Arial"/>
        </w:rPr>
        <w:t>85</w:t>
      </w:r>
      <w:r w:rsidR="00FA452D">
        <w:rPr>
          <w:rFonts w:eastAsia="Times New Roman" w:cs="Arial"/>
        </w:rPr>
        <w:t xml:space="preserve"> million or </w:t>
      </w:r>
      <w:r w:rsidR="00DE335B">
        <w:rPr>
          <w:rFonts w:eastAsia="Times New Roman" w:cs="Arial"/>
        </w:rPr>
        <w:t>15.3</w:t>
      </w:r>
      <w:r w:rsidR="00FA452D">
        <w:rPr>
          <w:rFonts w:eastAsia="Times New Roman" w:cs="Arial"/>
        </w:rPr>
        <w:t xml:space="preserve">% compared to 2019/20 due to a reduction in Open Space contributions. </w:t>
      </w:r>
      <w:r w:rsidR="00ED79FA" w:rsidRPr="0029462D">
        <w:rPr>
          <w:rFonts w:eastAsia="Times New Roman" w:cs="Arial"/>
        </w:rPr>
        <w:t xml:space="preserve">Capital Contributions are projected to </w:t>
      </w:r>
      <w:r w:rsidR="00ED79FA" w:rsidRPr="00E7742A">
        <w:rPr>
          <w:rFonts w:eastAsia="Times New Roman" w:cs="Arial"/>
        </w:rPr>
        <w:t>decrease by $0</w:t>
      </w:r>
      <w:r w:rsidR="00DE335B">
        <w:rPr>
          <w:rFonts w:eastAsia="Times New Roman" w:cs="Arial"/>
        </w:rPr>
        <w:t>.40</w:t>
      </w:r>
      <w:r w:rsidR="00ED79FA" w:rsidRPr="00E7742A">
        <w:rPr>
          <w:rFonts w:eastAsia="Times New Roman" w:cs="Arial"/>
        </w:rPr>
        <w:t xml:space="preserve"> million or </w:t>
      </w:r>
      <w:r w:rsidR="00DE335B">
        <w:rPr>
          <w:rFonts w:eastAsia="Times New Roman" w:cs="Arial"/>
        </w:rPr>
        <w:t>63.5</w:t>
      </w:r>
      <w:r w:rsidR="00ED79FA" w:rsidRPr="00E7742A">
        <w:rPr>
          <w:rFonts w:eastAsia="Times New Roman" w:cs="Arial"/>
        </w:rPr>
        <w:t xml:space="preserve">% compared to </w:t>
      </w:r>
      <w:r w:rsidR="00ED79FA" w:rsidRPr="00E7742A">
        <w:rPr>
          <w:rFonts w:eastAsia="Times New Roman" w:cs="Arial"/>
          <w:lang w:eastAsia="en-AU"/>
        </w:rPr>
        <w:t>201</w:t>
      </w:r>
      <w:r w:rsidR="003631A2" w:rsidRPr="00E7742A">
        <w:rPr>
          <w:rFonts w:eastAsia="Times New Roman" w:cs="Arial"/>
          <w:lang w:eastAsia="en-AU"/>
        </w:rPr>
        <w:t>9</w:t>
      </w:r>
      <w:r w:rsidR="00ED79FA" w:rsidRPr="00E7742A">
        <w:rPr>
          <w:rFonts w:eastAsia="Times New Roman" w:cs="Arial"/>
          <w:lang w:eastAsia="en-AU"/>
        </w:rPr>
        <w:t>/</w:t>
      </w:r>
      <w:r w:rsidR="003631A2" w:rsidRPr="00E7742A">
        <w:rPr>
          <w:rFonts w:eastAsia="Times New Roman" w:cs="Arial"/>
          <w:lang w:eastAsia="en-AU"/>
        </w:rPr>
        <w:t>20</w:t>
      </w:r>
      <w:r w:rsidR="00ED79FA" w:rsidRPr="00E7742A">
        <w:rPr>
          <w:rFonts w:eastAsia="Times New Roman" w:cs="Arial"/>
          <w:lang w:eastAsia="en-AU"/>
        </w:rPr>
        <w:t xml:space="preserve"> </w:t>
      </w:r>
      <w:r w:rsidR="00ED79FA" w:rsidRPr="00E7742A">
        <w:rPr>
          <w:rFonts w:eastAsia="Times New Roman" w:cs="Arial"/>
        </w:rPr>
        <w:t xml:space="preserve">due mainly to </w:t>
      </w:r>
      <w:r w:rsidR="00CF289F" w:rsidRPr="00E7742A">
        <w:rPr>
          <w:rFonts w:eastAsia="Times New Roman" w:cs="Arial"/>
        </w:rPr>
        <w:t xml:space="preserve">a </w:t>
      </w:r>
      <w:r w:rsidR="00ED79FA" w:rsidRPr="00E7742A">
        <w:rPr>
          <w:rFonts w:eastAsia="Times New Roman" w:cs="Arial"/>
        </w:rPr>
        <w:t xml:space="preserve">once off contribution </w:t>
      </w:r>
      <w:r w:rsidR="007A739D" w:rsidRPr="00E7742A">
        <w:rPr>
          <w:rFonts w:eastAsia="Times New Roman" w:cs="Arial"/>
        </w:rPr>
        <w:t>for</w:t>
      </w:r>
      <w:r w:rsidR="00ED79FA" w:rsidRPr="00E7742A">
        <w:rPr>
          <w:rFonts w:eastAsia="Times New Roman" w:cs="Arial"/>
        </w:rPr>
        <w:t xml:space="preserve"> Capital project in 201</w:t>
      </w:r>
      <w:r w:rsidR="00E7742A" w:rsidRPr="00E7742A">
        <w:rPr>
          <w:rFonts w:eastAsia="Times New Roman" w:cs="Arial"/>
        </w:rPr>
        <w:t>9</w:t>
      </w:r>
      <w:r w:rsidR="00ED79FA" w:rsidRPr="00E7742A">
        <w:rPr>
          <w:rFonts w:eastAsia="Times New Roman" w:cs="Arial"/>
        </w:rPr>
        <w:t>/</w:t>
      </w:r>
      <w:r w:rsidR="00E7742A" w:rsidRPr="00E7742A">
        <w:rPr>
          <w:rFonts w:eastAsia="Times New Roman" w:cs="Arial"/>
        </w:rPr>
        <w:t>20</w:t>
      </w:r>
      <w:r w:rsidR="00ED79FA" w:rsidRPr="00E7742A">
        <w:rPr>
          <w:rFonts w:eastAsia="Times New Roman" w:cs="Arial"/>
        </w:rPr>
        <w:t xml:space="preserve"> (</w:t>
      </w:r>
      <w:r w:rsidR="00E7742A" w:rsidRPr="00E7742A">
        <w:rPr>
          <w:rFonts w:eastAsia="Times New Roman" w:cs="Arial"/>
        </w:rPr>
        <w:t>Jublilee Park Tennis Lighting</w:t>
      </w:r>
      <w:r w:rsidR="00ED79FA" w:rsidRPr="00E7742A">
        <w:rPr>
          <w:rFonts w:eastAsia="Times New Roman" w:cs="Arial"/>
        </w:rPr>
        <w:t xml:space="preserve"> $0.</w:t>
      </w:r>
      <w:r w:rsidR="00E7742A" w:rsidRPr="00E7742A">
        <w:rPr>
          <w:rFonts w:eastAsia="Times New Roman" w:cs="Arial"/>
        </w:rPr>
        <w:t>98</w:t>
      </w:r>
      <w:r w:rsidR="00ED79FA" w:rsidRPr="00E7742A">
        <w:rPr>
          <w:rFonts w:eastAsia="Times New Roman" w:cs="Arial"/>
        </w:rPr>
        <w:t xml:space="preserve"> million).</w:t>
      </w:r>
    </w:p>
    <w:p w:rsidR="00953CEF" w:rsidRDefault="00953CEF" w:rsidP="00ED79FA">
      <w:pPr>
        <w:jc w:val="both"/>
        <w:rPr>
          <w:rFonts w:eastAsia="Times New Roman" w:cs="Arial"/>
        </w:rPr>
      </w:pPr>
    </w:p>
    <w:p w:rsidR="00953CEF" w:rsidRDefault="001E7276" w:rsidP="00953CEF">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953CEF" w:rsidRPr="003254DF">
        <w:rPr>
          <w:rFonts w:eastAsia="Times New Roman" w:cs="Arial"/>
          <w:b/>
          <w:bCs/>
          <w:color w:val="4A66AC" w:themeColor="accent1"/>
          <w:lang w:eastAsia="en-AU"/>
        </w:rPr>
        <w:t>.1.6 Other income</w:t>
      </w:r>
    </w:p>
    <w:p w:rsidR="00953CEF" w:rsidRDefault="00953CEF" w:rsidP="00953CEF">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289"/>
        <w:gridCol w:w="1340"/>
        <w:gridCol w:w="1338"/>
        <w:gridCol w:w="1004"/>
        <w:gridCol w:w="1056"/>
      </w:tblGrid>
      <w:tr w:rsidR="005D4F56" w:rsidRPr="005D4F56" w:rsidTr="005D4F56">
        <w:trPr>
          <w:trHeight w:val="460"/>
        </w:trPr>
        <w:tc>
          <w:tcPr>
            <w:tcW w:w="2376" w:type="pct"/>
            <w:vMerge w:val="restar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 </w:t>
            </w:r>
          </w:p>
        </w:tc>
        <w:tc>
          <w:tcPr>
            <w:tcW w:w="742"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Forecast Actual</w:t>
            </w:r>
          </w:p>
        </w:tc>
        <w:tc>
          <w:tcPr>
            <w:tcW w:w="741"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Budget</w:t>
            </w:r>
          </w:p>
        </w:tc>
        <w:tc>
          <w:tcPr>
            <w:tcW w:w="1141" w:type="pct"/>
            <w:gridSpan w:val="2"/>
            <w:vMerge w:val="restar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Change</w:t>
            </w:r>
          </w:p>
        </w:tc>
      </w:tr>
      <w:tr w:rsidR="005D4F56" w:rsidRPr="005D4F56" w:rsidTr="005D4F56">
        <w:trPr>
          <w:trHeight w:val="290"/>
        </w:trPr>
        <w:tc>
          <w:tcPr>
            <w:tcW w:w="2376" w:type="pct"/>
            <w:vMerge/>
            <w:tcBorders>
              <w:top w:val="nil"/>
              <w:left w:val="nil"/>
              <w:bottom w:val="nil"/>
              <w:right w:val="nil"/>
            </w:tcBorders>
            <w:vAlign w:val="center"/>
            <w:hideMark/>
          </w:tcPr>
          <w:p w:rsidR="005D4F56" w:rsidRPr="005D4F56" w:rsidRDefault="005D4F56" w:rsidP="005D4F56">
            <w:pPr>
              <w:rPr>
                <w:rFonts w:eastAsia="Times New Roman" w:cs="Arial"/>
                <w:b/>
                <w:bCs/>
                <w:color w:val="FFFFFF"/>
                <w:sz w:val="18"/>
                <w:szCs w:val="18"/>
                <w:lang w:eastAsia="en-AU"/>
              </w:rPr>
            </w:pPr>
          </w:p>
        </w:tc>
        <w:tc>
          <w:tcPr>
            <w:tcW w:w="742"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2019/20</w:t>
            </w:r>
          </w:p>
        </w:tc>
        <w:tc>
          <w:tcPr>
            <w:tcW w:w="741"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2020/21</w:t>
            </w:r>
          </w:p>
        </w:tc>
        <w:tc>
          <w:tcPr>
            <w:tcW w:w="1141" w:type="pct"/>
            <w:gridSpan w:val="2"/>
            <w:vMerge/>
            <w:tcBorders>
              <w:top w:val="nil"/>
              <w:left w:val="nil"/>
              <w:bottom w:val="nil"/>
              <w:right w:val="nil"/>
            </w:tcBorders>
            <w:vAlign w:val="center"/>
            <w:hideMark/>
          </w:tcPr>
          <w:p w:rsidR="005D4F56" w:rsidRPr="005D4F56" w:rsidRDefault="005D4F56" w:rsidP="005D4F56">
            <w:pPr>
              <w:rPr>
                <w:rFonts w:eastAsia="Times New Roman" w:cs="Arial"/>
                <w:b/>
                <w:bCs/>
                <w:color w:val="FFFFFF"/>
                <w:sz w:val="18"/>
                <w:szCs w:val="18"/>
                <w:lang w:eastAsia="en-AU"/>
              </w:rPr>
            </w:pPr>
          </w:p>
        </w:tc>
      </w:tr>
      <w:tr w:rsidR="005D4F56" w:rsidRPr="005D4F56" w:rsidTr="005D4F56">
        <w:trPr>
          <w:trHeight w:val="290"/>
        </w:trPr>
        <w:tc>
          <w:tcPr>
            <w:tcW w:w="2376" w:type="pct"/>
            <w:vMerge/>
            <w:tcBorders>
              <w:top w:val="nil"/>
              <w:left w:val="nil"/>
              <w:bottom w:val="nil"/>
              <w:right w:val="nil"/>
            </w:tcBorders>
            <w:vAlign w:val="center"/>
            <w:hideMark/>
          </w:tcPr>
          <w:p w:rsidR="005D4F56" w:rsidRPr="005D4F56" w:rsidRDefault="005D4F56" w:rsidP="005D4F56">
            <w:pPr>
              <w:rPr>
                <w:rFonts w:eastAsia="Times New Roman" w:cs="Arial"/>
                <w:b/>
                <w:bCs/>
                <w:color w:val="FFFFFF"/>
                <w:sz w:val="18"/>
                <w:szCs w:val="18"/>
                <w:lang w:eastAsia="en-AU"/>
              </w:rPr>
            </w:pPr>
          </w:p>
        </w:tc>
        <w:tc>
          <w:tcPr>
            <w:tcW w:w="742"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$’000</w:t>
            </w:r>
          </w:p>
        </w:tc>
        <w:tc>
          <w:tcPr>
            <w:tcW w:w="741"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$’000</w:t>
            </w:r>
          </w:p>
        </w:tc>
        <w:tc>
          <w:tcPr>
            <w:tcW w:w="556"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$’000</w:t>
            </w:r>
          </w:p>
        </w:tc>
        <w:tc>
          <w:tcPr>
            <w:tcW w:w="585" w:type="pct"/>
            <w:tcBorders>
              <w:top w:val="nil"/>
              <w:left w:val="nil"/>
              <w:bottom w:val="nil"/>
              <w:right w:val="nil"/>
            </w:tcBorders>
            <w:shd w:val="clear" w:color="000000" w:fill="5B9BD5"/>
            <w:vAlign w:val="center"/>
            <w:hideMark/>
          </w:tcPr>
          <w:p w:rsidR="005D4F56" w:rsidRPr="005D4F56" w:rsidRDefault="005D4F56" w:rsidP="005D4F56">
            <w:pPr>
              <w:jc w:val="center"/>
              <w:rPr>
                <w:rFonts w:eastAsia="Times New Roman" w:cs="Arial"/>
                <w:b/>
                <w:bCs/>
                <w:color w:val="FFFFFF"/>
                <w:sz w:val="18"/>
                <w:szCs w:val="18"/>
                <w:lang w:eastAsia="en-AU"/>
              </w:rPr>
            </w:pPr>
            <w:r w:rsidRPr="005D4F56">
              <w:rPr>
                <w:rFonts w:eastAsia="Times New Roman" w:cs="Arial"/>
                <w:b/>
                <w:bCs/>
                <w:color w:val="FFFFFF"/>
                <w:sz w:val="18"/>
                <w:szCs w:val="18"/>
                <w:lang w:eastAsia="en-AU"/>
              </w:rPr>
              <w:t>%</w:t>
            </w:r>
          </w:p>
        </w:tc>
      </w:tr>
      <w:tr w:rsidR="005D4F56" w:rsidRPr="005D4F56" w:rsidTr="005D4F56">
        <w:trPr>
          <w:trHeight w:val="290"/>
        </w:trPr>
        <w:tc>
          <w:tcPr>
            <w:tcW w:w="2376" w:type="pct"/>
            <w:tcBorders>
              <w:top w:val="nil"/>
              <w:left w:val="nil"/>
              <w:bottom w:val="nil"/>
              <w:right w:val="nil"/>
            </w:tcBorders>
            <w:shd w:val="clear" w:color="auto" w:fill="auto"/>
            <w:vAlign w:val="center"/>
            <w:hideMark/>
          </w:tcPr>
          <w:p w:rsidR="005D4F56" w:rsidRPr="005D4F56" w:rsidRDefault="005D4F56" w:rsidP="005D4F56">
            <w:pPr>
              <w:jc w:val="both"/>
              <w:rPr>
                <w:rFonts w:eastAsia="Times New Roman" w:cs="Arial"/>
                <w:sz w:val="20"/>
                <w:szCs w:val="20"/>
                <w:lang w:eastAsia="en-AU"/>
              </w:rPr>
            </w:pPr>
            <w:r w:rsidRPr="005D4F56">
              <w:rPr>
                <w:rFonts w:eastAsia="Times New Roman" w:cs="Arial"/>
                <w:sz w:val="20"/>
                <w:szCs w:val="20"/>
                <w:lang w:eastAsia="en-AU"/>
              </w:rPr>
              <w:t>Interest on investments</w:t>
            </w:r>
          </w:p>
        </w:tc>
        <w:tc>
          <w:tcPr>
            <w:tcW w:w="742"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800</w:t>
            </w:r>
          </w:p>
        </w:tc>
        <w:tc>
          <w:tcPr>
            <w:tcW w:w="741" w:type="pct"/>
            <w:tcBorders>
              <w:top w:val="nil"/>
              <w:left w:val="nil"/>
              <w:bottom w:val="nil"/>
              <w:right w:val="nil"/>
            </w:tcBorders>
            <w:shd w:val="clear" w:color="000000" w:fill="DDEBF7"/>
            <w:vAlign w:val="center"/>
            <w:hideMark/>
          </w:tcPr>
          <w:p w:rsidR="005D4F56" w:rsidRPr="005D4F56" w:rsidRDefault="005D4F56" w:rsidP="005D4F56">
            <w:pPr>
              <w:jc w:val="right"/>
              <w:rPr>
                <w:rFonts w:eastAsia="Times New Roman" w:cs="Arial"/>
                <w:b/>
                <w:bCs/>
                <w:sz w:val="20"/>
                <w:szCs w:val="20"/>
                <w:lang w:eastAsia="en-AU"/>
              </w:rPr>
            </w:pPr>
            <w:r w:rsidRPr="005D4F56">
              <w:rPr>
                <w:rFonts w:eastAsia="Times New Roman" w:cs="Arial"/>
                <w:b/>
                <w:bCs/>
                <w:sz w:val="20"/>
                <w:szCs w:val="20"/>
                <w:lang w:eastAsia="en-AU"/>
              </w:rPr>
              <w:t>673</w:t>
            </w:r>
          </w:p>
        </w:tc>
        <w:tc>
          <w:tcPr>
            <w:tcW w:w="556"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(127)</w:t>
            </w:r>
          </w:p>
        </w:tc>
        <w:tc>
          <w:tcPr>
            <w:tcW w:w="585"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(15.9%)</w:t>
            </w:r>
          </w:p>
        </w:tc>
      </w:tr>
      <w:tr w:rsidR="005D4F56" w:rsidRPr="005D4F56" w:rsidTr="005D4F56">
        <w:trPr>
          <w:trHeight w:val="290"/>
        </w:trPr>
        <w:tc>
          <w:tcPr>
            <w:tcW w:w="2376" w:type="pct"/>
            <w:tcBorders>
              <w:top w:val="nil"/>
              <w:left w:val="nil"/>
              <w:bottom w:val="nil"/>
              <w:right w:val="nil"/>
            </w:tcBorders>
            <w:shd w:val="clear" w:color="auto" w:fill="auto"/>
            <w:vAlign w:val="center"/>
            <w:hideMark/>
          </w:tcPr>
          <w:p w:rsidR="005D4F56" w:rsidRPr="005D4F56" w:rsidRDefault="005D4F56" w:rsidP="005D4F56">
            <w:pPr>
              <w:jc w:val="both"/>
              <w:rPr>
                <w:rFonts w:eastAsia="Times New Roman" w:cs="Arial"/>
                <w:sz w:val="20"/>
                <w:szCs w:val="20"/>
                <w:lang w:eastAsia="en-AU"/>
              </w:rPr>
            </w:pPr>
            <w:r w:rsidRPr="005D4F56">
              <w:rPr>
                <w:rFonts w:eastAsia="Times New Roman" w:cs="Arial"/>
                <w:sz w:val="20"/>
                <w:szCs w:val="20"/>
                <w:lang w:eastAsia="en-AU"/>
              </w:rPr>
              <w:t>Interest on other</w:t>
            </w:r>
          </w:p>
        </w:tc>
        <w:tc>
          <w:tcPr>
            <w:tcW w:w="742"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2</w:t>
            </w:r>
          </w:p>
        </w:tc>
        <w:tc>
          <w:tcPr>
            <w:tcW w:w="741" w:type="pct"/>
            <w:tcBorders>
              <w:top w:val="nil"/>
              <w:left w:val="nil"/>
              <w:bottom w:val="nil"/>
              <w:right w:val="nil"/>
            </w:tcBorders>
            <w:shd w:val="clear" w:color="000000" w:fill="DDEBF7"/>
            <w:vAlign w:val="center"/>
            <w:hideMark/>
          </w:tcPr>
          <w:p w:rsidR="005D4F56" w:rsidRPr="005D4F56" w:rsidRDefault="005D4F56" w:rsidP="005D4F56">
            <w:pPr>
              <w:jc w:val="right"/>
              <w:rPr>
                <w:rFonts w:eastAsia="Times New Roman" w:cs="Arial"/>
                <w:b/>
                <w:bCs/>
                <w:sz w:val="20"/>
                <w:szCs w:val="20"/>
                <w:lang w:eastAsia="en-AU"/>
              </w:rPr>
            </w:pPr>
            <w:r w:rsidRPr="005D4F56">
              <w:rPr>
                <w:rFonts w:eastAsia="Times New Roman" w:cs="Arial"/>
                <w:b/>
                <w:bCs/>
                <w:sz w:val="20"/>
                <w:szCs w:val="20"/>
                <w:lang w:eastAsia="en-AU"/>
              </w:rPr>
              <w:t>2</w:t>
            </w:r>
          </w:p>
        </w:tc>
        <w:tc>
          <w:tcPr>
            <w:tcW w:w="556"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w:t>
            </w:r>
          </w:p>
        </w:tc>
        <w:tc>
          <w:tcPr>
            <w:tcW w:w="585"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(25.0%)</w:t>
            </w:r>
          </w:p>
        </w:tc>
      </w:tr>
      <w:tr w:rsidR="005D4F56" w:rsidRPr="005D4F56" w:rsidTr="005D4F56">
        <w:trPr>
          <w:trHeight w:val="300"/>
        </w:trPr>
        <w:tc>
          <w:tcPr>
            <w:tcW w:w="2376" w:type="pct"/>
            <w:tcBorders>
              <w:top w:val="nil"/>
              <w:left w:val="nil"/>
              <w:bottom w:val="nil"/>
              <w:right w:val="nil"/>
            </w:tcBorders>
            <w:shd w:val="clear" w:color="auto" w:fill="auto"/>
            <w:vAlign w:val="center"/>
            <w:hideMark/>
          </w:tcPr>
          <w:p w:rsidR="005D4F56" w:rsidRPr="005D4F56" w:rsidRDefault="005D4F56" w:rsidP="005D4F56">
            <w:pPr>
              <w:jc w:val="both"/>
              <w:rPr>
                <w:rFonts w:eastAsia="Times New Roman" w:cs="Arial"/>
                <w:sz w:val="20"/>
                <w:szCs w:val="20"/>
                <w:lang w:eastAsia="en-AU"/>
              </w:rPr>
            </w:pPr>
            <w:r w:rsidRPr="005D4F56">
              <w:rPr>
                <w:rFonts w:eastAsia="Times New Roman" w:cs="Arial"/>
                <w:sz w:val="20"/>
                <w:szCs w:val="20"/>
                <w:lang w:eastAsia="en-AU"/>
              </w:rPr>
              <w:t>Rent</w:t>
            </w:r>
          </w:p>
        </w:tc>
        <w:tc>
          <w:tcPr>
            <w:tcW w:w="742" w:type="pct"/>
            <w:tcBorders>
              <w:top w:val="nil"/>
              <w:left w:val="nil"/>
              <w:bottom w:val="nil"/>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229</w:t>
            </w:r>
          </w:p>
        </w:tc>
        <w:tc>
          <w:tcPr>
            <w:tcW w:w="741" w:type="pct"/>
            <w:tcBorders>
              <w:top w:val="nil"/>
              <w:left w:val="nil"/>
              <w:bottom w:val="nil"/>
              <w:right w:val="nil"/>
            </w:tcBorders>
            <w:shd w:val="clear" w:color="000000" w:fill="DDEBF7"/>
            <w:vAlign w:val="center"/>
            <w:hideMark/>
          </w:tcPr>
          <w:p w:rsidR="005D4F56" w:rsidRPr="005D4F56" w:rsidRDefault="005D4F56" w:rsidP="005D4F56">
            <w:pPr>
              <w:jc w:val="right"/>
              <w:rPr>
                <w:rFonts w:eastAsia="Times New Roman" w:cs="Arial"/>
                <w:b/>
                <w:bCs/>
                <w:sz w:val="20"/>
                <w:szCs w:val="20"/>
                <w:lang w:eastAsia="en-AU"/>
              </w:rPr>
            </w:pPr>
            <w:r w:rsidRPr="005D4F56">
              <w:rPr>
                <w:rFonts w:eastAsia="Times New Roman" w:cs="Arial"/>
                <w:b/>
                <w:bCs/>
                <w:sz w:val="20"/>
                <w:szCs w:val="20"/>
                <w:lang w:eastAsia="en-AU"/>
              </w:rPr>
              <w:t>459</w:t>
            </w:r>
          </w:p>
        </w:tc>
        <w:tc>
          <w:tcPr>
            <w:tcW w:w="556" w:type="pct"/>
            <w:tcBorders>
              <w:top w:val="nil"/>
              <w:left w:val="nil"/>
              <w:bottom w:val="single" w:sz="8" w:space="0" w:color="auto"/>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231</w:t>
            </w:r>
          </w:p>
        </w:tc>
        <w:tc>
          <w:tcPr>
            <w:tcW w:w="585" w:type="pct"/>
            <w:tcBorders>
              <w:top w:val="nil"/>
              <w:left w:val="nil"/>
              <w:bottom w:val="single" w:sz="8" w:space="0" w:color="auto"/>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100.88%</w:t>
            </w:r>
          </w:p>
        </w:tc>
      </w:tr>
      <w:tr w:rsidR="005D4F56" w:rsidRPr="005D4F56" w:rsidTr="005D4F56">
        <w:trPr>
          <w:trHeight w:val="300"/>
        </w:trPr>
        <w:tc>
          <w:tcPr>
            <w:tcW w:w="2376" w:type="pct"/>
            <w:tcBorders>
              <w:top w:val="nil"/>
              <w:left w:val="nil"/>
              <w:bottom w:val="single" w:sz="8" w:space="0" w:color="auto"/>
              <w:right w:val="nil"/>
            </w:tcBorders>
            <w:shd w:val="clear" w:color="auto" w:fill="auto"/>
            <w:vAlign w:val="center"/>
            <w:hideMark/>
          </w:tcPr>
          <w:p w:rsidR="005D4F56" w:rsidRPr="005D4F56" w:rsidRDefault="005D4F56" w:rsidP="005D4F56">
            <w:pPr>
              <w:jc w:val="both"/>
              <w:rPr>
                <w:rFonts w:eastAsia="Times New Roman" w:cs="Arial"/>
                <w:b/>
                <w:bCs/>
                <w:sz w:val="20"/>
                <w:szCs w:val="20"/>
                <w:lang w:eastAsia="en-AU"/>
              </w:rPr>
            </w:pPr>
            <w:r w:rsidRPr="005D4F56">
              <w:rPr>
                <w:rFonts w:eastAsia="Times New Roman" w:cs="Arial"/>
                <w:b/>
                <w:bCs/>
                <w:sz w:val="20"/>
                <w:szCs w:val="20"/>
                <w:lang w:eastAsia="en-AU"/>
              </w:rPr>
              <w:t>Total other income</w:t>
            </w:r>
          </w:p>
        </w:tc>
        <w:tc>
          <w:tcPr>
            <w:tcW w:w="742" w:type="pct"/>
            <w:tcBorders>
              <w:top w:val="single" w:sz="8" w:space="0" w:color="auto"/>
              <w:left w:val="nil"/>
              <w:bottom w:val="single" w:sz="8" w:space="0" w:color="auto"/>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1,031</w:t>
            </w:r>
          </w:p>
        </w:tc>
        <w:tc>
          <w:tcPr>
            <w:tcW w:w="741" w:type="pct"/>
            <w:tcBorders>
              <w:top w:val="single" w:sz="8" w:space="0" w:color="auto"/>
              <w:left w:val="nil"/>
              <w:bottom w:val="single" w:sz="8" w:space="0" w:color="auto"/>
              <w:right w:val="nil"/>
            </w:tcBorders>
            <w:shd w:val="clear" w:color="000000" w:fill="DDEBF7"/>
            <w:vAlign w:val="center"/>
            <w:hideMark/>
          </w:tcPr>
          <w:p w:rsidR="005D4F56" w:rsidRPr="005D4F56" w:rsidRDefault="005D4F56" w:rsidP="005D4F56">
            <w:pPr>
              <w:jc w:val="right"/>
              <w:rPr>
                <w:rFonts w:eastAsia="Times New Roman" w:cs="Arial"/>
                <w:b/>
                <w:bCs/>
                <w:sz w:val="20"/>
                <w:szCs w:val="20"/>
                <w:lang w:eastAsia="en-AU"/>
              </w:rPr>
            </w:pPr>
            <w:r w:rsidRPr="005D4F56">
              <w:rPr>
                <w:rFonts w:eastAsia="Times New Roman" w:cs="Arial"/>
                <w:b/>
                <w:bCs/>
                <w:sz w:val="20"/>
                <w:szCs w:val="20"/>
                <w:lang w:eastAsia="en-AU"/>
              </w:rPr>
              <w:t>1,134</w:t>
            </w:r>
          </w:p>
        </w:tc>
        <w:tc>
          <w:tcPr>
            <w:tcW w:w="556" w:type="pct"/>
            <w:tcBorders>
              <w:top w:val="nil"/>
              <w:left w:val="nil"/>
              <w:bottom w:val="single" w:sz="8" w:space="0" w:color="auto"/>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103</w:t>
            </w:r>
          </w:p>
        </w:tc>
        <w:tc>
          <w:tcPr>
            <w:tcW w:w="585" w:type="pct"/>
            <w:tcBorders>
              <w:top w:val="nil"/>
              <w:left w:val="nil"/>
              <w:bottom w:val="single" w:sz="8" w:space="0" w:color="auto"/>
              <w:right w:val="nil"/>
            </w:tcBorders>
            <w:shd w:val="clear" w:color="auto" w:fill="auto"/>
            <w:vAlign w:val="center"/>
            <w:hideMark/>
          </w:tcPr>
          <w:p w:rsidR="005D4F56" w:rsidRPr="005D4F56" w:rsidRDefault="005D4F56" w:rsidP="005D4F56">
            <w:pPr>
              <w:jc w:val="right"/>
              <w:rPr>
                <w:rFonts w:eastAsia="Times New Roman" w:cs="Arial"/>
                <w:sz w:val="20"/>
                <w:szCs w:val="20"/>
                <w:lang w:eastAsia="en-AU"/>
              </w:rPr>
            </w:pPr>
            <w:r w:rsidRPr="005D4F56">
              <w:rPr>
                <w:rFonts w:eastAsia="Times New Roman" w:cs="Arial"/>
                <w:sz w:val="20"/>
                <w:szCs w:val="20"/>
                <w:lang w:eastAsia="en-AU"/>
              </w:rPr>
              <w:t>10.01%</w:t>
            </w:r>
          </w:p>
        </w:tc>
      </w:tr>
    </w:tbl>
    <w:p w:rsidR="00953CEF" w:rsidRDefault="00953CEF" w:rsidP="00953CEF">
      <w:pPr>
        <w:spacing w:after="20"/>
        <w:rPr>
          <w:rFonts w:eastAsia="Times New Roman" w:cs="Arial"/>
          <w:b/>
          <w:bCs/>
          <w:color w:val="4A66AC" w:themeColor="accent1"/>
          <w:lang w:eastAsia="en-AU"/>
        </w:rPr>
      </w:pPr>
    </w:p>
    <w:p w:rsidR="00D164F6" w:rsidRDefault="00D164F6" w:rsidP="00D164F6">
      <w:pPr>
        <w:jc w:val="both"/>
        <w:rPr>
          <w:rFonts w:eastAsia="Times New Roman" w:cs="Arial"/>
        </w:rPr>
      </w:pPr>
      <w:r>
        <w:rPr>
          <w:rFonts w:eastAsia="Times New Roman" w:cs="Arial"/>
        </w:rPr>
        <w:t xml:space="preserve">Other income is </w:t>
      </w:r>
      <w:r w:rsidRPr="002E1321">
        <w:rPr>
          <w:rFonts w:eastAsia="Times New Roman" w:cs="Arial"/>
        </w:rPr>
        <w:t xml:space="preserve">projected to </w:t>
      </w:r>
      <w:r w:rsidR="00002F3D">
        <w:rPr>
          <w:rFonts w:eastAsia="Times New Roman" w:cs="Arial"/>
        </w:rPr>
        <w:t>in</w:t>
      </w:r>
      <w:r w:rsidRPr="002E1321">
        <w:rPr>
          <w:rFonts w:eastAsia="Times New Roman" w:cs="Arial"/>
        </w:rPr>
        <w:t>crease by $0.</w:t>
      </w:r>
      <w:r w:rsidR="002E1321" w:rsidRPr="002E1321">
        <w:rPr>
          <w:rFonts w:eastAsia="Times New Roman" w:cs="Arial"/>
        </w:rPr>
        <w:t>1</w:t>
      </w:r>
      <w:r w:rsidR="00002F3D">
        <w:rPr>
          <w:rFonts w:eastAsia="Times New Roman" w:cs="Arial"/>
        </w:rPr>
        <w:t>03</w:t>
      </w:r>
      <w:r w:rsidR="002E1321" w:rsidRPr="002E1321">
        <w:rPr>
          <w:rFonts w:eastAsia="Times New Roman" w:cs="Arial"/>
        </w:rPr>
        <w:t xml:space="preserve"> </w:t>
      </w:r>
      <w:r w:rsidRPr="002E1321">
        <w:rPr>
          <w:rFonts w:eastAsia="Times New Roman" w:cs="Arial"/>
        </w:rPr>
        <w:t xml:space="preserve">million or </w:t>
      </w:r>
      <w:r w:rsidR="00002F3D">
        <w:rPr>
          <w:rFonts w:eastAsia="Times New Roman" w:cs="Arial"/>
        </w:rPr>
        <w:t>10.0</w:t>
      </w:r>
      <w:r w:rsidR="00253646" w:rsidRPr="002E1321">
        <w:rPr>
          <w:rFonts w:eastAsia="Times New Roman" w:cs="Arial"/>
        </w:rPr>
        <w:t>%</w:t>
      </w:r>
      <w:r w:rsidRPr="002E1321">
        <w:rPr>
          <w:rFonts w:eastAsia="Times New Roman" w:cs="Arial"/>
        </w:rPr>
        <w:t xml:space="preserve"> compared to </w:t>
      </w:r>
      <w:r w:rsidRPr="002E1321">
        <w:rPr>
          <w:rFonts w:eastAsia="Times New Roman" w:cs="Arial"/>
          <w:lang w:eastAsia="en-AU"/>
        </w:rPr>
        <w:t>20</w:t>
      </w:r>
      <w:r w:rsidR="0054712B" w:rsidRPr="002E1321">
        <w:rPr>
          <w:rFonts w:eastAsia="Times New Roman" w:cs="Arial"/>
          <w:lang w:eastAsia="en-AU"/>
        </w:rPr>
        <w:t>19</w:t>
      </w:r>
      <w:r w:rsidRPr="002E1321">
        <w:rPr>
          <w:rFonts w:eastAsia="Times New Roman" w:cs="Arial"/>
          <w:lang w:eastAsia="en-AU"/>
        </w:rPr>
        <w:t>/</w:t>
      </w:r>
      <w:r w:rsidR="0054712B" w:rsidRPr="002E1321">
        <w:rPr>
          <w:rFonts w:eastAsia="Times New Roman" w:cs="Arial"/>
          <w:lang w:eastAsia="en-AU"/>
        </w:rPr>
        <w:t>20</w:t>
      </w:r>
      <w:r w:rsidRPr="002E1321">
        <w:rPr>
          <w:rFonts w:eastAsia="Times New Roman" w:cs="Arial"/>
          <w:lang w:eastAsia="en-AU"/>
        </w:rPr>
        <w:t xml:space="preserve"> mainly </w:t>
      </w:r>
      <w:r w:rsidRPr="002E1321">
        <w:rPr>
          <w:rFonts w:eastAsia="Times New Roman" w:cs="Arial"/>
        </w:rPr>
        <w:t>due a</w:t>
      </w:r>
      <w:r w:rsidR="00101A48" w:rsidRPr="002E1321">
        <w:rPr>
          <w:rFonts w:eastAsia="Times New Roman" w:cs="Arial"/>
        </w:rPr>
        <w:t>n</w:t>
      </w:r>
      <w:r w:rsidRPr="002E1321">
        <w:rPr>
          <w:rFonts w:eastAsia="Times New Roman" w:cs="Arial"/>
        </w:rPr>
        <w:t xml:space="preserve"> </w:t>
      </w:r>
      <w:r w:rsidR="00002F3D">
        <w:rPr>
          <w:rFonts w:eastAsia="Times New Roman" w:cs="Arial"/>
        </w:rPr>
        <w:t>in</w:t>
      </w:r>
      <w:r w:rsidRPr="002E1321">
        <w:rPr>
          <w:rFonts w:eastAsia="Times New Roman" w:cs="Arial"/>
        </w:rPr>
        <w:t>crease in</w:t>
      </w:r>
      <w:r w:rsidR="00253646" w:rsidRPr="002E1321">
        <w:rPr>
          <w:rFonts w:eastAsia="Times New Roman" w:cs="Arial"/>
        </w:rPr>
        <w:t xml:space="preserve"> </w:t>
      </w:r>
      <w:r w:rsidR="00434873">
        <w:rPr>
          <w:rFonts w:eastAsia="Times New Roman" w:cs="Arial"/>
        </w:rPr>
        <w:t>rent</w:t>
      </w:r>
      <w:r w:rsidRPr="002E1321">
        <w:rPr>
          <w:rFonts w:eastAsia="Times New Roman" w:cs="Arial"/>
        </w:rPr>
        <w:t xml:space="preserve">. </w:t>
      </w:r>
    </w:p>
    <w:p w:rsidR="00B63832" w:rsidRDefault="00B63832" w:rsidP="00D164F6">
      <w:pPr>
        <w:jc w:val="both"/>
        <w:rPr>
          <w:rFonts w:eastAsia="Times New Roman" w:cs="Arial"/>
        </w:rPr>
      </w:pPr>
    </w:p>
    <w:p w:rsidR="00EE2C57" w:rsidRDefault="001E7276" w:rsidP="00B63832">
      <w:pPr>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8F6160" w:rsidRPr="003254DF">
        <w:rPr>
          <w:rFonts w:eastAsia="Times New Roman" w:cs="Arial"/>
          <w:b/>
          <w:bCs/>
          <w:color w:val="4A66AC" w:themeColor="accent1"/>
          <w:lang w:eastAsia="en-AU"/>
        </w:rPr>
        <w:t>.</w:t>
      </w:r>
      <w:r w:rsidR="00EE2C57" w:rsidRPr="003254DF">
        <w:rPr>
          <w:rFonts w:eastAsia="Times New Roman" w:cs="Arial"/>
          <w:b/>
          <w:bCs/>
          <w:color w:val="4A66AC" w:themeColor="accent1"/>
          <w:lang w:eastAsia="en-AU"/>
        </w:rPr>
        <w:t>1.7 Employee costs</w:t>
      </w:r>
    </w:p>
    <w:p w:rsidR="00EE2C57" w:rsidRDefault="00EE2C57" w:rsidP="00EE2C57">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749"/>
        <w:gridCol w:w="1634"/>
        <w:gridCol w:w="1634"/>
        <w:gridCol w:w="1174"/>
        <w:gridCol w:w="836"/>
      </w:tblGrid>
      <w:tr w:rsidR="00623E2B" w:rsidRPr="00623E2B" w:rsidTr="00623E2B">
        <w:trPr>
          <w:trHeight w:val="290"/>
        </w:trPr>
        <w:tc>
          <w:tcPr>
            <w:tcW w:w="2077" w:type="pct"/>
            <w:vMerge w:val="restar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 </w:t>
            </w: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Forecast Actual</w:t>
            </w: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Budget</w:t>
            </w:r>
          </w:p>
        </w:tc>
        <w:tc>
          <w:tcPr>
            <w:tcW w:w="1114" w:type="pct"/>
            <w:gridSpan w:val="2"/>
            <w:vMerge w:val="restar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Change</w:t>
            </w:r>
          </w:p>
        </w:tc>
      </w:tr>
      <w:tr w:rsidR="00623E2B" w:rsidRPr="00623E2B" w:rsidTr="00623E2B">
        <w:trPr>
          <w:trHeight w:val="290"/>
        </w:trPr>
        <w:tc>
          <w:tcPr>
            <w:tcW w:w="2077" w:type="pct"/>
            <w:vMerge/>
            <w:tcBorders>
              <w:top w:val="nil"/>
              <w:left w:val="nil"/>
              <w:bottom w:val="nil"/>
              <w:right w:val="nil"/>
            </w:tcBorders>
            <w:vAlign w:val="center"/>
            <w:hideMark/>
          </w:tcPr>
          <w:p w:rsidR="00623E2B" w:rsidRPr="00623E2B" w:rsidRDefault="00623E2B" w:rsidP="00623E2B">
            <w:pPr>
              <w:rPr>
                <w:rFonts w:eastAsia="Times New Roman" w:cs="Arial"/>
                <w:b/>
                <w:bCs/>
                <w:color w:val="FFFFFF"/>
                <w:sz w:val="18"/>
                <w:szCs w:val="18"/>
                <w:lang w:eastAsia="en-AU"/>
              </w:rPr>
            </w:pP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2019/20</w:t>
            </w: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2020/21</w:t>
            </w:r>
          </w:p>
        </w:tc>
        <w:tc>
          <w:tcPr>
            <w:tcW w:w="1114" w:type="pct"/>
            <w:gridSpan w:val="2"/>
            <w:vMerge/>
            <w:tcBorders>
              <w:top w:val="nil"/>
              <w:left w:val="nil"/>
              <w:bottom w:val="nil"/>
              <w:right w:val="nil"/>
            </w:tcBorders>
            <w:vAlign w:val="center"/>
            <w:hideMark/>
          </w:tcPr>
          <w:p w:rsidR="00623E2B" w:rsidRPr="00623E2B" w:rsidRDefault="00623E2B" w:rsidP="00623E2B">
            <w:pPr>
              <w:rPr>
                <w:rFonts w:eastAsia="Times New Roman" w:cs="Arial"/>
                <w:b/>
                <w:bCs/>
                <w:color w:val="FFFFFF"/>
                <w:sz w:val="18"/>
                <w:szCs w:val="18"/>
                <w:lang w:eastAsia="en-AU"/>
              </w:rPr>
            </w:pPr>
          </w:p>
        </w:tc>
      </w:tr>
      <w:tr w:rsidR="00623E2B" w:rsidRPr="00623E2B" w:rsidTr="00623E2B">
        <w:trPr>
          <w:trHeight w:val="290"/>
        </w:trPr>
        <w:tc>
          <w:tcPr>
            <w:tcW w:w="2077" w:type="pct"/>
            <w:vMerge/>
            <w:tcBorders>
              <w:top w:val="nil"/>
              <w:left w:val="nil"/>
              <w:bottom w:val="nil"/>
              <w:right w:val="nil"/>
            </w:tcBorders>
            <w:vAlign w:val="center"/>
            <w:hideMark/>
          </w:tcPr>
          <w:p w:rsidR="00623E2B" w:rsidRPr="00623E2B" w:rsidRDefault="00623E2B" w:rsidP="00623E2B">
            <w:pPr>
              <w:rPr>
                <w:rFonts w:eastAsia="Times New Roman" w:cs="Arial"/>
                <w:b/>
                <w:bCs/>
                <w:color w:val="FFFFFF"/>
                <w:sz w:val="18"/>
                <w:szCs w:val="18"/>
                <w:lang w:eastAsia="en-AU"/>
              </w:rPr>
            </w:pP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$’000</w:t>
            </w:r>
          </w:p>
        </w:tc>
        <w:tc>
          <w:tcPr>
            <w:tcW w:w="905"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$’000</w:t>
            </w:r>
          </w:p>
        </w:tc>
        <w:tc>
          <w:tcPr>
            <w:tcW w:w="650"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$’000</w:t>
            </w:r>
          </w:p>
        </w:tc>
        <w:tc>
          <w:tcPr>
            <w:tcW w:w="464" w:type="pct"/>
            <w:tcBorders>
              <w:top w:val="nil"/>
              <w:left w:val="nil"/>
              <w:bottom w:val="nil"/>
              <w:right w:val="nil"/>
            </w:tcBorders>
            <w:shd w:val="clear" w:color="000000" w:fill="5B9BD5"/>
            <w:vAlign w:val="center"/>
            <w:hideMark/>
          </w:tcPr>
          <w:p w:rsidR="00623E2B" w:rsidRPr="00623E2B" w:rsidRDefault="00623E2B" w:rsidP="00623E2B">
            <w:pPr>
              <w:jc w:val="center"/>
              <w:rPr>
                <w:rFonts w:eastAsia="Times New Roman" w:cs="Arial"/>
                <w:b/>
                <w:bCs/>
                <w:color w:val="FFFFFF"/>
                <w:sz w:val="18"/>
                <w:szCs w:val="18"/>
                <w:lang w:eastAsia="en-AU"/>
              </w:rPr>
            </w:pPr>
            <w:r w:rsidRPr="00623E2B">
              <w:rPr>
                <w:rFonts w:eastAsia="Times New Roman" w:cs="Arial"/>
                <w:b/>
                <w:bCs/>
                <w:color w:val="FFFFFF"/>
                <w:sz w:val="18"/>
                <w:szCs w:val="18"/>
                <w:lang w:eastAsia="en-AU"/>
              </w:rPr>
              <w:t>%</w:t>
            </w:r>
          </w:p>
        </w:tc>
      </w:tr>
      <w:tr w:rsidR="00623E2B" w:rsidRPr="00623E2B" w:rsidTr="00623E2B">
        <w:trPr>
          <w:trHeight w:val="290"/>
        </w:trPr>
        <w:tc>
          <w:tcPr>
            <w:tcW w:w="2077" w:type="pct"/>
            <w:tcBorders>
              <w:top w:val="nil"/>
              <w:left w:val="nil"/>
              <w:bottom w:val="nil"/>
              <w:right w:val="nil"/>
            </w:tcBorders>
            <w:shd w:val="clear" w:color="auto" w:fill="auto"/>
            <w:vAlign w:val="center"/>
            <w:hideMark/>
          </w:tcPr>
          <w:p w:rsidR="00623E2B" w:rsidRPr="00623E2B" w:rsidRDefault="00623E2B" w:rsidP="00623E2B">
            <w:pPr>
              <w:jc w:val="both"/>
              <w:rPr>
                <w:rFonts w:eastAsia="Times New Roman" w:cs="Arial"/>
                <w:sz w:val="20"/>
                <w:szCs w:val="20"/>
                <w:lang w:eastAsia="en-AU"/>
              </w:rPr>
            </w:pPr>
            <w:r w:rsidRPr="00623E2B">
              <w:rPr>
                <w:rFonts w:eastAsia="Times New Roman" w:cs="Arial"/>
                <w:sz w:val="20"/>
                <w:szCs w:val="20"/>
                <w:lang w:eastAsia="en-AU"/>
              </w:rPr>
              <w:t>Wages and salaries</w:t>
            </w:r>
          </w:p>
        </w:tc>
        <w:tc>
          <w:tcPr>
            <w:tcW w:w="905"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48,054</w:t>
            </w:r>
          </w:p>
        </w:tc>
        <w:tc>
          <w:tcPr>
            <w:tcW w:w="905" w:type="pct"/>
            <w:tcBorders>
              <w:top w:val="nil"/>
              <w:left w:val="nil"/>
              <w:bottom w:val="nil"/>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49,101</w:t>
            </w:r>
          </w:p>
        </w:tc>
        <w:tc>
          <w:tcPr>
            <w:tcW w:w="650"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1,047</w:t>
            </w:r>
          </w:p>
        </w:tc>
        <w:tc>
          <w:tcPr>
            <w:tcW w:w="464"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2.2%</w:t>
            </w:r>
          </w:p>
        </w:tc>
      </w:tr>
      <w:tr w:rsidR="00623E2B" w:rsidRPr="00623E2B" w:rsidTr="00623E2B">
        <w:trPr>
          <w:trHeight w:val="290"/>
        </w:trPr>
        <w:tc>
          <w:tcPr>
            <w:tcW w:w="2077" w:type="pct"/>
            <w:tcBorders>
              <w:top w:val="nil"/>
              <w:left w:val="nil"/>
              <w:bottom w:val="nil"/>
              <w:right w:val="nil"/>
            </w:tcBorders>
            <w:shd w:val="clear" w:color="auto" w:fill="auto"/>
            <w:vAlign w:val="center"/>
            <w:hideMark/>
          </w:tcPr>
          <w:p w:rsidR="00623E2B" w:rsidRPr="00623E2B" w:rsidRDefault="00623E2B" w:rsidP="00623E2B">
            <w:pPr>
              <w:jc w:val="both"/>
              <w:rPr>
                <w:rFonts w:eastAsia="Times New Roman" w:cs="Arial"/>
                <w:sz w:val="20"/>
                <w:szCs w:val="20"/>
                <w:lang w:eastAsia="en-AU"/>
              </w:rPr>
            </w:pPr>
            <w:r w:rsidRPr="00623E2B">
              <w:rPr>
                <w:rFonts w:eastAsia="Times New Roman" w:cs="Arial"/>
                <w:sz w:val="20"/>
                <w:szCs w:val="20"/>
                <w:lang w:eastAsia="en-AU"/>
              </w:rPr>
              <w:t>WorkCover</w:t>
            </w:r>
          </w:p>
        </w:tc>
        <w:tc>
          <w:tcPr>
            <w:tcW w:w="905"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379</w:t>
            </w:r>
          </w:p>
        </w:tc>
        <w:tc>
          <w:tcPr>
            <w:tcW w:w="905" w:type="pct"/>
            <w:tcBorders>
              <w:top w:val="nil"/>
              <w:left w:val="nil"/>
              <w:bottom w:val="nil"/>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387</w:t>
            </w:r>
          </w:p>
        </w:tc>
        <w:tc>
          <w:tcPr>
            <w:tcW w:w="650"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8</w:t>
            </w:r>
          </w:p>
        </w:tc>
        <w:tc>
          <w:tcPr>
            <w:tcW w:w="464"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2.0%</w:t>
            </w:r>
          </w:p>
        </w:tc>
      </w:tr>
      <w:tr w:rsidR="00623E2B" w:rsidRPr="00623E2B" w:rsidTr="00623E2B">
        <w:trPr>
          <w:trHeight w:val="290"/>
        </w:trPr>
        <w:tc>
          <w:tcPr>
            <w:tcW w:w="2077" w:type="pct"/>
            <w:tcBorders>
              <w:top w:val="nil"/>
              <w:left w:val="nil"/>
              <w:bottom w:val="nil"/>
              <w:right w:val="nil"/>
            </w:tcBorders>
            <w:shd w:val="clear" w:color="auto" w:fill="auto"/>
            <w:vAlign w:val="center"/>
            <w:hideMark/>
          </w:tcPr>
          <w:p w:rsidR="00623E2B" w:rsidRPr="00623E2B" w:rsidRDefault="00623E2B" w:rsidP="00623E2B">
            <w:pPr>
              <w:jc w:val="both"/>
              <w:rPr>
                <w:rFonts w:eastAsia="Times New Roman" w:cs="Arial"/>
                <w:sz w:val="20"/>
                <w:szCs w:val="20"/>
                <w:lang w:eastAsia="en-AU"/>
              </w:rPr>
            </w:pPr>
            <w:r w:rsidRPr="00623E2B">
              <w:rPr>
                <w:rFonts w:eastAsia="Times New Roman" w:cs="Arial"/>
                <w:sz w:val="20"/>
                <w:szCs w:val="20"/>
                <w:lang w:eastAsia="en-AU"/>
              </w:rPr>
              <w:t>Casual staff</w:t>
            </w:r>
          </w:p>
        </w:tc>
        <w:tc>
          <w:tcPr>
            <w:tcW w:w="905"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1,460</w:t>
            </w:r>
          </w:p>
        </w:tc>
        <w:tc>
          <w:tcPr>
            <w:tcW w:w="905" w:type="pct"/>
            <w:tcBorders>
              <w:top w:val="nil"/>
              <w:left w:val="nil"/>
              <w:bottom w:val="nil"/>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1,271</w:t>
            </w:r>
          </w:p>
        </w:tc>
        <w:tc>
          <w:tcPr>
            <w:tcW w:w="650"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(189)</w:t>
            </w:r>
          </w:p>
        </w:tc>
        <w:tc>
          <w:tcPr>
            <w:tcW w:w="464"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(13%)</w:t>
            </w:r>
          </w:p>
        </w:tc>
      </w:tr>
      <w:tr w:rsidR="00623E2B" w:rsidRPr="00623E2B" w:rsidTr="00623E2B">
        <w:trPr>
          <w:trHeight w:val="290"/>
        </w:trPr>
        <w:tc>
          <w:tcPr>
            <w:tcW w:w="2077" w:type="pct"/>
            <w:tcBorders>
              <w:top w:val="nil"/>
              <w:left w:val="nil"/>
              <w:bottom w:val="nil"/>
              <w:right w:val="nil"/>
            </w:tcBorders>
            <w:shd w:val="clear" w:color="auto" w:fill="auto"/>
            <w:vAlign w:val="center"/>
            <w:hideMark/>
          </w:tcPr>
          <w:p w:rsidR="00623E2B" w:rsidRPr="00623E2B" w:rsidRDefault="00623E2B" w:rsidP="00623E2B">
            <w:pPr>
              <w:jc w:val="both"/>
              <w:rPr>
                <w:rFonts w:eastAsia="Times New Roman" w:cs="Arial"/>
                <w:sz w:val="20"/>
                <w:szCs w:val="20"/>
                <w:lang w:eastAsia="en-AU"/>
              </w:rPr>
            </w:pPr>
            <w:r w:rsidRPr="00623E2B">
              <w:rPr>
                <w:rFonts w:eastAsia="Times New Roman" w:cs="Arial"/>
                <w:sz w:val="20"/>
                <w:szCs w:val="20"/>
                <w:lang w:eastAsia="en-AU"/>
              </w:rPr>
              <w:t>Superannuation</w:t>
            </w:r>
          </w:p>
        </w:tc>
        <w:tc>
          <w:tcPr>
            <w:tcW w:w="905"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5,198</w:t>
            </w:r>
          </w:p>
        </w:tc>
        <w:tc>
          <w:tcPr>
            <w:tcW w:w="905" w:type="pct"/>
            <w:tcBorders>
              <w:top w:val="nil"/>
              <w:left w:val="nil"/>
              <w:bottom w:val="nil"/>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5,288</w:t>
            </w:r>
          </w:p>
        </w:tc>
        <w:tc>
          <w:tcPr>
            <w:tcW w:w="650"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90</w:t>
            </w:r>
          </w:p>
        </w:tc>
        <w:tc>
          <w:tcPr>
            <w:tcW w:w="464"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1.7%</w:t>
            </w:r>
          </w:p>
        </w:tc>
      </w:tr>
      <w:tr w:rsidR="00623E2B" w:rsidRPr="00623E2B" w:rsidTr="00623E2B">
        <w:trPr>
          <w:trHeight w:val="300"/>
        </w:trPr>
        <w:tc>
          <w:tcPr>
            <w:tcW w:w="2077" w:type="pct"/>
            <w:tcBorders>
              <w:top w:val="nil"/>
              <w:left w:val="nil"/>
              <w:bottom w:val="nil"/>
              <w:right w:val="nil"/>
            </w:tcBorders>
            <w:shd w:val="clear" w:color="auto" w:fill="auto"/>
            <w:vAlign w:val="center"/>
            <w:hideMark/>
          </w:tcPr>
          <w:p w:rsidR="00623E2B" w:rsidRPr="00623E2B" w:rsidRDefault="00623E2B" w:rsidP="00623E2B">
            <w:pPr>
              <w:rPr>
                <w:rFonts w:eastAsia="Times New Roman" w:cs="Arial"/>
                <w:sz w:val="20"/>
                <w:szCs w:val="20"/>
                <w:lang w:eastAsia="en-AU"/>
              </w:rPr>
            </w:pPr>
            <w:r w:rsidRPr="00623E2B">
              <w:rPr>
                <w:rFonts w:eastAsia="Times New Roman" w:cs="Arial"/>
                <w:sz w:val="20"/>
                <w:szCs w:val="20"/>
                <w:lang w:eastAsia="en-AU"/>
              </w:rPr>
              <w:t>Fringe benefits tax</w:t>
            </w:r>
          </w:p>
        </w:tc>
        <w:tc>
          <w:tcPr>
            <w:tcW w:w="905"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509</w:t>
            </w:r>
          </w:p>
        </w:tc>
        <w:tc>
          <w:tcPr>
            <w:tcW w:w="905" w:type="pct"/>
            <w:tcBorders>
              <w:top w:val="nil"/>
              <w:left w:val="nil"/>
              <w:bottom w:val="nil"/>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528</w:t>
            </w:r>
          </w:p>
        </w:tc>
        <w:tc>
          <w:tcPr>
            <w:tcW w:w="650" w:type="pct"/>
            <w:tcBorders>
              <w:top w:val="nil"/>
              <w:left w:val="nil"/>
              <w:bottom w:val="single" w:sz="8" w:space="0" w:color="auto"/>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19</w:t>
            </w:r>
          </w:p>
        </w:tc>
        <w:tc>
          <w:tcPr>
            <w:tcW w:w="464" w:type="pct"/>
            <w:tcBorders>
              <w:top w:val="nil"/>
              <w:left w:val="nil"/>
              <w:bottom w:val="nil"/>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3.8%</w:t>
            </w:r>
          </w:p>
        </w:tc>
      </w:tr>
      <w:tr w:rsidR="00623E2B" w:rsidRPr="00623E2B" w:rsidTr="00623E2B">
        <w:trPr>
          <w:trHeight w:val="300"/>
        </w:trPr>
        <w:tc>
          <w:tcPr>
            <w:tcW w:w="2077" w:type="pct"/>
            <w:tcBorders>
              <w:top w:val="nil"/>
              <w:left w:val="nil"/>
              <w:bottom w:val="single" w:sz="8" w:space="0" w:color="auto"/>
              <w:right w:val="nil"/>
            </w:tcBorders>
            <w:shd w:val="clear" w:color="auto" w:fill="auto"/>
            <w:vAlign w:val="center"/>
            <w:hideMark/>
          </w:tcPr>
          <w:p w:rsidR="00623E2B" w:rsidRPr="00623E2B" w:rsidRDefault="00623E2B" w:rsidP="00623E2B">
            <w:pPr>
              <w:jc w:val="both"/>
              <w:rPr>
                <w:rFonts w:eastAsia="Times New Roman" w:cs="Arial"/>
                <w:b/>
                <w:bCs/>
                <w:sz w:val="20"/>
                <w:szCs w:val="20"/>
                <w:lang w:eastAsia="en-AU"/>
              </w:rPr>
            </w:pPr>
            <w:r w:rsidRPr="00623E2B">
              <w:rPr>
                <w:rFonts w:eastAsia="Times New Roman" w:cs="Arial"/>
                <w:b/>
                <w:bCs/>
                <w:sz w:val="20"/>
                <w:szCs w:val="20"/>
                <w:lang w:eastAsia="en-AU"/>
              </w:rPr>
              <w:t>Total employee costs</w:t>
            </w:r>
          </w:p>
        </w:tc>
        <w:tc>
          <w:tcPr>
            <w:tcW w:w="905" w:type="pct"/>
            <w:tcBorders>
              <w:top w:val="single" w:sz="8" w:space="0" w:color="auto"/>
              <w:left w:val="nil"/>
              <w:bottom w:val="single" w:sz="8" w:space="0" w:color="auto"/>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55,599</w:t>
            </w:r>
          </w:p>
        </w:tc>
        <w:tc>
          <w:tcPr>
            <w:tcW w:w="905" w:type="pct"/>
            <w:tcBorders>
              <w:top w:val="single" w:sz="8" w:space="0" w:color="auto"/>
              <w:left w:val="nil"/>
              <w:bottom w:val="single" w:sz="8" w:space="0" w:color="auto"/>
              <w:right w:val="nil"/>
            </w:tcBorders>
            <w:shd w:val="clear" w:color="000000" w:fill="DDEBF7"/>
            <w:vAlign w:val="center"/>
            <w:hideMark/>
          </w:tcPr>
          <w:p w:rsidR="00623E2B" w:rsidRPr="00623E2B" w:rsidRDefault="00623E2B" w:rsidP="00623E2B">
            <w:pPr>
              <w:jc w:val="right"/>
              <w:rPr>
                <w:rFonts w:eastAsia="Times New Roman" w:cs="Arial"/>
                <w:b/>
                <w:bCs/>
                <w:sz w:val="20"/>
                <w:szCs w:val="20"/>
                <w:lang w:eastAsia="en-AU"/>
              </w:rPr>
            </w:pPr>
            <w:r w:rsidRPr="00623E2B">
              <w:rPr>
                <w:rFonts w:eastAsia="Times New Roman" w:cs="Arial"/>
                <w:b/>
                <w:bCs/>
                <w:sz w:val="20"/>
                <w:szCs w:val="20"/>
                <w:lang w:eastAsia="en-AU"/>
              </w:rPr>
              <w:t>56,574</w:t>
            </w:r>
          </w:p>
        </w:tc>
        <w:tc>
          <w:tcPr>
            <w:tcW w:w="650" w:type="pct"/>
            <w:tcBorders>
              <w:top w:val="nil"/>
              <w:left w:val="nil"/>
              <w:bottom w:val="single" w:sz="8" w:space="0" w:color="auto"/>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974</w:t>
            </w:r>
          </w:p>
        </w:tc>
        <w:tc>
          <w:tcPr>
            <w:tcW w:w="464" w:type="pct"/>
            <w:tcBorders>
              <w:top w:val="single" w:sz="8" w:space="0" w:color="auto"/>
              <w:left w:val="nil"/>
              <w:bottom w:val="single" w:sz="8" w:space="0" w:color="auto"/>
              <w:right w:val="nil"/>
            </w:tcBorders>
            <w:shd w:val="clear" w:color="auto" w:fill="auto"/>
            <w:vAlign w:val="center"/>
            <w:hideMark/>
          </w:tcPr>
          <w:p w:rsidR="00623E2B" w:rsidRPr="00623E2B" w:rsidRDefault="00623E2B" w:rsidP="00623E2B">
            <w:pPr>
              <w:jc w:val="right"/>
              <w:rPr>
                <w:rFonts w:eastAsia="Times New Roman" w:cs="Arial"/>
                <w:sz w:val="20"/>
                <w:szCs w:val="20"/>
                <w:lang w:eastAsia="en-AU"/>
              </w:rPr>
            </w:pPr>
            <w:r w:rsidRPr="00623E2B">
              <w:rPr>
                <w:rFonts w:eastAsia="Times New Roman" w:cs="Arial"/>
                <w:sz w:val="20"/>
                <w:szCs w:val="20"/>
                <w:lang w:eastAsia="en-AU"/>
              </w:rPr>
              <w:t>1.8%</w:t>
            </w:r>
          </w:p>
        </w:tc>
      </w:tr>
    </w:tbl>
    <w:p w:rsidR="00EE2C57" w:rsidRDefault="00EE2C57" w:rsidP="00EE2C57">
      <w:pPr>
        <w:spacing w:after="20"/>
        <w:rPr>
          <w:rFonts w:eastAsia="Times New Roman" w:cs="Arial"/>
          <w:b/>
          <w:bCs/>
          <w:color w:val="4A66AC" w:themeColor="accent1"/>
          <w:lang w:eastAsia="en-AU"/>
        </w:rPr>
      </w:pPr>
    </w:p>
    <w:p w:rsidR="00B569C8" w:rsidRPr="0029462D" w:rsidRDefault="00B569C8" w:rsidP="00B569C8">
      <w:pPr>
        <w:jc w:val="both"/>
        <w:rPr>
          <w:rFonts w:eastAsia="Times New Roman" w:cs="Arial"/>
        </w:rPr>
      </w:pPr>
      <w:r w:rsidRPr="0029462D">
        <w:rPr>
          <w:rFonts w:eastAsia="Times New Roman" w:cs="Arial"/>
        </w:rPr>
        <w:t>Employee costs include all labour related expenditure such as</w:t>
      </w:r>
      <w:r w:rsidRPr="0029462D">
        <w:rPr>
          <w:rFonts w:eastAsia="Times New Roman" w:cs="Arial"/>
          <w:color w:val="FF0000"/>
        </w:rPr>
        <w:t xml:space="preserve"> </w:t>
      </w:r>
      <w:r w:rsidRPr="0029462D">
        <w:rPr>
          <w:rFonts w:eastAsia="Times New Roman" w:cs="Arial"/>
        </w:rPr>
        <w:t xml:space="preserve">salaries and on-costs (employer superannuation, long service leave and workcover), allowances, overtime and annual leave loading etc. </w:t>
      </w:r>
    </w:p>
    <w:p w:rsidR="00B569C8" w:rsidRPr="0029462D" w:rsidRDefault="00B569C8" w:rsidP="00B569C8">
      <w:pPr>
        <w:rPr>
          <w:rFonts w:eastAsia="Times New Roman" w:cs="Arial"/>
          <w:color w:val="FF0000"/>
        </w:rPr>
      </w:pPr>
    </w:p>
    <w:p w:rsidR="00B569C8" w:rsidRPr="00450929" w:rsidRDefault="00B569C8" w:rsidP="00643FA2">
      <w:pPr>
        <w:jc w:val="both"/>
        <w:rPr>
          <w:rFonts w:cs="Arial"/>
        </w:rPr>
      </w:pPr>
      <w:r w:rsidRPr="0029462D">
        <w:rPr>
          <w:rFonts w:eastAsia="Times New Roman" w:cs="Arial"/>
        </w:rPr>
        <w:t xml:space="preserve">Employee costs are </w:t>
      </w:r>
      <w:r w:rsidRPr="00450929">
        <w:rPr>
          <w:rFonts w:eastAsia="Times New Roman" w:cs="Arial"/>
        </w:rPr>
        <w:t xml:space="preserve">forecast to increase by </w:t>
      </w:r>
      <w:r w:rsidR="00450929" w:rsidRPr="00450929">
        <w:rPr>
          <w:rFonts w:eastAsia="Times New Roman" w:cs="Arial"/>
        </w:rPr>
        <w:t>1.</w:t>
      </w:r>
      <w:r w:rsidR="00934919">
        <w:rPr>
          <w:rFonts w:eastAsia="Times New Roman" w:cs="Arial"/>
        </w:rPr>
        <w:t>8</w:t>
      </w:r>
      <w:r w:rsidRPr="00450929">
        <w:rPr>
          <w:rFonts w:eastAsia="Times New Roman" w:cs="Arial"/>
        </w:rPr>
        <w:t>% or $</w:t>
      </w:r>
      <w:r w:rsidR="00450929" w:rsidRPr="00450929">
        <w:rPr>
          <w:rFonts w:eastAsia="Times New Roman" w:cs="Arial"/>
        </w:rPr>
        <w:t>0.9</w:t>
      </w:r>
      <w:r w:rsidR="00FB108C">
        <w:rPr>
          <w:rFonts w:eastAsia="Times New Roman" w:cs="Arial"/>
        </w:rPr>
        <w:t>7</w:t>
      </w:r>
      <w:r w:rsidRPr="00450929">
        <w:rPr>
          <w:rFonts w:eastAsia="Times New Roman" w:cs="Arial"/>
        </w:rPr>
        <w:t xml:space="preserve"> million </w:t>
      </w:r>
      <w:r w:rsidRPr="0029462D">
        <w:rPr>
          <w:rFonts w:eastAsia="Times New Roman" w:cs="Arial"/>
        </w:rPr>
        <w:t xml:space="preserve">compared to </w:t>
      </w:r>
      <w:r w:rsidRPr="0029462D">
        <w:rPr>
          <w:rFonts w:eastAsia="Times New Roman" w:cs="Arial"/>
          <w:lang w:eastAsia="en-AU"/>
        </w:rPr>
        <w:t>201</w:t>
      </w:r>
      <w:r w:rsidR="00A13448">
        <w:rPr>
          <w:rFonts w:eastAsia="Times New Roman" w:cs="Arial"/>
          <w:lang w:eastAsia="en-AU"/>
        </w:rPr>
        <w:t>9</w:t>
      </w:r>
      <w:r w:rsidRPr="0029462D">
        <w:rPr>
          <w:rFonts w:eastAsia="Times New Roman" w:cs="Arial"/>
          <w:lang w:eastAsia="en-AU"/>
        </w:rPr>
        <w:t>/</w:t>
      </w:r>
      <w:r w:rsidR="00A13448">
        <w:rPr>
          <w:rFonts w:eastAsia="Times New Roman" w:cs="Arial"/>
          <w:lang w:eastAsia="en-AU"/>
        </w:rPr>
        <w:t>20</w:t>
      </w:r>
      <w:r w:rsidRPr="0029462D">
        <w:rPr>
          <w:rFonts w:eastAsia="Times New Roman" w:cs="Arial"/>
        </w:rPr>
        <w:t xml:space="preserve">. This increase relates </w:t>
      </w:r>
      <w:r w:rsidR="00643FA2" w:rsidRPr="00643FA2">
        <w:rPr>
          <w:rFonts w:eastAsia="Times New Roman" w:cs="Arial"/>
        </w:rPr>
        <w:t>mainly t</w:t>
      </w:r>
      <w:r w:rsidRPr="00643FA2">
        <w:rPr>
          <w:rFonts w:eastAsia="Times New Roman" w:cs="Arial"/>
        </w:rPr>
        <w:t>o a number of factors</w:t>
      </w:r>
      <w:r w:rsidR="00643FA2">
        <w:rPr>
          <w:rFonts w:eastAsia="Times New Roman" w:cs="Arial"/>
        </w:rPr>
        <w:t>.</w:t>
      </w:r>
      <w:r w:rsidRPr="0029462D">
        <w:rPr>
          <w:rFonts w:cs="Arial"/>
        </w:rPr>
        <w:t xml:space="preserve">  Employee costs are aligned with the</w:t>
      </w:r>
      <w:r w:rsidR="00643FA2">
        <w:rPr>
          <w:rFonts w:cs="Arial"/>
        </w:rPr>
        <w:t xml:space="preserve"> anticipated</w:t>
      </w:r>
      <w:r w:rsidRPr="0029462D">
        <w:rPr>
          <w:rFonts w:cs="Arial"/>
        </w:rPr>
        <w:t xml:space="preserve"> Enterprise Bargaining Agreement (EBA) </w:t>
      </w:r>
      <w:r w:rsidRPr="00450929">
        <w:rPr>
          <w:rFonts w:cs="Arial"/>
        </w:rPr>
        <w:t>outcomes for 20</w:t>
      </w:r>
      <w:r w:rsidR="00450929" w:rsidRPr="00450929">
        <w:rPr>
          <w:rFonts w:cs="Arial"/>
        </w:rPr>
        <w:t>20</w:t>
      </w:r>
      <w:r w:rsidRPr="00450929">
        <w:rPr>
          <w:rFonts w:cs="Arial"/>
        </w:rPr>
        <w:t>/</w:t>
      </w:r>
      <w:r w:rsidR="00B61D70" w:rsidRPr="00450929">
        <w:rPr>
          <w:rFonts w:cs="Arial"/>
        </w:rPr>
        <w:t>2</w:t>
      </w:r>
      <w:r w:rsidR="00450929" w:rsidRPr="00450929">
        <w:rPr>
          <w:rFonts w:cs="Arial"/>
        </w:rPr>
        <w:t>1</w:t>
      </w:r>
      <w:r w:rsidRPr="00450929">
        <w:rPr>
          <w:rFonts w:cs="Arial"/>
        </w:rPr>
        <w:t>, together with projected movement of employees within employment bands.</w:t>
      </w:r>
    </w:p>
    <w:p w:rsidR="00BF61DA" w:rsidRDefault="00BF61DA">
      <w:pPr>
        <w:rPr>
          <w:rFonts w:eastAsia="Times New Roman" w:cs="Arial"/>
        </w:rPr>
      </w:pPr>
      <w:r>
        <w:rPr>
          <w:rFonts w:eastAsia="Times New Roman" w:cs="Arial"/>
        </w:rPr>
        <w:br w:type="page"/>
      </w:r>
    </w:p>
    <w:p w:rsidR="00BF61DA" w:rsidRDefault="001E7276" w:rsidP="00BF61DA">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BF61DA" w:rsidRPr="003254DF">
        <w:rPr>
          <w:rFonts w:eastAsia="Times New Roman" w:cs="Arial"/>
          <w:b/>
          <w:bCs/>
          <w:color w:val="4A66AC" w:themeColor="accent1"/>
          <w:lang w:eastAsia="en-AU"/>
        </w:rPr>
        <w:t>.1.8 Materials and services</w:t>
      </w:r>
    </w:p>
    <w:p w:rsidR="00BF61DA" w:rsidRDefault="00BF61DA" w:rsidP="00BF61DA">
      <w:pPr>
        <w:spacing w:after="20"/>
        <w:rPr>
          <w:rFonts w:eastAsia="Times New Roman" w:cs="Arial"/>
          <w:b/>
          <w:bCs/>
          <w:color w:val="4A66AC" w:themeColor="accent1"/>
          <w:lang w:eastAsia="en-AU"/>
        </w:rPr>
      </w:pPr>
    </w:p>
    <w:tbl>
      <w:tblPr>
        <w:tblW w:w="8920" w:type="dxa"/>
        <w:tblLook w:val="04A0" w:firstRow="1" w:lastRow="0" w:firstColumn="1" w:lastColumn="0" w:noHBand="0" w:noVBand="1"/>
      </w:tblPr>
      <w:tblGrid>
        <w:gridCol w:w="4919"/>
        <w:gridCol w:w="1004"/>
        <w:gridCol w:w="944"/>
        <w:gridCol w:w="933"/>
        <w:gridCol w:w="1120"/>
      </w:tblGrid>
      <w:tr w:rsidR="0032377D" w:rsidRPr="0032377D" w:rsidTr="0032377D">
        <w:trPr>
          <w:trHeight w:val="460"/>
        </w:trPr>
        <w:tc>
          <w:tcPr>
            <w:tcW w:w="4919"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 </w:t>
            </w:r>
          </w:p>
        </w:tc>
        <w:tc>
          <w:tcPr>
            <w:tcW w:w="100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Forecast Actual</w:t>
            </w:r>
          </w:p>
        </w:tc>
        <w:tc>
          <w:tcPr>
            <w:tcW w:w="94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Budget</w:t>
            </w:r>
          </w:p>
        </w:tc>
        <w:tc>
          <w:tcPr>
            <w:tcW w:w="2053" w:type="dxa"/>
            <w:gridSpan w:val="2"/>
            <w:vMerge w:val="restart"/>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Change</w:t>
            </w:r>
          </w:p>
        </w:tc>
      </w:tr>
      <w:tr w:rsidR="0032377D" w:rsidRPr="0032377D" w:rsidTr="0032377D">
        <w:trPr>
          <w:trHeight w:val="290"/>
        </w:trPr>
        <w:tc>
          <w:tcPr>
            <w:tcW w:w="4919"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 </w:t>
            </w:r>
          </w:p>
        </w:tc>
        <w:tc>
          <w:tcPr>
            <w:tcW w:w="100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2019/20</w:t>
            </w:r>
          </w:p>
        </w:tc>
        <w:tc>
          <w:tcPr>
            <w:tcW w:w="94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2020/21</w:t>
            </w:r>
          </w:p>
        </w:tc>
        <w:tc>
          <w:tcPr>
            <w:tcW w:w="2053" w:type="dxa"/>
            <w:gridSpan w:val="2"/>
            <w:vMerge/>
            <w:tcBorders>
              <w:top w:val="nil"/>
              <w:left w:val="nil"/>
              <w:bottom w:val="nil"/>
              <w:right w:val="nil"/>
            </w:tcBorders>
            <w:vAlign w:val="center"/>
            <w:hideMark/>
          </w:tcPr>
          <w:p w:rsidR="0032377D" w:rsidRPr="0032377D" w:rsidRDefault="0032377D" w:rsidP="0032377D">
            <w:pPr>
              <w:rPr>
                <w:rFonts w:eastAsia="Times New Roman" w:cs="Arial"/>
                <w:b/>
                <w:bCs/>
                <w:color w:val="FFFFFF"/>
                <w:sz w:val="18"/>
                <w:szCs w:val="18"/>
                <w:lang w:eastAsia="en-AU"/>
              </w:rPr>
            </w:pPr>
          </w:p>
        </w:tc>
      </w:tr>
      <w:tr w:rsidR="0032377D" w:rsidRPr="0032377D" w:rsidTr="0032377D">
        <w:trPr>
          <w:trHeight w:val="460"/>
        </w:trPr>
        <w:tc>
          <w:tcPr>
            <w:tcW w:w="4919" w:type="dxa"/>
            <w:tcBorders>
              <w:top w:val="nil"/>
              <w:left w:val="nil"/>
              <w:bottom w:val="nil"/>
              <w:right w:val="nil"/>
            </w:tcBorders>
            <w:shd w:val="clear" w:color="000000" w:fill="5B9BD5"/>
            <w:vAlign w:val="center"/>
            <w:hideMark/>
          </w:tcPr>
          <w:p w:rsidR="0032377D" w:rsidRPr="0032377D" w:rsidRDefault="0032377D" w:rsidP="0032377D">
            <w:pPr>
              <w:rPr>
                <w:rFonts w:eastAsia="Times New Roman" w:cs="Arial"/>
                <w:b/>
                <w:bCs/>
                <w:color w:val="FFFFFF"/>
                <w:sz w:val="18"/>
                <w:szCs w:val="18"/>
                <w:lang w:eastAsia="en-AU"/>
              </w:rPr>
            </w:pPr>
            <w:r>
              <w:rPr>
                <w:rFonts w:eastAsia="Times New Roman" w:cs="Arial"/>
                <w:b/>
                <w:bCs/>
                <w:color w:val="FFFFFF"/>
                <w:sz w:val="18"/>
                <w:szCs w:val="18"/>
                <w:lang w:eastAsia="en-AU"/>
              </w:rPr>
              <w:t>Classification</w:t>
            </w:r>
          </w:p>
        </w:tc>
        <w:tc>
          <w:tcPr>
            <w:tcW w:w="100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$’000</w:t>
            </w:r>
          </w:p>
        </w:tc>
        <w:tc>
          <w:tcPr>
            <w:tcW w:w="944"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$’000</w:t>
            </w:r>
          </w:p>
        </w:tc>
        <w:tc>
          <w:tcPr>
            <w:tcW w:w="933"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$’000</w:t>
            </w:r>
          </w:p>
        </w:tc>
        <w:tc>
          <w:tcPr>
            <w:tcW w:w="1120" w:type="dxa"/>
            <w:tcBorders>
              <w:top w:val="nil"/>
              <w:left w:val="nil"/>
              <w:bottom w:val="nil"/>
              <w:right w:val="nil"/>
            </w:tcBorders>
            <w:shd w:val="clear" w:color="000000" w:fill="5B9BD5"/>
            <w:vAlign w:val="center"/>
            <w:hideMark/>
          </w:tcPr>
          <w:p w:rsidR="0032377D" w:rsidRPr="0032377D" w:rsidRDefault="0032377D" w:rsidP="0032377D">
            <w:pPr>
              <w:jc w:val="center"/>
              <w:rPr>
                <w:rFonts w:eastAsia="Times New Roman" w:cs="Arial"/>
                <w:b/>
                <w:bCs/>
                <w:color w:val="FFFFFF"/>
                <w:sz w:val="18"/>
                <w:szCs w:val="18"/>
                <w:lang w:eastAsia="en-AU"/>
              </w:rPr>
            </w:pPr>
            <w:r w:rsidRPr="0032377D">
              <w:rPr>
                <w:rFonts w:eastAsia="Times New Roman" w:cs="Arial"/>
                <w:b/>
                <w:bCs/>
                <w:color w:val="FFFFFF"/>
                <w:sz w:val="18"/>
                <w:szCs w:val="18"/>
                <w:lang w:eastAsia="en-AU"/>
              </w:rPr>
              <w:t>%</w:t>
            </w:r>
          </w:p>
        </w:tc>
      </w:tr>
      <w:tr w:rsidR="0032377D" w:rsidRPr="0032377D" w:rsidTr="0032377D">
        <w:trPr>
          <w:trHeight w:val="396"/>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Agency Staff</w:t>
            </w:r>
          </w:p>
        </w:tc>
        <w:tc>
          <w:tcPr>
            <w:tcW w:w="1004" w:type="dxa"/>
            <w:tcBorders>
              <w:top w:val="nil"/>
              <w:left w:val="nil"/>
              <w:bottom w:val="nil"/>
              <w:right w:val="nil"/>
            </w:tcBorders>
            <w:shd w:val="clear" w:color="auto" w:fill="auto"/>
            <w:vAlign w:val="bottom"/>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745</w:t>
            </w:r>
          </w:p>
        </w:tc>
        <w:tc>
          <w:tcPr>
            <w:tcW w:w="944" w:type="dxa"/>
            <w:tcBorders>
              <w:top w:val="nil"/>
              <w:left w:val="nil"/>
              <w:bottom w:val="nil"/>
              <w:right w:val="nil"/>
            </w:tcBorders>
            <w:shd w:val="clear" w:color="000000" w:fill="DDEBF7"/>
            <w:vAlign w:val="bottom"/>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443</w:t>
            </w:r>
          </w:p>
        </w:tc>
        <w:tc>
          <w:tcPr>
            <w:tcW w:w="933" w:type="dxa"/>
            <w:tcBorders>
              <w:top w:val="nil"/>
              <w:left w:val="nil"/>
              <w:bottom w:val="nil"/>
              <w:right w:val="nil"/>
            </w:tcBorders>
            <w:shd w:val="clear" w:color="auto" w:fill="auto"/>
            <w:vAlign w:val="bottom"/>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(302)</w:t>
            </w:r>
          </w:p>
        </w:tc>
        <w:tc>
          <w:tcPr>
            <w:tcW w:w="1120" w:type="dxa"/>
            <w:tcBorders>
              <w:top w:val="nil"/>
              <w:left w:val="nil"/>
              <w:bottom w:val="nil"/>
              <w:right w:val="nil"/>
            </w:tcBorders>
            <w:shd w:val="clear" w:color="auto" w:fill="auto"/>
            <w:vAlign w:val="bottom"/>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(40.5%)</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Apprentices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437</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529</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93</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21.2%</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Bank Charges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333</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378</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45</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13.6%</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Cleaning</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868</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822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(47)</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(5.4%)</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Communications, Postage &amp; Advertising</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1,327</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1,502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175</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13.2%</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Consultants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1,055</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658</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(396)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(37.6%)</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Cost of Goods Sold</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778</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584</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(194)</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(25.0%)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Fire Services Levy</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112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112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Food costs - Meals on Wheels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506</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467</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(38)</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(7.6%)</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Fuels, Oil, Registrations &amp; Running Costs - Plant &amp; Fleet</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1,068</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1,088</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1.9%</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Grants to Community</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450</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526</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76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17.0%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Insurance</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916</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1,091</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174</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19.0%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Legal Fees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677</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863</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186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27.5%</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Library Contribution</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2,679</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2,733</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55</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Licence Fees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233</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287</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54</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23.4%</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Maintenance</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3,310</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3,446</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4.1%</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Marketing and Promotion</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242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182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(60)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(24.9%)</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Materials - depot &amp; golf courses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1,182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1,096</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(86)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(7.3%)</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Memberships/Subscriptions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223</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169</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(55)</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(24.4%)</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Printing and stationary</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152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152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(0.4%)</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Security</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312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328</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5.3%</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Training</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386</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372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(3.4%)</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Uniforms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91</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88</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(3.5%)</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Utilities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3,741</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4,195</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455</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12.2%</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Other</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4,413</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4,017</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(396)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(9.0%)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 xml:space="preserve">Contract payments - </w:t>
            </w:r>
            <w:r w:rsidR="00884563" w:rsidRPr="0032377D">
              <w:rPr>
                <w:rFonts w:ascii="Calibri" w:eastAsia="Times New Roman" w:hAnsi="Calibri" w:cs="Calibri"/>
                <w:color w:val="000000"/>
                <w:lang w:eastAsia="en-AU"/>
              </w:rPr>
              <w:t>Home Care</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(40)</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0</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(100.0%)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Contract payments - Waste</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13,126</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14,382</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1,256</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9.6%</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Contract payments - Operations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4,167</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4,624</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458</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11.0%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Contract payments - Valuations</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0</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0.0%</w:t>
            </w:r>
          </w:p>
        </w:tc>
      </w:tr>
      <w:tr w:rsidR="0032377D" w:rsidRPr="0032377D" w:rsidTr="0032377D">
        <w:trPr>
          <w:trHeight w:val="29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Contract payments - Election</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0</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560</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560</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100.0%</w:t>
            </w:r>
          </w:p>
        </w:tc>
      </w:tr>
      <w:tr w:rsidR="0032377D" w:rsidRPr="0032377D" w:rsidTr="0032377D">
        <w:trPr>
          <w:trHeight w:val="300"/>
        </w:trPr>
        <w:tc>
          <w:tcPr>
            <w:tcW w:w="4919" w:type="dxa"/>
            <w:tcBorders>
              <w:top w:val="nil"/>
              <w:left w:val="nil"/>
              <w:bottom w:val="nil"/>
              <w:right w:val="nil"/>
            </w:tcBorders>
            <w:shd w:val="clear" w:color="auto" w:fill="auto"/>
            <w:noWrap/>
            <w:vAlign w:val="bottom"/>
            <w:hideMark/>
          </w:tcPr>
          <w:p w:rsidR="0032377D" w:rsidRPr="0032377D" w:rsidRDefault="0032377D" w:rsidP="0032377D">
            <w:pPr>
              <w:rPr>
                <w:rFonts w:ascii="Calibri" w:eastAsia="Times New Roman" w:hAnsi="Calibri" w:cs="Calibri"/>
                <w:color w:val="000000"/>
                <w:lang w:eastAsia="en-AU"/>
              </w:rPr>
            </w:pPr>
            <w:r w:rsidRPr="0032377D">
              <w:rPr>
                <w:rFonts w:ascii="Calibri" w:eastAsia="Times New Roman" w:hAnsi="Calibri" w:cs="Calibri"/>
                <w:color w:val="000000"/>
                <w:lang w:eastAsia="en-AU"/>
              </w:rPr>
              <w:t>Contractors - Other</w:t>
            </w:r>
          </w:p>
        </w:tc>
        <w:tc>
          <w:tcPr>
            <w:tcW w:w="1004"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6,872</w:t>
            </w:r>
          </w:p>
        </w:tc>
        <w:tc>
          <w:tcPr>
            <w:tcW w:w="944" w:type="dxa"/>
            <w:tcBorders>
              <w:top w:val="nil"/>
              <w:left w:val="nil"/>
              <w:bottom w:val="nil"/>
              <w:right w:val="nil"/>
            </w:tcBorders>
            <w:shd w:val="clear" w:color="000000" w:fill="DDEBF7"/>
            <w:vAlign w:val="center"/>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5,214</w:t>
            </w:r>
          </w:p>
        </w:tc>
        <w:tc>
          <w:tcPr>
            <w:tcW w:w="933"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(1,658)</w:t>
            </w:r>
          </w:p>
        </w:tc>
        <w:tc>
          <w:tcPr>
            <w:tcW w:w="1120" w:type="dxa"/>
            <w:tcBorders>
              <w:top w:val="nil"/>
              <w:left w:val="nil"/>
              <w:bottom w:val="nil"/>
              <w:right w:val="nil"/>
            </w:tcBorders>
            <w:shd w:val="clear" w:color="auto" w:fill="auto"/>
            <w:vAlign w:val="center"/>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(24.1%)</w:t>
            </w:r>
          </w:p>
        </w:tc>
      </w:tr>
      <w:tr w:rsidR="0032377D" w:rsidRPr="0032377D" w:rsidTr="0032377D">
        <w:trPr>
          <w:trHeight w:val="300"/>
        </w:trPr>
        <w:tc>
          <w:tcPr>
            <w:tcW w:w="4919" w:type="dxa"/>
            <w:tcBorders>
              <w:top w:val="nil"/>
              <w:left w:val="nil"/>
              <w:bottom w:val="nil"/>
              <w:right w:val="nil"/>
            </w:tcBorders>
            <w:shd w:val="clear" w:color="auto" w:fill="auto"/>
            <w:noWrap/>
            <w:vAlign w:val="bottom"/>
            <w:hideMark/>
          </w:tcPr>
          <w:p w:rsidR="0032377D" w:rsidRPr="0032377D" w:rsidRDefault="0032377D" w:rsidP="0032377D">
            <w:pPr>
              <w:jc w:val="right"/>
              <w:rPr>
                <w:rFonts w:eastAsia="Times New Roman" w:cs="Arial"/>
                <w:sz w:val="20"/>
                <w:szCs w:val="20"/>
                <w:lang w:eastAsia="en-AU"/>
              </w:rPr>
            </w:pPr>
          </w:p>
        </w:tc>
        <w:tc>
          <w:tcPr>
            <w:tcW w:w="1004" w:type="dxa"/>
            <w:tcBorders>
              <w:top w:val="single" w:sz="8" w:space="0" w:color="auto"/>
              <w:left w:val="nil"/>
              <w:bottom w:val="single" w:sz="8" w:space="0" w:color="auto"/>
              <w:right w:val="nil"/>
            </w:tcBorders>
            <w:shd w:val="clear" w:color="auto" w:fill="auto"/>
            <w:vAlign w:val="bottom"/>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 xml:space="preserve">               50,358 </w:t>
            </w:r>
          </w:p>
        </w:tc>
        <w:tc>
          <w:tcPr>
            <w:tcW w:w="944" w:type="dxa"/>
            <w:tcBorders>
              <w:top w:val="single" w:sz="8" w:space="0" w:color="auto"/>
              <w:left w:val="nil"/>
              <w:bottom w:val="single" w:sz="8" w:space="0" w:color="auto"/>
              <w:right w:val="nil"/>
            </w:tcBorders>
            <w:shd w:val="clear" w:color="000000" w:fill="DDEBF7"/>
            <w:vAlign w:val="bottom"/>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 xml:space="preserve">               50,908 </w:t>
            </w:r>
          </w:p>
        </w:tc>
        <w:tc>
          <w:tcPr>
            <w:tcW w:w="933" w:type="dxa"/>
            <w:tcBorders>
              <w:top w:val="single" w:sz="8" w:space="0" w:color="auto"/>
              <w:left w:val="nil"/>
              <w:bottom w:val="single" w:sz="8" w:space="0" w:color="auto"/>
              <w:right w:val="nil"/>
            </w:tcBorders>
            <w:shd w:val="clear" w:color="000000" w:fill="DDEBF7"/>
            <w:vAlign w:val="bottom"/>
            <w:hideMark/>
          </w:tcPr>
          <w:p w:rsidR="0032377D" w:rsidRPr="0032377D" w:rsidRDefault="0032377D" w:rsidP="0032377D">
            <w:pPr>
              <w:jc w:val="right"/>
              <w:rPr>
                <w:rFonts w:eastAsia="Times New Roman" w:cs="Arial"/>
                <w:b/>
                <w:bCs/>
                <w:sz w:val="20"/>
                <w:szCs w:val="20"/>
                <w:lang w:eastAsia="en-AU"/>
              </w:rPr>
            </w:pPr>
            <w:r w:rsidRPr="0032377D">
              <w:rPr>
                <w:rFonts w:eastAsia="Times New Roman" w:cs="Arial"/>
                <w:b/>
                <w:bCs/>
                <w:sz w:val="20"/>
                <w:szCs w:val="20"/>
                <w:lang w:eastAsia="en-AU"/>
              </w:rPr>
              <w:t>550</w:t>
            </w:r>
          </w:p>
        </w:tc>
        <w:tc>
          <w:tcPr>
            <w:tcW w:w="1120" w:type="dxa"/>
            <w:tcBorders>
              <w:top w:val="single" w:sz="8" w:space="0" w:color="auto"/>
              <w:left w:val="nil"/>
              <w:bottom w:val="single" w:sz="8" w:space="0" w:color="auto"/>
              <w:right w:val="nil"/>
            </w:tcBorders>
            <w:shd w:val="clear" w:color="auto" w:fill="auto"/>
            <w:vAlign w:val="bottom"/>
            <w:hideMark/>
          </w:tcPr>
          <w:p w:rsidR="0032377D" w:rsidRPr="0032377D" w:rsidRDefault="0032377D" w:rsidP="0032377D">
            <w:pPr>
              <w:jc w:val="right"/>
              <w:rPr>
                <w:rFonts w:eastAsia="Times New Roman" w:cs="Arial"/>
                <w:sz w:val="20"/>
                <w:szCs w:val="20"/>
                <w:lang w:eastAsia="en-AU"/>
              </w:rPr>
            </w:pPr>
            <w:r w:rsidRPr="0032377D">
              <w:rPr>
                <w:rFonts w:eastAsia="Times New Roman" w:cs="Arial"/>
                <w:sz w:val="20"/>
                <w:szCs w:val="20"/>
                <w:lang w:eastAsia="en-AU"/>
              </w:rPr>
              <w:t>1.1%</w:t>
            </w:r>
          </w:p>
        </w:tc>
      </w:tr>
    </w:tbl>
    <w:p w:rsidR="00BF61DA" w:rsidRDefault="00BF61DA" w:rsidP="00BF61DA">
      <w:pPr>
        <w:spacing w:after="20"/>
        <w:rPr>
          <w:rFonts w:eastAsia="Times New Roman" w:cs="Arial"/>
          <w:b/>
          <w:bCs/>
          <w:color w:val="4A66AC" w:themeColor="accent1"/>
          <w:lang w:eastAsia="en-AU"/>
        </w:rPr>
      </w:pPr>
    </w:p>
    <w:p w:rsidR="001A0115" w:rsidRPr="00D179D4" w:rsidRDefault="00602B1D" w:rsidP="001A0115">
      <w:pPr>
        <w:jc w:val="both"/>
        <w:rPr>
          <w:rFonts w:eastAsia="Times New Roman" w:cs="Arial"/>
        </w:rPr>
      </w:pPr>
      <w:r w:rsidRPr="0029462D">
        <w:rPr>
          <w:rFonts w:eastAsia="Times New Roman" w:cs="Arial"/>
        </w:rPr>
        <w:t xml:space="preserve">Materials and services are forecast </w:t>
      </w:r>
      <w:r w:rsidRPr="007508AF">
        <w:rPr>
          <w:rFonts w:eastAsia="Times New Roman" w:cs="Arial"/>
        </w:rPr>
        <w:t xml:space="preserve">to </w:t>
      </w:r>
      <w:r w:rsidR="0032377D">
        <w:rPr>
          <w:rFonts w:eastAsia="Times New Roman" w:cs="Arial"/>
        </w:rPr>
        <w:t>in</w:t>
      </w:r>
      <w:r w:rsidRPr="007508AF">
        <w:rPr>
          <w:rFonts w:eastAsia="Times New Roman" w:cs="Arial"/>
        </w:rPr>
        <w:t xml:space="preserve">crease by </w:t>
      </w:r>
      <w:r w:rsidR="0032377D">
        <w:rPr>
          <w:rFonts w:eastAsia="Times New Roman" w:cs="Arial"/>
        </w:rPr>
        <w:t>1.1</w:t>
      </w:r>
      <w:r w:rsidRPr="007508AF">
        <w:rPr>
          <w:rFonts w:eastAsia="Times New Roman" w:cs="Arial"/>
        </w:rPr>
        <w:t>% or $</w:t>
      </w:r>
      <w:r w:rsidR="007508AF" w:rsidRPr="007508AF">
        <w:rPr>
          <w:rFonts w:eastAsia="Times New Roman" w:cs="Arial"/>
        </w:rPr>
        <w:t>0.</w:t>
      </w:r>
      <w:r w:rsidR="0032377D">
        <w:rPr>
          <w:rFonts w:eastAsia="Times New Roman" w:cs="Arial"/>
        </w:rPr>
        <w:t>55</w:t>
      </w:r>
      <w:r w:rsidRPr="007508AF">
        <w:rPr>
          <w:rFonts w:eastAsia="Times New Roman" w:cs="Arial"/>
        </w:rPr>
        <w:t xml:space="preserve"> </w:t>
      </w:r>
      <w:r w:rsidRPr="0029462D">
        <w:rPr>
          <w:rFonts w:eastAsia="Times New Roman" w:cs="Arial"/>
        </w:rPr>
        <w:t>million compared to 201</w:t>
      </w:r>
      <w:r w:rsidR="00A309EE">
        <w:rPr>
          <w:rFonts w:eastAsia="Times New Roman" w:cs="Arial"/>
        </w:rPr>
        <w:t>9</w:t>
      </w:r>
      <w:r w:rsidRPr="0029462D">
        <w:rPr>
          <w:rFonts w:eastAsia="Times New Roman" w:cs="Arial"/>
        </w:rPr>
        <w:t>/</w:t>
      </w:r>
      <w:r w:rsidR="00A309EE">
        <w:rPr>
          <w:rFonts w:eastAsia="Times New Roman" w:cs="Arial"/>
        </w:rPr>
        <w:t>20</w:t>
      </w:r>
      <w:r w:rsidRPr="0029462D">
        <w:rPr>
          <w:rFonts w:eastAsia="Times New Roman" w:cs="Arial"/>
        </w:rPr>
        <w:t xml:space="preserve">. </w:t>
      </w:r>
      <w:r w:rsidR="001A0115" w:rsidRPr="0029462D">
        <w:rPr>
          <w:rFonts w:eastAsia="Times New Roman" w:cs="Arial"/>
        </w:rPr>
        <w:t xml:space="preserve">Materials and services include the purchases of consumables, payments to contractors for the provision of services, utility costs, </w:t>
      </w:r>
      <w:r w:rsidR="001A0115">
        <w:rPr>
          <w:rFonts w:eastAsia="Times New Roman" w:cs="Arial"/>
        </w:rPr>
        <w:t xml:space="preserve">annual </w:t>
      </w:r>
      <w:r w:rsidR="001A0115" w:rsidRPr="0029462D">
        <w:rPr>
          <w:rFonts w:eastAsia="Times New Roman" w:cs="Arial"/>
        </w:rPr>
        <w:t xml:space="preserve">contribution </w:t>
      </w:r>
      <w:r w:rsidR="001A0115">
        <w:rPr>
          <w:rFonts w:eastAsia="Times New Roman" w:cs="Arial"/>
        </w:rPr>
        <w:t xml:space="preserve">for the provision of library services </w:t>
      </w:r>
      <w:r w:rsidR="001A0115" w:rsidRPr="0029462D">
        <w:rPr>
          <w:rFonts w:eastAsia="Times New Roman" w:cs="Arial"/>
        </w:rPr>
        <w:t xml:space="preserve">to the </w:t>
      </w:r>
      <w:r w:rsidR="001A0115">
        <w:rPr>
          <w:rFonts w:eastAsia="Times New Roman" w:cs="Arial"/>
        </w:rPr>
        <w:t xml:space="preserve">Eastern Regional </w:t>
      </w:r>
      <w:r w:rsidR="001A0115" w:rsidRPr="004C12F6">
        <w:rPr>
          <w:rFonts w:eastAsia="Times New Roman" w:cs="Arial"/>
        </w:rPr>
        <w:t xml:space="preserve">Libraries </w:t>
      </w:r>
      <w:r w:rsidR="001A0115" w:rsidRPr="005233E1">
        <w:rPr>
          <w:rFonts w:eastAsia="Times New Roman" w:cs="Arial"/>
        </w:rPr>
        <w:t xml:space="preserve">(this has increased </w:t>
      </w:r>
      <w:r w:rsidR="00D103A8" w:rsidRPr="005233E1">
        <w:rPr>
          <w:rFonts w:eastAsia="Times New Roman" w:cs="Arial"/>
        </w:rPr>
        <w:t>2</w:t>
      </w:r>
      <w:r w:rsidR="00B43D5D" w:rsidRPr="005233E1">
        <w:rPr>
          <w:rFonts w:eastAsia="Times New Roman" w:cs="Arial"/>
        </w:rPr>
        <w:t>.</w:t>
      </w:r>
      <w:r w:rsidR="004C12F6" w:rsidRPr="005233E1">
        <w:rPr>
          <w:rFonts w:eastAsia="Times New Roman" w:cs="Arial"/>
        </w:rPr>
        <w:t>0</w:t>
      </w:r>
      <w:r w:rsidR="001A0115" w:rsidRPr="005233E1">
        <w:rPr>
          <w:rFonts w:eastAsia="Times New Roman" w:cs="Arial"/>
        </w:rPr>
        <w:t>% for the 20</w:t>
      </w:r>
      <w:r w:rsidR="00A309EE" w:rsidRPr="005233E1">
        <w:rPr>
          <w:rFonts w:eastAsia="Times New Roman" w:cs="Arial"/>
        </w:rPr>
        <w:t>20</w:t>
      </w:r>
      <w:r w:rsidR="001A0115" w:rsidRPr="005233E1">
        <w:rPr>
          <w:rFonts w:eastAsia="Times New Roman" w:cs="Arial"/>
        </w:rPr>
        <w:t>/</w:t>
      </w:r>
      <w:r w:rsidR="004E0941" w:rsidRPr="005233E1">
        <w:rPr>
          <w:rFonts w:eastAsia="Times New Roman" w:cs="Arial"/>
        </w:rPr>
        <w:t>2</w:t>
      </w:r>
      <w:r w:rsidR="00A309EE" w:rsidRPr="005233E1">
        <w:rPr>
          <w:rFonts w:eastAsia="Times New Roman" w:cs="Arial"/>
        </w:rPr>
        <w:t>1</w:t>
      </w:r>
      <w:r w:rsidR="001A0115" w:rsidRPr="005233E1">
        <w:rPr>
          <w:rFonts w:eastAsia="Times New Roman" w:cs="Arial"/>
        </w:rPr>
        <w:t xml:space="preserve"> year), c</w:t>
      </w:r>
      <w:r w:rsidR="001A0115" w:rsidRPr="0029462D">
        <w:rPr>
          <w:rFonts w:eastAsia="Times New Roman" w:cs="Arial"/>
        </w:rPr>
        <w:t xml:space="preserve">ontributions to community groups, software maintenance, insurances, advertising, motor vehicle running costs, fuel and registrations and other miscellaneous expenditure items. Utility costs relating to water, gas and electricity and are </w:t>
      </w:r>
      <w:r w:rsidR="001A0115" w:rsidRPr="004C12F6">
        <w:rPr>
          <w:rFonts w:eastAsia="Times New Roman" w:cs="Arial"/>
        </w:rPr>
        <w:t xml:space="preserve">forecast to </w:t>
      </w:r>
      <w:r w:rsidR="005242D8" w:rsidRPr="004C12F6">
        <w:rPr>
          <w:rFonts w:eastAsia="Times New Roman" w:cs="Arial"/>
        </w:rPr>
        <w:t>in</w:t>
      </w:r>
      <w:r w:rsidR="001A0115" w:rsidRPr="004C12F6">
        <w:rPr>
          <w:rFonts w:eastAsia="Times New Roman" w:cs="Arial"/>
        </w:rPr>
        <w:t xml:space="preserve">crease by </w:t>
      </w:r>
      <w:r w:rsidR="005233E1">
        <w:rPr>
          <w:rFonts w:eastAsia="Times New Roman" w:cs="Arial"/>
        </w:rPr>
        <w:t>12.2</w:t>
      </w:r>
      <w:r w:rsidR="001A0115" w:rsidRPr="005233E1">
        <w:rPr>
          <w:rFonts w:eastAsia="Times New Roman" w:cs="Arial"/>
        </w:rPr>
        <w:t>% or $</w:t>
      </w:r>
      <w:r w:rsidR="00CA1519" w:rsidRPr="005233E1">
        <w:rPr>
          <w:rFonts w:eastAsia="Times New Roman" w:cs="Arial"/>
        </w:rPr>
        <w:t>0.</w:t>
      </w:r>
      <w:r w:rsidR="005233E1">
        <w:rPr>
          <w:rFonts w:eastAsia="Times New Roman" w:cs="Arial"/>
        </w:rPr>
        <w:t>4</w:t>
      </w:r>
      <w:r w:rsidR="004E0941" w:rsidRPr="005233E1">
        <w:rPr>
          <w:rFonts w:eastAsia="Times New Roman" w:cs="Arial"/>
        </w:rPr>
        <w:t>6</w:t>
      </w:r>
      <w:r w:rsidR="001A0115" w:rsidRPr="004C12F6">
        <w:rPr>
          <w:rFonts w:eastAsia="Times New Roman" w:cs="Arial"/>
        </w:rPr>
        <w:t xml:space="preserve"> million compared </w:t>
      </w:r>
      <w:r w:rsidR="001A0115" w:rsidRPr="0029462D">
        <w:rPr>
          <w:rFonts w:eastAsia="Times New Roman" w:cs="Arial"/>
        </w:rPr>
        <w:t>to 201</w:t>
      </w:r>
      <w:r w:rsidR="00A309EE">
        <w:rPr>
          <w:rFonts w:eastAsia="Times New Roman" w:cs="Arial"/>
        </w:rPr>
        <w:t>9</w:t>
      </w:r>
      <w:r w:rsidR="001A0115" w:rsidRPr="0029462D">
        <w:rPr>
          <w:rFonts w:eastAsia="Times New Roman" w:cs="Arial"/>
        </w:rPr>
        <w:t>/</w:t>
      </w:r>
      <w:r w:rsidR="00A309EE">
        <w:rPr>
          <w:rFonts w:eastAsia="Times New Roman" w:cs="Arial"/>
        </w:rPr>
        <w:t>20</w:t>
      </w:r>
      <w:r w:rsidR="001A0115" w:rsidRPr="0029462D">
        <w:rPr>
          <w:rFonts w:eastAsia="Times New Roman" w:cs="Arial"/>
        </w:rPr>
        <w:t xml:space="preserve"> resulting </w:t>
      </w:r>
      <w:r w:rsidR="005233E1">
        <w:rPr>
          <w:rFonts w:eastAsia="Times New Roman" w:cs="Arial"/>
        </w:rPr>
        <w:t xml:space="preserve">mainly </w:t>
      </w:r>
      <w:r w:rsidR="001A0115" w:rsidRPr="0029462D">
        <w:rPr>
          <w:rFonts w:eastAsia="Times New Roman" w:cs="Arial"/>
        </w:rPr>
        <w:t xml:space="preserve">from increased prices from suppliers. </w:t>
      </w:r>
      <w:r>
        <w:rPr>
          <w:rFonts w:eastAsia="Times New Roman" w:cs="Arial"/>
        </w:rPr>
        <w:t xml:space="preserve">Contract </w:t>
      </w:r>
      <w:r w:rsidR="001A0115" w:rsidRPr="0029462D">
        <w:rPr>
          <w:rFonts w:eastAsia="Times New Roman" w:cs="Arial"/>
        </w:rPr>
        <w:t>payments</w:t>
      </w:r>
      <w:r>
        <w:rPr>
          <w:rFonts w:eastAsia="Times New Roman" w:cs="Arial"/>
        </w:rPr>
        <w:t xml:space="preserve"> are included as part of materials and services and are </w:t>
      </w:r>
      <w:r w:rsidR="001A0115" w:rsidRPr="0029462D">
        <w:rPr>
          <w:rFonts w:eastAsia="Times New Roman" w:cs="Arial"/>
        </w:rPr>
        <w:t xml:space="preserve">for the provision of services which have been tendered under section 186 of the Local Government Act including external contracts for services such as waste collection, road maintenance, street tree pruning etc. and are forecast </w:t>
      </w:r>
      <w:r w:rsidR="001A0115" w:rsidRPr="0029462D">
        <w:rPr>
          <w:rFonts w:eastAsia="Times New Roman" w:cs="Arial"/>
        </w:rPr>
        <w:lastRenderedPageBreak/>
        <w:t xml:space="preserve">to </w:t>
      </w:r>
      <w:r w:rsidR="00B8701F" w:rsidRPr="00B8701F">
        <w:rPr>
          <w:rFonts w:eastAsia="Times New Roman" w:cs="Arial"/>
        </w:rPr>
        <w:t>in</w:t>
      </w:r>
      <w:r w:rsidR="001A0115" w:rsidRPr="00B8701F">
        <w:rPr>
          <w:rFonts w:eastAsia="Times New Roman" w:cs="Arial"/>
        </w:rPr>
        <w:t xml:space="preserve">crease </w:t>
      </w:r>
      <w:r w:rsidR="001A0115" w:rsidRPr="00C13BAD">
        <w:rPr>
          <w:rFonts w:eastAsia="Times New Roman" w:cs="Arial"/>
        </w:rPr>
        <w:t xml:space="preserve">by </w:t>
      </w:r>
      <w:r w:rsidR="005233E1" w:rsidRPr="00C13BAD">
        <w:rPr>
          <w:rFonts w:eastAsia="Times New Roman" w:cs="Arial"/>
        </w:rPr>
        <w:t>2</w:t>
      </w:r>
      <w:r w:rsidR="00B8701F" w:rsidRPr="00C13BAD">
        <w:rPr>
          <w:rFonts w:eastAsia="Times New Roman" w:cs="Arial"/>
        </w:rPr>
        <w:t>.7</w:t>
      </w:r>
      <w:r w:rsidR="001A0115" w:rsidRPr="00C13BAD">
        <w:rPr>
          <w:rFonts w:eastAsia="Times New Roman" w:cs="Arial"/>
        </w:rPr>
        <w:t>% or $</w:t>
      </w:r>
      <w:r w:rsidR="00C13BAD" w:rsidRPr="00C13BAD">
        <w:rPr>
          <w:rFonts w:eastAsia="Times New Roman" w:cs="Arial"/>
        </w:rPr>
        <w:t>0</w:t>
      </w:r>
      <w:r w:rsidR="00B8701F" w:rsidRPr="00C13BAD">
        <w:rPr>
          <w:rFonts w:eastAsia="Times New Roman" w:cs="Arial"/>
        </w:rPr>
        <w:t>.</w:t>
      </w:r>
      <w:r w:rsidR="00C13BAD" w:rsidRPr="00C13BAD">
        <w:rPr>
          <w:rFonts w:eastAsia="Times New Roman" w:cs="Arial"/>
        </w:rPr>
        <w:t>7</w:t>
      </w:r>
      <w:r w:rsidR="001A0115" w:rsidRPr="00C13BAD">
        <w:rPr>
          <w:rFonts w:eastAsia="Times New Roman" w:cs="Arial"/>
        </w:rPr>
        <w:t xml:space="preserve"> million compared to 201</w:t>
      </w:r>
      <w:r w:rsidR="00F961B0" w:rsidRPr="00C13BAD">
        <w:rPr>
          <w:rFonts w:eastAsia="Times New Roman" w:cs="Arial"/>
        </w:rPr>
        <w:t>9</w:t>
      </w:r>
      <w:r w:rsidR="001A0115" w:rsidRPr="00C13BAD">
        <w:rPr>
          <w:rFonts w:eastAsia="Times New Roman" w:cs="Arial"/>
        </w:rPr>
        <w:t>/</w:t>
      </w:r>
      <w:r w:rsidR="00F961B0" w:rsidRPr="00C13BAD">
        <w:rPr>
          <w:rFonts w:eastAsia="Times New Roman" w:cs="Arial"/>
        </w:rPr>
        <w:t>20</w:t>
      </w:r>
      <w:r w:rsidR="001A0115" w:rsidRPr="00C13BAD">
        <w:rPr>
          <w:rFonts w:eastAsia="Times New Roman" w:cs="Arial"/>
        </w:rPr>
        <w:t xml:space="preserve">. The </w:t>
      </w:r>
      <w:r w:rsidR="00B8701F" w:rsidRPr="00C13BAD">
        <w:rPr>
          <w:rFonts w:eastAsia="Times New Roman" w:cs="Arial"/>
        </w:rPr>
        <w:t>in</w:t>
      </w:r>
      <w:r w:rsidR="001A0115" w:rsidRPr="00C13BAD">
        <w:rPr>
          <w:rFonts w:eastAsia="Times New Roman" w:cs="Arial"/>
        </w:rPr>
        <w:t>crease in contractors is mainly due to</w:t>
      </w:r>
      <w:r w:rsidR="00321888" w:rsidRPr="00C13BAD">
        <w:rPr>
          <w:rFonts w:eastAsia="Times New Roman" w:cs="Arial"/>
        </w:rPr>
        <w:t xml:space="preserve"> </w:t>
      </w:r>
      <w:r w:rsidR="00D179D4" w:rsidRPr="00C13BAD">
        <w:rPr>
          <w:rFonts w:eastAsia="Times New Roman" w:cs="Arial"/>
        </w:rPr>
        <w:t xml:space="preserve">tendered </w:t>
      </w:r>
      <w:r w:rsidR="001A0115" w:rsidRPr="00C13BAD">
        <w:rPr>
          <w:rFonts w:eastAsia="Times New Roman" w:cs="Arial"/>
        </w:rPr>
        <w:t xml:space="preserve">costs </w:t>
      </w:r>
      <w:r w:rsidR="00D179D4" w:rsidRPr="00C13BAD">
        <w:rPr>
          <w:rFonts w:eastAsia="Times New Roman" w:cs="Arial"/>
        </w:rPr>
        <w:t>for</w:t>
      </w:r>
      <w:r w:rsidR="001A0115" w:rsidRPr="00C13BAD">
        <w:rPr>
          <w:rFonts w:eastAsia="Times New Roman" w:cs="Arial"/>
        </w:rPr>
        <w:t xml:space="preserve"> Waste Management</w:t>
      </w:r>
      <w:r w:rsidR="00321888" w:rsidRPr="00C13BAD">
        <w:rPr>
          <w:rFonts w:eastAsia="Times New Roman" w:cs="Arial"/>
        </w:rPr>
        <w:t xml:space="preserve">, </w:t>
      </w:r>
      <w:r w:rsidR="00D179D4" w:rsidRPr="00C13BAD">
        <w:rPr>
          <w:rFonts w:eastAsia="Times New Roman" w:cs="Arial"/>
        </w:rPr>
        <w:t>Election</w:t>
      </w:r>
      <w:r w:rsidR="00321888" w:rsidRPr="00C13BAD">
        <w:rPr>
          <w:rFonts w:eastAsia="Times New Roman" w:cs="Arial"/>
        </w:rPr>
        <w:t xml:space="preserve"> and Operations</w:t>
      </w:r>
      <w:r w:rsidR="00D179D4" w:rsidRPr="00C13BAD">
        <w:rPr>
          <w:rFonts w:eastAsia="Times New Roman" w:cs="Arial"/>
        </w:rPr>
        <w:t>.</w:t>
      </w:r>
      <w:r w:rsidR="00321888" w:rsidRPr="00D179D4">
        <w:rPr>
          <w:rFonts w:eastAsia="Times New Roman" w:cs="Arial"/>
        </w:rPr>
        <w:t xml:space="preserve"> </w:t>
      </w:r>
    </w:p>
    <w:p w:rsidR="00BF61DA" w:rsidRDefault="00BF61DA" w:rsidP="00F952DD">
      <w:pPr>
        <w:spacing w:after="20"/>
        <w:rPr>
          <w:rFonts w:eastAsia="Times New Roman" w:cs="Arial"/>
          <w:b/>
          <w:bCs/>
          <w:color w:val="4A66AC" w:themeColor="accent1"/>
          <w:highlight w:val="green"/>
          <w:lang w:eastAsia="en-AU"/>
        </w:rPr>
      </w:pPr>
    </w:p>
    <w:p w:rsidR="00F952DD" w:rsidRDefault="001E7276" w:rsidP="00F952DD">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F952DD" w:rsidRPr="003254DF">
        <w:rPr>
          <w:rFonts w:eastAsia="Times New Roman" w:cs="Arial"/>
          <w:b/>
          <w:bCs/>
          <w:color w:val="4A66AC" w:themeColor="accent1"/>
          <w:lang w:eastAsia="en-AU"/>
        </w:rPr>
        <w:t>.1.</w:t>
      </w:r>
      <w:r w:rsidR="00BF61DA" w:rsidRPr="003254DF">
        <w:rPr>
          <w:rFonts w:eastAsia="Times New Roman" w:cs="Arial"/>
          <w:b/>
          <w:bCs/>
          <w:color w:val="4A66AC" w:themeColor="accent1"/>
          <w:lang w:eastAsia="en-AU"/>
        </w:rPr>
        <w:t>9</w:t>
      </w:r>
      <w:r w:rsidR="00F952DD" w:rsidRPr="003254DF">
        <w:rPr>
          <w:rFonts w:eastAsia="Times New Roman" w:cs="Arial"/>
          <w:b/>
          <w:bCs/>
          <w:color w:val="4A66AC" w:themeColor="accent1"/>
          <w:lang w:eastAsia="en-AU"/>
        </w:rPr>
        <w:t xml:space="preserve"> Depreciation</w:t>
      </w:r>
    </w:p>
    <w:p w:rsidR="00F952DD" w:rsidRDefault="00F952DD" w:rsidP="00F952D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603"/>
        <w:gridCol w:w="1356"/>
        <w:gridCol w:w="1356"/>
        <w:gridCol w:w="1356"/>
        <w:gridCol w:w="1356"/>
      </w:tblGrid>
      <w:tr w:rsidR="00E73BEF" w:rsidRPr="00E73BEF" w:rsidTr="00E73BEF">
        <w:trPr>
          <w:trHeight w:val="460"/>
        </w:trPr>
        <w:tc>
          <w:tcPr>
            <w:tcW w:w="1996"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 </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Forecast Actual</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Budget</w:t>
            </w:r>
          </w:p>
        </w:tc>
        <w:tc>
          <w:tcPr>
            <w:tcW w:w="1502" w:type="pct"/>
            <w:gridSpan w:val="2"/>
            <w:vMerge w:val="restar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Change</w:t>
            </w:r>
          </w:p>
        </w:tc>
      </w:tr>
      <w:tr w:rsidR="00E73BEF" w:rsidRPr="00E73BEF" w:rsidTr="00E73BEF">
        <w:trPr>
          <w:trHeight w:val="290"/>
        </w:trPr>
        <w:tc>
          <w:tcPr>
            <w:tcW w:w="1996"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 </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2019/20</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2020/21</w:t>
            </w:r>
          </w:p>
        </w:tc>
        <w:tc>
          <w:tcPr>
            <w:tcW w:w="1502" w:type="pct"/>
            <w:gridSpan w:val="2"/>
            <w:vMerge/>
            <w:tcBorders>
              <w:top w:val="nil"/>
              <w:left w:val="nil"/>
              <w:bottom w:val="nil"/>
              <w:right w:val="nil"/>
            </w:tcBorders>
            <w:vAlign w:val="center"/>
            <w:hideMark/>
          </w:tcPr>
          <w:p w:rsidR="00E73BEF" w:rsidRPr="00E73BEF" w:rsidRDefault="00E73BEF" w:rsidP="00E73BEF">
            <w:pPr>
              <w:rPr>
                <w:rFonts w:eastAsia="Times New Roman" w:cs="Arial"/>
                <w:b/>
                <w:bCs/>
                <w:color w:val="FFFFFF"/>
                <w:sz w:val="18"/>
                <w:szCs w:val="18"/>
                <w:lang w:eastAsia="en-AU"/>
              </w:rPr>
            </w:pPr>
          </w:p>
        </w:tc>
      </w:tr>
      <w:tr w:rsidR="00E73BEF" w:rsidRPr="00E73BEF" w:rsidTr="00E73BEF">
        <w:trPr>
          <w:trHeight w:val="290"/>
        </w:trPr>
        <w:tc>
          <w:tcPr>
            <w:tcW w:w="1996"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 </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$’000</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$’000</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$’000</w:t>
            </w:r>
          </w:p>
        </w:tc>
        <w:tc>
          <w:tcPr>
            <w:tcW w:w="751" w:type="pct"/>
            <w:tcBorders>
              <w:top w:val="nil"/>
              <w:left w:val="nil"/>
              <w:bottom w:val="nil"/>
              <w:right w:val="nil"/>
            </w:tcBorders>
            <w:shd w:val="clear" w:color="000000" w:fill="5B9BD5"/>
            <w:vAlign w:val="center"/>
            <w:hideMark/>
          </w:tcPr>
          <w:p w:rsidR="00E73BEF" w:rsidRPr="00E73BEF" w:rsidRDefault="00E73BEF" w:rsidP="00E73BEF">
            <w:pPr>
              <w:jc w:val="center"/>
              <w:rPr>
                <w:rFonts w:eastAsia="Times New Roman" w:cs="Arial"/>
                <w:b/>
                <w:bCs/>
                <w:color w:val="FFFFFF"/>
                <w:sz w:val="18"/>
                <w:szCs w:val="18"/>
                <w:lang w:eastAsia="en-AU"/>
              </w:rPr>
            </w:pPr>
            <w:r w:rsidRPr="00E73BEF">
              <w:rPr>
                <w:rFonts w:eastAsia="Times New Roman" w:cs="Arial"/>
                <w:b/>
                <w:bCs/>
                <w:color w:val="FFFFFF"/>
                <w:sz w:val="18"/>
                <w:szCs w:val="18"/>
                <w:lang w:eastAsia="en-AU"/>
              </w:rPr>
              <w:t>%</w:t>
            </w:r>
          </w:p>
        </w:tc>
      </w:tr>
      <w:tr w:rsidR="00E73BEF" w:rsidRPr="00E73BEF" w:rsidTr="00E73BEF">
        <w:trPr>
          <w:trHeight w:val="290"/>
        </w:trPr>
        <w:tc>
          <w:tcPr>
            <w:tcW w:w="1996" w:type="pct"/>
            <w:tcBorders>
              <w:top w:val="nil"/>
              <w:left w:val="nil"/>
              <w:bottom w:val="nil"/>
              <w:right w:val="nil"/>
            </w:tcBorders>
            <w:shd w:val="clear" w:color="auto" w:fill="auto"/>
            <w:vAlign w:val="center"/>
            <w:hideMark/>
          </w:tcPr>
          <w:p w:rsidR="00E73BEF" w:rsidRPr="00E73BEF" w:rsidRDefault="00E73BEF" w:rsidP="00E73BEF">
            <w:pPr>
              <w:jc w:val="both"/>
              <w:rPr>
                <w:rFonts w:eastAsia="Times New Roman" w:cs="Arial"/>
                <w:sz w:val="20"/>
                <w:szCs w:val="20"/>
                <w:lang w:eastAsia="en-AU"/>
              </w:rPr>
            </w:pPr>
            <w:r w:rsidRPr="00E73BEF">
              <w:rPr>
                <w:rFonts w:eastAsia="Times New Roman" w:cs="Arial"/>
                <w:sz w:val="20"/>
                <w:szCs w:val="20"/>
                <w:lang w:eastAsia="en-AU"/>
              </w:rPr>
              <w:t>Property</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7,507</w:t>
            </w:r>
          </w:p>
        </w:tc>
        <w:tc>
          <w:tcPr>
            <w:tcW w:w="751" w:type="pct"/>
            <w:tcBorders>
              <w:top w:val="nil"/>
              <w:left w:val="nil"/>
              <w:bottom w:val="nil"/>
              <w:right w:val="nil"/>
            </w:tcBorders>
            <w:shd w:val="clear" w:color="000000" w:fill="DDEBF7"/>
            <w:vAlign w:val="center"/>
            <w:hideMark/>
          </w:tcPr>
          <w:p w:rsidR="00E73BEF" w:rsidRPr="00E73BEF" w:rsidRDefault="00E73BEF" w:rsidP="00E73BEF">
            <w:pPr>
              <w:jc w:val="right"/>
              <w:rPr>
                <w:rFonts w:eastAsia="Times New Roman" w:cs="Arial"/>
                <w:b/>
                <w:bCs/>
                <w:sz w:val="20"/>
                <w:szCs w:val="20"/>
                <w:lang w:eastAsia="en-AU"/>
              </w:rPr>
            </w:pPr>
            <w:r w:rsidRPr="00E73BEF">
              <w:rPr>
                <w:rFonts w:eastAsia="Times New Roman" w:cs="Arial"/>
                <w:b/>
                <w:bCs/>
                <w:sz w:val="20"/>
                <w:szCs w:val="20"/>
                <w:lang w:eastAsia="en-AU"/>
              </w:rPr>
              <w:t>8,361</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854</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11.4%</w:t>
            </w:r>
          </w:p>
        </w:tc>
      </w:tr>
      <w:tr w:rsidR="00E73BEF" w:rsidRPr="00E73BEF" w:rsidTr="00E73BEF">
        <w:trPr>
          <w:trHeight w:val="290"/>
        </w:trPr>
        <w:tc>
          <w:tcPr>
            <w:tcW w:w="1996" w:type="pct"/>
            <w:tcBorders>
              <w:top w:val="nil"/>
              <w:left w:val="nil"/>
              <w:bottom w:val="nil"/>
              <w:right w:val="nil"/>
            </w:tcBorders>
            <w:shd w:val="clear" w:color="auto" w:fill="auto"/>
            <w:vAlign w:val="center"/>
            <w:hideMark/>
          </w:tcPr>
          <w:p w:rsidR="00E73BEF" w:rsidRPr="00E73BEF" w:rsidRDefault="00E73BEF" w:rsidP="00E73BEF">
            <w:pPr>
              <w:jc w:val="both"/>
              <w:rPr>
                <w:rFonts w:eastAsia="Times New Roman" w:cs="Arial"/>
                <w:sz w:val="20"/>
                <w:szCs w:val="20"/>
                <w:lang w:eastAsia="en-AU"/>
              </w:rPr>
            </w:pPr>
            <w:r w:rsidRPr="00E73BEF">
              <w:rPr>
                <w:rFonts w:eastAsia="Times New Roman" w:cs="Arial"/>
                <w:sz w:val="20"/>
                <w:szCs w:val="20"/>
                <w:lang w:eastAsia="en-AU"/>
              </w:rPr>
              <w:t>Plant &amp; equipment</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2,499</w:t>
            </w:r>
          </w:p>
        </w:tc>
        <w:tc>
          <w:tcPr>
            <w:tcW w:w="751" w:type="pct"/>
            <w:tcBorders>
              <w:top w:val="nil"/>
              <w:left w:val="nil"/>
              <w:bottom w:val="nil"/>
              <w:right w:val="nil"/>
            </w:tcBorders>
            <w:shd w:val="clear" w:color="000000" w:fill="DDEBF7"/>
            <w:vAlign w:val="center"/>
            <w:hideMark/>
          </w:tcPr>
          <w:p w:rsidR="00E73BEF" w:rsidRPr="00E73BEF" w:rsidRDefault="00E73BEF" w:rsidP="00E73BEF">
            <w:pPr>
              <w:jc w:val="right"/>
              <w:rPr>
                <w:rFonts w:eastAsia="Times New Roman" w:cs="Arial"/>
                <w:b/>
                <w:bCs/>
                <w:sz w:val="20"/>
                <w:szCs w:val="20"/>
                <w:lang w:eastAsia="en-AU"/>
              </w:rPr>
            </w:pPr>
            <w:r w:rsidRPr="00E73BEF">
              <w:rPr>
                <w:rFonts w:eastAsia="Times New Roman" w:cs="Arial"/>
                <w:b/>
                <w:bCs/>
                <w:sz w:val="20"/>
                <w:szCs w:val="20"/>
                <w:lang w:eastAsia="en-AU"/>
              </w:rPr>
              <w:t>2,651</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152</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6.1%</w:t>
            </w:r>
          </w:p>
        </w:tc>
      </w:tr>
      <w:tr w:rsidR="00E73BEF" w:rsidRPr="00E73BEF" w:rsidTr="00E73BEF">
        <w:trPr>
          <w:trHeight w:val="300"/>
        </w:trPr>
        <w:tc>
          <w:tcPr>
            <w:tcW w:w="1996" w:type="pct"/>
            <w:tcBorders>
              <w:top w:val="nil"/>
              <w:left w:val="nil"/>
              <w:bottom w:val="nil"/>
              <w:right w:val="nil"/>
            </w:tcBorders>
            <w:shd w:val="clear" w:color="auto" w:fill="auto"/>
            <w:vAlign w:val="center"/>
            <w:hideMark/>
          </w:tcPr>
          <w:p w:rsidR="00E73BEF" w:rsidRPr="00E73BEF" w:rsidRDefault="00E73BEF" w:rsidP="00E73BEF">
            <w:pPr>
              <w:jc w:val="both"/>
              <w:rPr>
                <w:rFonts w:eastAsia="Times New Roman" w:cs="Arial"/>
                <w:sz w:val="20"/>
                <w:szCs w:val="20"/>
                <w:lang w:eastAsia="en-AU"/>
              </w:rPr>
            </w:pPr>
            <w:r w:rsidRPr="00E73BEF">
              <w:rPr>
                <w:rFonts w:eastAsia="Times New Roman" w:cs="Arial"/>
                <w:sz w:val="20"/>
                <w:szCs w:val="20"/>
                <w:lang w:eastAsia="en-AU"/>
              </w:rPr>
              <w:t>Infrastructure</w:t>
            </w:r>
          </w:p>
        </w:tc>
        <w:tc>
          <w:tcPr>
            <w:tcW w:w="751" w:type="pct"/>
            <w:tcBorders>
              <w:top w:val="nil"/>
              <w:left w:val="nil"/>
              <w:bottom w:val="nil"/>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13,078</w:t>
            </w:r>
          </w:p>
        </w:tc>
        <w:tc>
          <w:tcPr>
            <w:tcW w:w="751" w:type="pct"/>
            <w:tcBorders>
              <w:top w:val="nil"/>
              <w:left w:val="nil"/>
              <w:bottom w:val="nil"/>
              <w:right w:val="nil"/>
            </w:tcBorders>
            <w:shd w:val="clear" w:color="000000" w:fill="DDEBF7"/>
            <w:vAlign w:val="center"/>
            <w:hideMark/>
          </w:tcPr>
          <w:p w:rsidR="00E73BEF" w:rsidRPr="00E73BEF" w:rsidRDefault="00E73BEF" w:rsidP="00E73BEF">
            <w:pPr>
              <w:jc w:val="right"/>
              <w:rPr>
                <w:rFonts w:eastAsia="Times New Roman" w:cs="Arial"/>
                <w:b/>
                <w:bCs/>
                <w:sz w:val="20"/>
                <w:szCs w:val="20"/>
                <w:lang w:eastAsia="en-AU"/>
              </w:rPr>
            </w:pPr>
            <w:r w:rsidRPr="00E73BEF">
              <w:rPr>
                <w:rFonts w:eastAsia="Times New Roman" w:cs="Arial"/>
                <w:b/>
                <w:bCs/>
                <w:sz w:val="20"/>
                <w:szCs w:val="20"/>
                <w:lang w:eastAsia="en-AU"/>
              </w:rPr>
              <w:t>13,429</w:t>
            </w:r>
          </w:p>
        </w:tc>
        <w:tc>
          <w:tcPr>
            <w:tcW w:w="751" w:type="pct"/>
            <w:tcBorders>
              <w:top w:val="nil"/>
              <w:left w:val="nil"/>
              <w:bottom w:val="single" w:sz="8" w:space="0" w:color="auto"/>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351</w:t>
            </w:r>
          </w:p>
        </w:tc>
        <w:tc>
          <w:tcPr>
            <w:tcW w:w="751" w:type="pct"/>
            <w:tcBorders>
              <w:top w:val="nil"/>
              <w:left w:val="nil"/>
              <w:bottom w:val="single" w:sz="8" w:space="0" w:color="auto"/>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2.7%</w:t>
            </w:r>
          </w:p>
        </w:tc>
      </w:tr>
      <w:tr w:rsidR="00E73BEF" w:rsidRPr="00E73BEF" w:rsidTr="00E73BEF">
        <w:trPr>
          <w:trHeight w:val="300"/>
        </w:trPr>
        <w:tc>
          <w:tcPr>
            <w:tcW w:w="1996" w:type="pct"/>
            <w:tcBorders>
              <w:top w:val="nil"/>
              <w:left w:val="nil"/>
              <w:bottom w:val="single" w:sz="8" w:space="0" w:color="auto"/>
              <w:right w:val="nil"/>
            </w:tcBorders>
            <w:shd w:val="clear" w:color="auto" w:fill="auto"/>
            <w:vAlign w:val="center"/>
            <w:hideMark/>
          </w:tcPr>
          <w:p w:rsidR="00E73BEF" w:rsidRPr="00E73BEF" w:rsidRDefault="00E73BEF" w:rsidP="00E73BEF">
            <w:pPr>
              <w:jc w:val="both"/>
              <w:rPr>
                <w:rFonts w:eastAsia="Times New Roman" w:cs="Arial"/>
                <w:b/>
                <w:bCs/>
                <w:sz w:val="20"/>
                <w:szCs w:val="20"/>
                <w:lang w:eastAsia="en-AU"/>
              </w:rPr>
            </w:pPr>
            <w:r w:rsidRPr="00E73BEF">
              <w:rPr>
                <w:rFonts w:eastAsia="Times New Roman" w:cs="Arial"/>
                <w:b/>
                <w:bCs/>
                <w:sz w:val="20"/>
                <w:szCs w:val="20"/>
                <w:lang w:eastAsia="en-AU"/>
              </w:rPr>
              <w:t xml:space="preserve">Total depreciation </w:t>
            </w:r>
          </w:p>
        </w:tc>
        <w:tc>
          <w:tcPr>
            <w:tcW w:w="751" w:type="pct"/>
            <w:tcBorders>
              <w:top w:val="single" w:sz="8" w:space="0" w:color="auto"/>
              <w:left w:val="nil"/>
              <w:bottom w:val="single" w:sz="8" w:space="0" w:color="auto"/>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23,084</w:t>
            </w:r>
          </w:p>
        </w:tc>
        <w:tc>
          <w:tcPr>
            <w:tcW w:w="751" w:type="pct"/>
            <w:tcBorders>
              <w:top w:val="single" w:sz="8" w:space="0" w:color="auto"/>
              <w:left w:val="nil"/>
              <w:bottom w:val="single" w:sz="8" w:space="0" w:color="auto"/>
              <w:right w:val="nil"/>
            </w:tcBorders>
            <w:shd w:val="clear" w:color="000000" w:fill="DDEBF7"/>
            <w:vAlign w:val="center"/>
            <w:hideMark/>
          </w:tcPr>
          <w:p w:rsidR="00E73BEF" w:rsidRPr="00E73BEF" w:rsidRDefault="00E73BEF" w:rsidP="00E73BEF">
            <w:pPr>
              <w:jc w:val="right"/>
              <w:rPr>
                <w:rFonts w:eastAsia="Times New Roman" w:cs="Arial"/>
                <w:b/>
                <w:bCs/>
                <w:sz w:val="20"/>
                <w:szCs w:val="20"/>
                <w:lang w:eastAsia="en-AU"/>
              </w:rPr>
            </w:pPr>
            <w:r w:rsidRPr="00E73BEF">
              <w:rPr>
                <w:rFonts w:eastAsia="Times New Roman" w:cs="Arial"/>
                <w:b/>
                <w:bCs/>
                <w:sz w:val="20"/>
                <w:szCs w:val="20"/>
                <w:lang w:eastAsia="en-AU"/>
              </w:rPr>
              <w:t>24,441</w:t>
            </w:r>
          </w:p>
        </w:tc>
        <w:tc>
          <w:tcPr>
            <w:tcW w:w="751" w:type="pct"/>
            <w:tcBorders>
              <w:top w:val="nil"/>
              <w:left w:val="nil"/>
              <w:bottom w:val="single" w:sz="8" w:space="0" w:color="auto"/>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1,357</w:t>
            </w:r>
          </w:p>
        </w:tc>
        <w:tc>
          <w:tcPr>
            <w:tcW w:w="751" w:type="pct"/>
            <w:tcBorders>
              <w:top w:val="nil"/>
              <w:left w:val="nil"/>
              <w:bottom w:val="single" w:sz="8" w:space="0" w:color="auto"/>
              <w:right w:val="nil"/>
            </w:tcBorders>
            <w:shd w:val="clear" w:color="auto" w:fill="auto"/>
            <w:vAlign w:val="center"/>
            <w:hideMark/>
          </w:tcPr>
          <w:p w:rsidR="00E73BEF" w:rsidRPr="00E73BEF" w:rsidRDefault="00E73BEF" w:rsidP="00E73BEF">
            <w:pPr>
              <w:jc w:val="right"/>
              <w:rPr>
                <w:rFonts w:eastAsia="Times New Roman" w:cs="Arial"/>
                <w:sz w:val="20"/>
                <w:szCs w:val="20"/>
                <w:lang w:eastAsia="en-AU"/>
              </w:rPr>
            </w:pPr>
            <w:r w:rsidRPr="00E73BEF">
              <w:rPr>
                <w:rFonts w:eastAsia="Times New Roman" w:cs="Arial"/>
                <w:sz w:val="20"/>
                <w:szCs w:val="20"/>
                <w:lang w:eastAsia="en-AU"/>
              </w:rPr>
              <w:t>5.9%</w:t>
            </w:r>
          </w:p>
        </w:tc>
      </w:tr>
    </w:tbl>
    <w:p w:rsidR="00F952DD" w:rsidRDefault="00F952DD" w:rsidP="00F952DD">
      <w:pPr>
        <w:spacing w:after="20"/>
        <w:rPr>
          <w:rFonts w:eastAsia="Times New Roman" w:cs="Arial"/>
          <w:b/>
          <w:bCs/>
          <w:color w:val="4A66AC" w:themeColor="accent1"/>
          <w:lang w:eastAsia="en-AU"/>
        </w:rPr>
      </w:pPr>
    </w:p>
    <w:p w:rsidR="0001724C" w:rsidRDefault="0001724C" w:rsidP="0001724C">
      <w:pPr>
        <w:jc w:val="both"/>
        <w:rPr>
          <w:rFonts w:eastAsia="Times New Roman" w:cs="Arial"/>
        </w:rPr>
      </w:pPr>
      <w:r w:rsidRPr="0029462D">
        <w:rPr>
          <w:rFonts w:eastAsia="Times New Roman" w:cs="Arial"/>
        </w:rPr>
        <w:t xml:space="preserve">Depreciation is an accounting measure which attempts to allocate the value of an asset over its useful life for Council’s property, plant and equipment including infrastructure assets such as roads and drains. </w:t>
      </w:r>
      <w:r w:rsidRPr="009924DF">
        <w:rPr>
          <w:rFonts w:eastAsia="Times New Roman" w:cs="Arial"/>
        </w:rPr>
        <w:t xml:space="preserve">The increase of </w:t>
      </w:r>
      <w:r w:rsidR="009924DF" w:rsidRPr="009924DF">
        <w:rPr>
          <w:rFonts w:eastAsia="Times New Roman" w:cs="Arial"/>
        </w:rPr>
        <w:t>5.</w:t>
      </w:r>
      <w:r w:rsidR="00E73BEF">
        <w:rPr>
          <w:rFonts w:eastAsia="Times New Roman" w:cs="Arial"/>
        </w:rPr>
        <w:t>9</w:t>
      </w:r>
      <w:r w:rsidRPr="009924DF">
        <w:rPr>
          <w:rFonts w:eastAsia="Times New Roman" w:cs="Arial"/>
        </w:rPr>
        <w:t>% or $</w:t>
      </w:r>
      <w:r w:rsidR="00983363" w:rsidRPr="009924DF">
        <w:rPr>
          <w:rFonts w:eastAsia="Times New Roman" w:cs="Arial"/>
        </w:rPr>
        <w:t>1</w:t>
      </w:r>
      <w:r w:rsidRPr="009924DF">
        <w:rPr>
          <w:rFonts w:eastAsia="Times New Roman" w:cs="Arial"/>
        </w:rPr>
        <w:t>.</w:t>
      </w:r>
      <w:r w:rsidR="00E73BEF">
        <w:rPr>
          <w:rFonts w:eastAsia="Times New Roman" w:cs="Arial"/>
        </w:rPr>
        <w:t>3</w:t>
      </w:r>
      <w:r w:rsidR="009924DF" w:rsidRPr="009924DF">
        <w:rPr>
          <w:rFonts w:eastAsia="Times New Roman" w:cs="Arial"/>
        </w:rPr>
        <w:t>6</w:t>
      </w:r>
      <w:r w:rsidRPr="009924DF">
        <w:rPr>
          <w:rFonts w:eastAsia="Times New Roman" w:cs="Arial"/>
        </w:rPr>
        <w:t xml:space="preserve"> million for </w:t>
      </w:r>
      <w:r w:rsidRPr="0029462D">
        <w:rPr>
          <w:rFonts w:eastAsia="Times New Roman" w:cs="Arial"/>
        </w:rPr>
        <w:t>20</w:t>
      </w:r>
      <w:r w:rsidR="003E0CAC">
        <w:rPr>
          <w:rFonts w:eastAsia="Times New Roman" w:cs="Arial"/>
        </w:rPr>
        <w:t>20</w:t>
      </w:r>
      <w:r w:rsidRPr="0029462D">
        <w:rPr>
          <w:rFonts w:eastAsia="Times New Roman" w:cs="Arial"/>
        </w:rPr>
        <w:t>/</w:t>
      </w:r>
      <w:r w:rsidR="00983363">
        <w:rPr>
          <w:rFonts w:eastAsia="Times New Roman" w:cs="Arial"/>
        </w:rPr>
        <w:t>2</w:t>
      </w:r>
      <w:r w:rsidR="003E0CAC">
        <w:rPr>
          <w:rFonts w:eastAsia="Times New Roman" w:cs="Arial"/>
        </w:rPr>
        <w:t>1</w:t>
      </w:r>
      <w:r w:rsidRPr="0029462D">
        <w:rPr>
          <w:rFonts w:eastAsia="Times New Roman" w:cs="Arial"/>
        </w:rPr>
        <w:t xml:space="preserve"> is due mainly the full year effect of depreciation on the 201</w:t>
      </w:r>
      <w:r w:rsidR="003E0CAC">
        <w:rPr>
          <w:rFonts w:eastAsia="Times New Roman" w:cs="Arial"/>
        </w:rPr>
        <w:t>9</w:t>
      </w:r>
      <w:r w:rsidRPr="0029462D">
        <w:rPr>
          <w:rFonts w:eastAsia="Times New Roman" w:cs="Arial"/>
        </w:rPr>
        <w:t>/</w:t>
      </w:r>
      <w:r w:rsidR="003E0CAC">
        <w:rPr>
          <w:rFonts w:eastAsia="Times New Roman" w:cs="Arial"/>
        </w:rPr>
        <w:t>20</w:t>
      </w:r>
      <w:r w:rsidRPr="0029462D">
        <w:rPr>
          <w:rFonts w:eastAsia="Times New Roman" w:cs="Arial"/>
        </w:rPr>
        <w:t xml:space="preserve"> capital works program.</w:t>
      </w:r>
      <w:r w:rsidRPr="0029462D">
        <w:rPr>
          <w:rFonts w:eastAsia="Times New Roman" w:cs="Arial"/>
          <w:color w:val="FF0000"/>
        </w:rPr>
        <w:t xml:space="preserve"> </w:t>
      </w:r>
      <w:r w:rsidRPr="00C56B53">
        <w:rPr>
          <w:rFonts w:eastAsia="Times New Roman" w:cs="Arial"/>
        </w:rPr>
        <w:t xml:space="preserve">Refer to section </w:t>
      </w:r>
      <w:r w:rsidR="00D27354">
        <w:rPr>
          <w:rFonts w:eastAsia="Times New Roman" w:cs="Arial"/>
        </w:rPr>
        <w:t>6</w:t>
      </w:r>
      <w:r w:rsidR="00C56B53">
        <w:rPr>
          <w:rFonts w:eastAsia="Times New Roman" w:cs="Arial"/>
        </w:rPr>
        <w:t>.5</w:t>
      </w:r>
      <w:r w:rsidRPr="0029462D">
        <w:rPr>
          <w:rFonts w:eastAsia="Times New Roman" w:cs="Arial"/>
        </w:rPr>
        <w:t xml:space="preserve"> ‘</w:t>
      </w:r>
      <w:r w:rsidR="00C56B53">
        <w:rPr>
          <w:rFonts w:eastAsia="Times New Roman" w:cs="Arial"/>
        </w:rPr>
        <w:t>Capital works program</w:t>
      </w:r>
      <w:r w:rsidRPr="0029462D">
        <w:rPr>
          <w:rFonts w:eastAsia="Times New Roman" w:cs="Arial"/>
        </w:rPr>
        <w:t>’ for a more detailed analysis of Council’s capital works program for the 20</w:t>
      </w:r>
      <w:r w:rsidR="003E0CAC">
        <w:rPr>
          <w:rFonts w:eastAsia="Times New Roman" w:cs="Arial"/>
        </w:rPr>
        <w:t>20</w:t>
      </w:r>
      <w:r w:rsidRPr="0029462D">
        <w:rPr>
          <w:rFonts w:eastAsia="Times New Roman" w:cs="Arial"/>
        </w:rPr>
        <w:t>/</w:t>
      </w:r>
      <w:r w:rsidR="00983363">
        <w:rPr>
          <w:rFonts w:eastAsia="Times New Roman" w:cs="Arial"/>
        </w:rPr>
        <w:t>2</w:t>
      </w:r>
      <w:r w:rsidR="003E0CAC">
        <w:rPr>
          <w:rFonts w:eastAsia="Times New Roman" w:cs="Arial"/>
        </w:rPr>
        <w:t>1</w:t>
      </w:r>
      <w:r w:rsidRPr="0029462D">
        <w:rPr>
          <w:rFonts w:eastAsia="Times New Roman" w:cs="Arial"/>
        </w:rPr>
        <w:t xml:space="preserve"> year.</w:t>
      </w:r>
    </w:p>
    <w:p w:rsidR="0047437D" w:rsidRDefault="0047437D" w:rsidP="006E0D98">
      <w:pPr>
        <w:spacing w:after="20"/>
        <w:rPr>
          <w:rFonts w:eastAsia="Times New Roman" w:cs="Arial"/>
          <w:b/>
          <w:bCs/>
          <w:color w:val="4A66AC" w:themeColor="accent1"/>
          <w:lang w:eastAsia="en-AU"/>
        </w:rPr>
      </w:pPr>
    </w:p>
    <w:p w:rsidR="006E0D98" w:rsidRPr="003254DF" w:rsidRDefault="006E0D98" w:rsidP="006E0D98">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6.1.</w:t>
      </w:r>
      <w:r w:rsidR="00AD0B26" w:rsidRPr="003254DF">
        <w:rPr>
          <w:rFonts w:eastAsia="Times New Roman" w:cs="Arial"/>
          <w:b/>
          <w:bCs/>
          <w:color w:val="4A66AC" w:themeColor="accent1"/>
          <w:lang w:eastAsia="en-AU"/>
        </w:rPr>
        <w:t>10</w:t>
      </w:r>
      <w:r w:rsidRPr="003254DF">
        <w:rPr>
          <w:rFonts w:eastAsia="Times New Roman" w:cs="Arial"/>
          <w:b/>
          <w:bCs/>
          <w:color w:val="4A66AC" w:themeColor="accent1"/>
          <w:lang w:eastAsia="en-AU"/>
        </w:rPr>
        <w:t xml:space="preserve"> Amortisation - right of use assets</w:t>
      </w:r>
    </w:p>
    <w:p w:rsidR="00252C45" w:rsidRDefault="00252C45" w:rsidP="006E0D98">
      <w:pPr>
        <w:spacing w:after="20"/>
        <w:rPr>
          <w:rFonts w:eastAsia="Times New Roman" w:cs="Arial"/>
          <w:b/>
          <w:bCs/>
          <w:color w:val="4A66AC" w:themeColor="accent1"/>
          <w:highlight w:val="red"/>
          <w:lang w:eastAsia="en-AU"/>
        </w:rPr>
      </w:pPr>
    </w:p>
    <w:tbl>
      <w:tblPr>
        <w:tblW w:w="5000" w:type="pct"/>
        <w:tblLook w:val="04A0" w:firstRow="1" w:lastRow="0" w:firstColumn="1" w:lastColumn="0" w:noHBand="0" w:noVBand="1"/>
      </w:tblPr>
      <w:tblGrid>
        <w:gridCol w:w="4294"/>
        <w:gridCol w:w="1184"/>
        <w:gridCol w:w="1184"/>
        <w:gridCol w:w="1184"/>
        <w:gridCol w:w="1181"/>
      </w:tblGrid>
      <w:tr w:rsidR="006A70FB" w:rsidRPr="006A70FB" w:rsidTr="006A70FB">
        <w:trPr>
          <w:trHeight w:val="480"/>
        </w:trPr>
        <w:tc>
          <w:tcPr>
            <w:tcW w:w="2378"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Forecast Actual</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Budget</w:t>
            </w:r>
          </w:p>
        </w:tc>
        <w:tc>
          <w:tcPr>
            <w:tcW w:w="1311" w:type="pct"/>
            <w:gridSpan w:val="2"/>
            <w:vMerge w:val="restar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Change</w:t>
            </w:r>
          </w:p>
        </w:tc>
      </w:tr>
      <w:tr w:rsidR="006A70FB" w:rsidRPr="006A70FB" w:rsidTr="006A70FB">
        <w:trPr>
          <w:trHeight w:val="300"/>
        </w:trPr>
        <w:tc>
          <w:tcPr>
            <w:tcW w:w="2378"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2019/20</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2020/21</w:t>
            </w:r>
          </w:p>
        </w:tc>
        <w:tc>
          <w:tcPr>
            <w:tcW w:w="1311" w:type="pct"/>
            <w:gridSpan w:val="2"/>
            <w:vMerge/>
            <w:tcBorders>
              <w:top w:val="nil"/>
              <w:left w:val="nil"/>
              <w:bottom w:val="nil"/>
              <w:right w:val="nil"/>
            </w:tcBorders>
            <w:vAlign w:val="center"/>
            <w:hideMark/>
          </w:tcPr>
          <w:p w:rsidR="006A70FB" w:rsidRPr="006A70FB" w:rsidRDefault="006A70FB" w:rsidP="006A70FB">
            <w:pPr>
              <w:rPr>
                <w:rFonts w:eastAsia="Times New Roman" w:cs="Arial"/>
                <w:b/>
                <w:bCs/>
                <w:color w:val="FFFFFF"/>
                <w:sz w:val="18"/>
                <w:szCs w:val="18"/>
                <w:lang w:eastAsia="en-AU"/>
              </w:rPr>
            </w:pPr>
          </w:p>
        </w:tc>
      </w:tr>
      <w:tr w:rsidR="006A70FB" w:rsidRPr="006A70FB" w:rsidTr="006A70FB">
        <w:trPr>
          <w:trHeight w:val="300"/>
        </w:trPr>
        <w:tc>
          <w:tcPr>
            <w:tcW w:w="2378"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center"/>
            <w:hideMark/>
          </w:tcPr>
          <w:p w:rsidR="006A70FB" w:rsidRPr="006A70FB" w:rsidRDefault="006A70FB" w:rsidP="006A70FB">
            <w:pPr>
              <w:jc w:val="center"/>
              <w:rPr>
                <w:rFonts w:eastAsia="Times New Roman" w:cs="Arial"/>
                <w:b/>
                <w:bCs/>
                <w:color w:val="FFFFFF"/>
                <w:sz w:val="18"/>
                <w:szCs w:val="18"/>
                <w:lang w:eastAsia="en-AU"/>
              </w:rPr>
            </w:pPr>
            <w:r w:rsidRPr="006A70FB">
              <w:rPr>
                <w:rFonts w:eastAsia="Times New Roman" w:cs="Arial"/>
                <w:b/>
                <w:bCs/>
                <w:color w:val="FFFFFF"/>
                <w:sz w:val="18"/>
                <w:szCs w:val="18"/>
                <w:lang w:eastAsia="en-AU"/>
              </w:rPr>
              <w:t>%</w:t>
            </w:r>
          </w:p>
        </w:tc>
      </w:tr>
      <w:tr w:rsidR="006A70FB" w:rsidRPr="006A70FB" w:rsidTr="006A70FB">
        <w:trPr>
          <w:trHeight w:val="315"/>
        </w:trPr>
        <w:tc>
          <w:tcPr>
            <w:tcW w:w="2378" w:type="pct"/>
            <w:tcBorders>
              <w:top w:val="nil"/>
              <w:left w:val="nil"/>
              <w:bottom w:val="nil"/>
              <w:right w:val="nil"/>
            </w:tcBorders>
            <w:shd w:val="clear" w:color="auto" w:fill="auto"/>
            <w:vAlign w:val="center"/>
            <w:hideMark/>
          </w:tcPr>
          <w:p w:rsidR="006A70FB" w:rsidRPr="006A70FB" w:rsidRDefault="006A70FB" w:rsidP="006A70FB">
            <w:pPr>
              <w:jc w:val="both"/>
              <w:rPr>
                <w:rFonts w:eastAsia="Times New Roman" w:cs="Arial"/>
                <w:sz w:val="20"/>
                <w:szCs w:val="20"/>
                <w:lang w:eastAsia="en-AU"/>
              </w:rPr>
            </w:pPr>
            <w:r w:rsidRPr="006A70FB">
              <w:rPr>
                <w:rFonts w:eastAsia="Times New Roman" w:cs="Arial"/>
                <w:sz w:val="20"/>
                <w:szCs w:val="20"/>
                <w:lang w:eastAsia="en-AU"/>
              </w:rPr>
              <w:t>Right of use assets</w:t>
            </w:r>
          </w:p>
        </w:tc>
        <w:tc>
          <w:tcPr>
            <w:tcW w:w="656" w:type="pct"/>
            <w:tcBorders>
              <w:top w:val="nil"/>
              <w:left w:val="nil"/>
              <w:bottom w:val="nil"/>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316</w:t>
            </w:r>
          </w:p>
        </w:tc>
        <w:tc>
          <w:tcPr>
            <w:tcW w:w="656" w:type="pct"/>
            <w:tcBorders>
              <w:top w:val="nil"/>
              <w:left w:val="nil"/>
              <w:bottom w:val="nil"/>
              <w:right w:val="nil"/>
            </w:tcBorders>
            <w:shd w:val="clear" w:color="000000" w:fill="DDEBF7"/>
            <w:vAlign w:val="center"/>
            <w:hideMark/>
          </w:tcPr>
          <w:p w:rsidR="006A70FB" w:rsidRPr="006A70FB" w:rsidRDefault="00581EA7" w:rsidP="006A70FB">
            <w:pPr>
              <w:jc w:val="right"/>
              <w:rPr>
                <w:rFonts w:eastAsia="Times New Roman" w:cs="Arial"/>
                <w:b/>
                <w:bCs/>
                <w:sz w:val="20"/>
                <w:szCs w:val="20"/>
                <w:lang w:eastAsia="en-AU"/>
              </w:rPr>
            </w:pPr>
            <w:r>
              <w:rPr>
                <w:rFonts w:eastAsia="Times New Roman" w:cs="Arial"/>
                <w:b/>
                <w:bCs/>
                <w:sz w:val="20"/>
                <w:szCs w:val="20"/>
                <w:lang w:eastAsia="en-AU"/>
              </w:rPr>
              <w:t>516</w:t>
            </w:r>
          </w:p>
        </w:tc>
        <w:tc>
          <w:tcPr>
            <w:tcW w:w="656" w:type="pct"/>
            <w:tcBorders>
              <w:top w:val="nil"/>
              <w:left w:val="nil"/>
              <w:bottom w:val="nil"/>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200</w:t>
            </w:r>
          </w:p>
        </w:tc>
        <w:tc>
          <w:tcPr>
            <w:tcW w:w="656" w:type="pct"/>
            <w:tcBorders>
              <w:top w:val="nil"/>
              <w:left w:val="nil"/>
              <w:bottom w:val="nil"/>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63.3</w:t>
            </w:r>
            <w:r w:rsidR="006A70FB" w:rsidRPr="006A70FB">
              <w:rPr>
                <w:rFonts w:eastAsia="Times New Roman" w:cs="Arial"/>
                <w:sz w:val="20"/>
                <w:szCs w:val="20"/>
                <w:lang w:eastAsia="en-AU"/>
              </w:rPr>
              <w:t>%</w:t>
            </w:r>
          </w:p>
        </w:tc>
      </w:tr>
      <w:tr w:rsidR="006A70FB" w:rsidRPr="006A70FB" w:rsidTr="006A70FB">
        <w:trPr>
          <w:trHeight w:val="315"/>
        </w:trPr>
        <w:tc>
          <w:tcPr>
            <w:tcW w:w="2378" w:type="pct"/>
            <w:tcBorders>
              <w:top w:val="nil"/>
              <w:left w:val="nil"/>
              <w:bottom w:val="single" w:sz="8" w:space="0" w:color="auto"/>
              <w:right w:val="nil"/>
            </w:tcBorders>
            <w:shd w:val="clear" w:color="auto" w:fill="auto"/>
            <w:vAlign w:val="center"/>
            <w:hideMark/>
          </w:tcPr>
          <w:p w:rsidR="006A70FB" w:rsidRPr="006A70FB" w:rsidRDefault="006A70FB" w:rsidP="006A70FB">
            <w:pPr>
              <w:jc w:val="both"/>
              <w:rPr>
                <w:rFonts w:eastAsia="Times New Roman" w:cs="Arial"/>
                <w:b/>
                <w:bCs/>
                <w:sz w:val="20"/>
                <w:szCs w:val="20"/>
                <w:lang w:eastAsia="en-AU"/>
              </w:rPr>
            </w:pPr>
            <w:r w:rsidRPr="006A70FB">
              <w:rPr>
                <w:rFonts w:eastAsia="Times New Roman" w:cs="Arial"/>
                <w:b/>
                <w:bCs/>
                <w:sz w:val="20"/>
                <w:szCs w:val="20"/>
                <w:lang w:eastAsia="en-AU"/>
              </w:rPr>
              <w:t>Total amortisation - right of use assets</w:t>
            </w:r>
          </w:p>
        </w:tc>
        <w:tc>
          <w:tcPr>
            <w:tcW w:w="656" w:type="pct"/>
            <w:tcBorders>
              <w:top w:val="single" w:sz="8" w:space="0" w:color="auto"/>
              <w:left w:val="nil"/>
              <w:bottom w:val="single" w:sz="8" w:space="0" w:color="auto"/>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316</w:t>
            </w:r>
          </w:p>
        </w:tc>
        <w:tc>
          <w:tcPr>
            <w:tcW w:w="656" w:type="pct"/>
            <w:tcBorders>
              <w:top w:val="single" w:sz="8" w:space="0" w:color="auto"/>
              <w:left w:val="nil"/>
              <w:bottom w:val="single" w:sz="8" w:space="0" w:color="auto"/>
              <w:right w:val="nil"/>
            </w:tcBorders>
            <w:shd w:val="clear" w:color="000000" w:fill="DDEBF7"/>
            <w:vAlign w:val="center"/>
            <w:hideMark/>
          </w:tcPr>
          <w:p w:rsidR="006A70FB" w:rsidRPr="006A70FB" w:rsidRDefault="00581EA7" w:rsidP="006A70FB">
            <w:pPr>
              <w:jc w:val="right"/>
              <w:rPr>
                <w:rFonts w:eastAsia="Times New Roman" w:cs="Arial"/>
                <w:b/>
                <w:bCs/>
                <w:sz w:val="20"/>
                <w:szCs w:val="20"/>
                <w:lang w:eastAsia="en-AU"/>
              </w:rPr>
            </w:pPr>
            <w:r>
              <w:rPr>
                <w:rFonts w:eastAsia="Times New Roman" w:cs="Arial"/>
                <w:b/>
                <w:bCs/>
                <w:sz w:val="20"/>
                <w:szCs w:val="20"/>
                <w:lang w:eastAsia="en-AU"/>
              </w:rPr>
              <w:t>516</w:t>
            </w:r>
          </w:p>
        </w:tc>
        <w:tc>
          <w:tcPr>
            <w:tcW w:w="656" w:type="pct"/>
            <w:tcBorders>
              <w:top w:val="nil"/>
              <w:left w:val="nil"/>
              <w:bottom w:val="single" w:sz="8" w:space="0" w:color="auto"/>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200</w:t>
            </w:r>
          </w:p>
        </w:tc>
        <w:tc>
          <w:tcPr>
            <w:tcW w:w="656" w:type="pct"/>
            <w:tcBorders>
              <w:top w:val="nil"/>
              <w:left w:val="nil"/>
              <w:bottom w:val="single" w:sz="8" w:space="0" w:color="auto"/>
              <w:right w:val="nil"/>
            </w:tcBorders>
            <w:shd w:val="clear" w:color="auto" w:fill="auto"/>
            <w:vAlign w:val="center"/>
            <w:hideMark/>
          </w:tcPr>
          <w:p w:rsidR="006A70FB" w:rsidRPr="006A70FB" w:rsidRDefault="00581EA7" w:rsidP="006A70FB">
            <w:pPr>
              <w:jc w:val="right"/>
              <w:rPr>
                <w:rFonts w:eastAsia="Times New Roman" w:cs="Arial"/>
                <w:sz w:val="20"/>
                <w:szCs w:val="20"/>
                <w:lang w:eastAsia="en-AU"/>
              </w:rPr>
            </w:pPr>
            <w:r>
              <w:rPr>
                <w:rFonts w:eastAsia="Times New Roman" w:cs="Arial"/>
                <w:sz w:val="20"/>
                <w:szCs w:val="20"/>
                <w:lang w:eastAsia="en-AU"/>
              </w:rPr>
              <w:t>63.3</w:t>
            </w:r>
            <w:r w:rsidR="006A70FB" w:rsidRPr="006A70FB">
              <w:rPr>
                <w:rFonts w:eastAsia="Times New Roman" w:cs="Arial"/>
                <w:sz w:val="20"/>
                <w:szCs w:val="20"/>
                <w:lang w:eastAsia="en-AU"/>
              </w:rPr>
              <w:t>%</w:t>
            </w:r>
          </w:p>
        </w:tc>
      </w:tr>
    </w:tbl>
    <w:p w:rsidR="006E0D98" w:rsidRDefault="006E0D98" w:rsidP="006E0D98">
      <w:pPr>
        <w:spacing w:after="20"/>
        <w:rPr>
          <w:rFonts w:eastAsia="Times New Roman" w:cs="Arial"/>
          <w:b/>
          <w:bCs/>
          <w:color w:val="4A66AC" w:themeColor="accent1"/>
          <w:lang w:eastAsia="en-AU"/>
        </w:rPr>
      </w:pPr>
    </w:p>
    <w:p w:rsidR="00921178" w:rsidRDefault="001E7276" w:rsidP="00921178">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921178" w:rsidRPr="003254DF">
        <w:rPr>
          <w:rFonts w:eastAsia="Times New Roman" w:cs="Arial"/>
          <w:b/>
          <w:bCs/>
          <w:color w:val="4A66AC" w:themeColor="accent1"/>
          <w:lang w:eastAsia="en-AU"/>
        </w:rPr>
        <w:t>.1.</w:t>
      </w:r>
      <w:r w:rsidR="00CF673E" w:rsidRPr="003254DF">
        <w:rPr>
          <w:rFonts w:eastAsia="Times New Roman" w:cs="Arial"/>
          <w:b/>
          <w:bCs/>
          <w:color w:val="4A66AC" w:themeColor="accent1"/>
          <w:lang w:eastAsia="en-AU"/>
        </w:rPr>
        <w:t>1</w:t>
      </w:r>
      <w:r w:rsidR="00FF1173" w:rsidRPr="003254DF">
        <w:rPr>
          <w:rFonts w:eastAsia="Times New Roman" w:cs="Arial"/>
          <w:b/>
          <w:bCs/>
          <w:color w:val="4A66AC" w:themeColor="accent1"/>
          <w:lang w:eastAsia="en-AU"/>
        </w:rPr>
        <w:t>1</w:t>
      </w:r>
      <w:r w:rsidR="00921178" w:rsidRPr="003254DF">
        <w:rPr>
          <w:rFonts w:eastAsia="Times New Roman" w:cs="Arial"/>
          <w:b/>
          <w:bCs/>
          <w:color w:val="4A66AC" w:themeColor="accent1"/>
          <w:lang w:eastAsia="en-AU"/>
        </w:rPr>
        <w:t xml:space="preserve"> Other expenses</w:t>
      </w:r>
    </w:p>
    <w:p w:rsidR="00921178" w:rsidRDefault="00921178" w:rsidP="00921178">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989"/>
        <w:gridCol w:w="1091"/>
        <w:gridCol w:w="1009"/>
        <w:gridCol w:w="969"/>
        <w:gridCol w:w="969"/>
      </w:tblGrid>
      <w:tr w:rsidR="001C083E" w:rsidRPr="001C083E" w:rsidTr="0062123F">
        <w:trPr>
          <w:trHeight w:val="480"/>
        </w:trPr>
        <w:tc>
          <w:tcPr>
            <w:tcW w:w="2763"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 </w:t>
            </w:r>
          </w:p>
        </w:tc>
        <w:tc>
          <w:tcPr>
            <w:tcW w:w="604"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Forecast Actual</w:t>
            </w:r>
          </w:p>
        </w:tc>
        <w:tc>
          <w:tcPr>
            <w:tcW w:w="559"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Budget</w:t>
            </w:r>
          </w:p>
        </w:tc>
        <w:tc>
          <w:tcPr>
            <w:tcW w:w="1073" w:type="pct"/>
            <w:gridSpan w:val="2"/>
            <w:vMerge w:val="restar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Change</w:t>
            </w:r>
          </w:p>
        </w:tc>
      </w:tr>
      <w:tr w:rsidR="001C083E" w:rsidRPr="001C083E" w:rsidTr="0062123F">
        <w:trPr>
          <w:trHeight w:val="300"/>
        </w:trPr>
        <w:tc>
          <w:tcPr>
            <w:tcW w:w="2763"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 </w:t>
            </w:r>
          </w:p>
        </w:tc>
        <w:tc>
          <w:tcPr>
            <w:tcW w:w="604"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2019/20</w:t>
            </w:r>
          </w:p>
        </w:tc>
        <w:tc>
          <w:tcPr>
            <w:tcW w:w="559"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2020/21</w:t>
            </w:r>
          </w:p>
        </w:tc>
        <w:tc>
          <w:tcPr>
            <w:tcW w:w="1073" w:type="pct"/>
            <w:gridSpan w:val="2"/>
            <w:vMerge/>
            <w:tcBorders>
              <w:top w:val="nil"/>
              <w:left w:val="nil"/>
              <w:bottom w:val="nil"/>
              <w:right w:val="nil"/>
            </w:tcBorders>
            <w:vAlign w:val="center"/>
            <w:hideMark/>
          </w:tcPr>
          <w:p w:rsidR="001C083E" w:rsidRPr="001C083E" w:rsidRDefault="001C083E" w:rsidP="001C083E">
            <w:pPr>
              <w:rPr>
                <w:rFonts w:eastAsia="Times New Roman" w:cs="Arial"/>
                <w:b/>
                <w:bCs/>
                <w:color w:val="FFFFFF"/>
                <w:sz w:val="18"/>
                <w:szCs w:val="18"/>
                <w:lang w:eastAsia="en-AU"/>
              </w:rPr>
            </w:pPr>
          </w:p>
        </w:tc>
      </w:tr>
      <w:tr w:rsidR="001C083E" w:rsidRPr="001C083E" w:rsidTr="001C083E">
        <w:trPr>
          <w:trHeight w:val="300"/>
        </w:trPr>
        <w:tc>
          <w:tcPr>
            <w:tcW w:w="2763"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 </w:t>
            </w:r>
          </w:p>
        </w:tc>
        <w:tc>
          <w:tcPr>
            <w:tcW w:w="604"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$’000</w:t>
            </w:r>
          </w:p>
        </w:tc>
        <w:tc>
          <w:tcPr>
            <w:tcW w:w="559"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$’000</w:t>
            </w:r>
          </w:p>
        </w:tc>
        <w:tc>
          <w:tcPr>
            <w:tcW w:w="537"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$’000</w:t>
            </w:r>
          </w:p>
        </w:tc>
        <w:tc>
          <w:tcPr>
            <w:tcW w:w="537" w:type="pct"/>
            <w:tcBorders>
              <w:top w:val="nil"/>
              <w:left w:val="nil"/>
              <w:bottom w:val="nil"/>
              <w:right w:val="nil"/>
            </w:tcBorders>
            <w:shd w:val="clear" w:color="000000" w:fill="5B9BD5"/>
            <w:vAlign w:val="center"/>
            <w:hideMark/>
          </w:tcPr>
          <w:p w:rsidR="001C083E" w:rsidRPr="001C083E" w:rsidRDefault="001C083E" w:rsidP="001C083E">
            <w:pPr>
              <w:jc w:val="center"/>
              <w:rPr>
                <w:rFonts w:eastAsia="Times New Roman" w:cs="Arial"/>
                <w:b/>
                <w:bCs/>
                <w:color w:val="FFFFFF"/>
                <w:sz w:val="18"/>
                <w:szCs w:val="18"/>
                <w:lang w:eastAsia="en-AU"/>
              </w:rPr>
            </w:pPr>
            <w:r w:rsidRPr="001C083E">
              <w:rPr>
                <w:rFonts w:eastAsia="Times New Roman" w:cs="Arial"/>
                <w:b/>
                <w:bCs/>
                <w:color w:val="FFFFFF"/>
                <w:sz w:val="18"/>
                <w:szCs w:val="18"/>
                <w:lang w:eastAsia="en-AU"/>
              </w:rPr>
              <w:t>%</w:t>
            </w:r>
          </w:p>
        </w:tc>
      </w:tr>
      <w:tr w:rsidR="001C083E" w:rsidRPr="001C083E" w:rsidTr="009E2785">
        <w:trPr>
          <w:trHeight w:val="765"/>
        </w:trPr>
        <w:tc>
          <w:tcPr>
            <w:tcW w:w="2763" w:type="pct"/>
            <w:tcBorders>
              <w:top w:val="nil"/>
              <w:left w:val="nil"/>
              <w:bottom w:val="nil"/>
              <w:right w:val="nil"/>
            </w:tcBorders>
            <w:shd w:val="clear" w:color="auto" w:fill="auto"/>
            <w:vAlign w:val="center"/>
            <w:hideMark/>
          </w:tcPr>
          <w:p w:rsidR="001C083E" w:rsidRPr="001C083E" w:rsidRDefault="001C083E" w:rsidP="001C083E">
            <w:pPr>
              <w:jc w:val="both"/>
              <w:rPr>
                <w:rFonts w:eastAsia="Times New Roman" w:cs="Arial"/>
                <w:sz w:val="20"/>
                <w:szCs w:val="20"/>
                <w:lang w:eastAsia="en-AU"/>
              </w:rPr>
            </w:pPr>
            <w:r w:rsidRPr="001C083E">
              <w:rPr>
                <w:rFonts w:eastAsia="Times New Roman" w:cs="Arial"/>
                <w:sz w:val="20"/>
                <w:szCs w:val="20"/>
                <w:lang w:eastAsia="en-AU"/>
              </w:rPr>
              <w:t xml:space="preserve">Auditor's remuneration - VAGO - audit of the financial statements, performance statement and grant </w:t>
            </w:r>
            <w:r w:rsidR="00884563" w:rsidRPr="001C083E">
              <w:rPr>
                <w:rFonts w:eastAsia="Times New Roman" w:cs="Arial"/>
                <w:sz w:val="20"/>
                <w:szCs w:val="20"/>
                <w:lang w:eastAsia="en-AU"/>
              </w:rPr>
              <w:t>acquittals</w:t>
            </w:r>
          </w:p>
        </w:tc>
        <w:tc>
          <w:tcPr>
            <w:tcW w:w="604"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6</w:t>
            </w:r>
            <w:r w:rsidR="00C87DDF">
              <w:rPr>
                <w:rFonts w:eastAsia="Times New Roman" w:cs="Arial"/>
                <w:sz w:val="20"/>
                <w:szCs w:val="20"/>
                <w:lang w:eastAsia="en-AU"/>
              </w:rPr>
              <w:t>4</w:t>
            </w:r>
            <w:r w:rsidRPr="001C083E">
              <w:rPr>
                <w:rFonts w:eastAsia="Times New Roman" w:cs="Arial"/>
                <w:sz w:val="20"/>
                <w:szCs w:val="20"/>
                <w:lang w:eastAsia="en-AU"/>
              </w:rPr>
              <w:t xml:space="preserve"> </w:t>
            </w:r>
          </w:p>
        </w:tc>
        <w:tc>
          <w:tcPr>
            <w:tcW w:w="559" w:type="pct"/>
            <w:tcBorders>
              <w:top w:val="nil"/>
              <w:left w:val="nil"/>
              <w:bottom w:val="nil"/>
              <w:right w:val="nil"/>
            </w:tcBorders>
            <w:shd w:val="clear" w:color="000000" w:fill="DDEBF7"/>
            <w:vAlign w:val="bottom"/>
            <w:hideMark/>
          </w:tcPr>
          <w:p w:rsidR="001C083E" w:rsidRPr="001C083E" w:rsidRDefault="001C083E" w:rsidP="009E2785">
            <w:pPr>
              <w:jc w:val="right"/>
              <w:rPr>
                <w:rFonts w:eastAsia="Times New Roman" w:cs="Arial"/>
                <w:b/>
                <w:bCs/>
                <w:sz w:val="20"/>
                <w:szCs w:val="20"/>
                <w:lang w:eastAsia="en-AU"/>
              </w:rPr>
            </w:pPr>
            <w:r w:rsidRPr="001C083E">
              <w:rPr>
                <w:rFonts w:eastAsia="Times New Roman" w:cs="Arial"/>
                <w:b/>
                <w:bCs/>
                <w:sz w:val="20"/>
                <w:szCs w:val="20"/>
                <w:lang w:eastAsia="en-AU"/>
              </w:rPr>
              <w:t xml:space="preserve">           69 </w:t>
            </w:r>
          </w:p>
        </w:tc>
        <w:tc>
          <w:tcPr>
            <w:tcW w:w="537"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w:t>
            </w:r>
            <w:r w:rsidR="00C87DDF">
              <w:rPr>
                <w:rFonts w:eastAsia="Times New Roman" w:cs="Arial"/>
                <w:sz w:val="20"/>
                <w:szCs w:val="20"/>
                <w:lang w:eastAsia="en-AU"/>
              </w:rPr>
              <w:t>5</w:t>
            </w:r>
            <w:r w:rsidRPr="001C083E">
              <w:rPr>
                <w:rFonts w:eastAsia="Times New Roman" w:cs="Arial"/>
                <w:sz w:val="20"/>
                <w:szCs w:val="20"/>
                <w:lang w:eastAsia="en-AU"/>
              </w:rPr>
              <w:t xml:space="preserve"> </w:t>
            </w:r>
          </w:p>
        </w:tc>
        <w:tc>
          <w:tcPr>
            <w:tcW w:w="537" w:type="pct"/>
            <w:tcBorders>
              <w:top w:val="nil"/>
              <w:left w:val="nil"/>
              <w:bottom w:val="nil"/>
              <w:right w:val="nil"/>
            </w:tcBorders>
            <w:shd w:val="clear" w:color="auto" w:fill="auto"/>
            <w:vAlign w:val="bottom"/>
            <w:hideMark/>
          </w:tcPr>
          <w:p w:rsidR="001C083E" w:rsidRPr="001C083E" w:rsidRDefault="00C87DDF" w:rsidP="009E2785">
            <w:pPr>
              <w:jc w:val="right"/>
              <w:rPr>
                <w:rFonts w:eastAsia="Times New Roman" w:cs="Arial"/>
                <w:sz w:val="20"/>
                <w:szCs w:val="20"/>
                <w:lang w:eastAsia="en-AU"/>
              </w:rPr>
            </w:pPr>
            <w:r>
              <w:rPr>
                <w:rFonts w:eastAsia="Times New Roman" w:cs="Arial"/>
                <w:sz w:val="20"/>
                <w:szCs w:val="20"/>
                <w:lang w:eastAsia="en-AU"/>
              </w:rPr>
              <w:t>7.1</w:t>
            </w:r>
            <w:r w:rsidR="001C083E" w:rsidRPr="001C083E">
              <w:rPr>
                <w:rFonts w:eastAsia="Times New Roman" w:cs="Arial"/>
                <w:sz w:val="20"/>
                <w:szCs w:val="20"/>
                <w:lang w:eastAsia="en-AU"/>
              </w:rPr>
              <w:t>%</w:t>
            </w:r>
          </w:p>
        </w:tc>
      </w:tr>
      <w:tr w:rsidR="001C083E" w:rsidRPr="001C083E" w:rsidTr="009E2785">
        <w:trPr>
          <w:trHeight w:val="510"/>
        </w:trPr>
        <w:tc>
          <w:tcPr>
            <w:tcW w:w="2763" w:type="pct"/>
            <w:tcBorders>
              <w:top w:val="nil"/>
              <w:left w:val="nil"/>
              <w:bottom w:val="nil"/>
              <w:right w:val="nil"/>
            </w:tcBorders>
            <w:shd w:val="clear" w:color="auto" w:fill="auto"/>
            <w:vAlign w:val="center"/>
            <w:hideMark/>
          </w:tcPr>
          <w:p w:rsidR="001C083E" w:rsidRPr="001C083E" w:rsidRDefault="001C083E" w:rsidP="001C083E">
            <w:pPr>
              <w:jc w:val="both"/>
              <w:rPr>
                <w:rFonts w:eastAsia="Times New Roman" w:cs="Arial"/>
                <w:sz w:val="20"/>
                <w:szCs w:val="20"/>
                <w:lang w:eastAsia="en-AU"/>
              </w:rPr>
            </w:pPr>
            <w:r w:rsidRPr="001C083E">
              <w:rPr>
                <w:rFonts w:eastAsia="Times New Roman" w:cs="Arial"/>
                <w:sz w:val="20"/>
                <w:szCs w:val="20"/>
                <w:lang w:eastAsia="en-AU"/>
              </w:rPr>
              <w:t>Auditor's remuneration - internal</w:t>
            </w:r>
          </w:p>
        </w:tc>
        <w:tc>
          <w:tcPr>
            <w:tcW w:w="604"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157 </w:t>
            </w:r>
          </w:p>
        </w:tc>
        <w:tc>
          <w:tcPr>
            <w:tcW w:w="559" w:type="pct"/>
            <w:tcBorders>
              <w:top w:val="nil"/>
              <w:left w:val="nil"/>
              <w:bottom w:val="nil"/>
              <w:right w:val="nil"/>
            </w:tcBorders>
            <w:shd w:val="clear" w:color="000000" w:fill="DDEBF7"/>
            <w:vAlign w:val="bottom"/>
            <w:hideMark/>
          </w:tcPr>
          <w:p w:rsidR="001C083E" w:rsidRPr="001C083E" w:rsidRDefault="001C083E" w:rsidP="009E2785">
            <w:pPr>
              <w:jc w:val="right"/>
              <w:rPr>
                <w:rFonts w:eastAsia="Times New Roman" w:cs="Arial"/>
                <w:b/>
                <w:bCs/>
                <w:sz w:val="20"/>
                <w:szCs w:val="20"/>
                <w:lang w:eastAsia="en-AU"/>
              </w:rPr>
            </w:pPr>
            <w:r w:rsidRPr="001C083E">
              <w:rPr>
                <w:rFonts w:eastAsia="Times New Roman" w:cs="Arial"/>
                <w:b/>
                <w:bCs/>
                <w:sz w:val="20"/>
                <w:szCs w:val="20"/>
                <w:lang w:eastAsia="en-AU"/>
              </w:rPr>
              <w:t xml:space="preserve">         157 </w:t>
            </w:r>
          </w:p>
        </w:tc>
        <w:tc>
          <w:tcPr>
            <w:tcW w:w="537"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   </w:t>
            </w:r>
          </w:p>
        </w:tc>
        <w:tc>
          <w:tcPr>
            <w:tcW w:w="537"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0.0%</w:t>
            </w:r>
          </w:p>
        </w:tc>
      </w:tr>
      <w:tr w:rsidR="001C083E" w:rsidRPr="001C083E" w:rsidTr="00684802">
        <w:trPr>
          <w:trHeight w:val="300"/>
        </w:trPr>
        <w:tc>
          <w:tcPr>
            <w:tcW w:w="2763" w:type="pct"/>
            <w:tcBorders>
              <w:top w:val="nil"/>
              <w:left w:val="nil"/>
              <w:bottom w:val="nil"/>
              <w:right w:val="nil"/>
            </w:tcBorders>
            <w:shd w:val="clear" w:color="auto" w:fill="auto"/>
            <w:vAlign w:val="center"/>
            <w:hideMark/>
          </w:tcPr>
          <w:p w:rsidR="001C083E" w:rsidRPr="001C083E" w:rsidRDefault="001C083E" w:rsidP="001C083E">
            <w:pPr>
              <w:jc w:val="both"/>
              <w:rPr>
                <w:rFonts w:eastAsia="Times New Roman" w:cs="Arial"/>
                <w:sz w:val="20"/>
                <w:szCs w:val="20"/>
                <w:lang w:eastAsia="en-AU"/>
              </w:rPr>
            </w:pPr>
            <w:r w:rsidRPr="001C083E">
              <w:rPr>
                <w:rFonts w:eastAsia="Times New Roman" w:cs="Arial"/>
                <w:sz w:val="20"/>
                <w:szCs w:val="20"/>
                <w:lang w:eastAsia="en-AU"/>
              </w:rPr>
              <w:t>Councillors' allowances</w:t>
            </w:r>
          </w:p>
        </w:tc>
        <w:tc>
          <w:tcPr>
            <w:tcW w:w="604" w:type="pct"/>
            <w:tcBorders>
              <w:top w:val="nil"/>
              <w:left w:val="nil"/>
              <w:bottom w:val="nil"/>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317 </w:t>
            </w:r>
          </w:p>
        </w:tc>
        <w:tc>
          <w:tcPr>
            <w:tcW w:w="559" w:type="pct"/>
            <w:tcBorders>
              <w:top w:val="nil"/>
              <w:left w:val="nil"/>
              <w:bottom w:val="nil"/>
              <w:right w:val="nil"/>
            </w:tcBorders>
            <w:shd w:val="clear" w:color="000000" w:fill="DDEBF7"/>
            <w:vAlign w:val="bottom"/>
            <w:hideMark/>
          </w:tcPr>
          <w:p w:rsidR="001C083E" w:rsidRPr="001C083E" w:rsidRDefault="001C083E" w:rsidP="009E2785">
            <w:pPr>
              <w:jc w:val="right"/>
              <w:rPr>
                <w:rFonts w:eastAsia="Times New Roman" w:cs="Arial"/>
                <w:b/>
                <w:bCs/>
                <w:sz w:val="20"/>
                <w:szCs w:val="20"/>
                <w:lang w:eastAsia="en-AU"/>
              </w:rPr>
            </w:pPr>
            <w:r w:rsidRPr="001C083E">
              <w:rPr>
                <w:rFonts w:eastAsia="Times New Roman" w:cs="Arial"/>
                <w:b/>
                <w:bCs/>
                <w:sz w:val="20"/>
                <w:szCs w:val="20"/>
                <w:lang w:eastAsia="en-AU"/>
              </w:rPr>
              <w:t xml:space="preserve">         36</w:t>
            </w:r>
            <w:r w:rsidR="00C87DDF">
              <w:rPr>
                <w:rFonts w:eastAsia="Times New Roman" w:cs="Arial"/>
                <w:b/>
                <w:bCs/>
                <w:sz w:val="20"/>
                <w:szCs w:val="20"/>
                <w:lang w:eastAsia="en-AU"/>
              </w:rPr>
              <w:t>2</w:t>
            </w:r>
            <w:r w:rsidRPr="001C083E">
              <w:rPr>
                <w:rFonts w:eastAsia="Times New Roman" w:cs="Arial"/>
                <w:b/>
                <w:bCs/>
                <w:sz w:val="20"/>
                <w:szCs w:val="20"/>
                <w:lang w:eastAsia="en-AU"/>
              </w:rPr>
              <w:t xml:space="preserve"> </w:t>
            </w:r>
          </w:p>
        </w:tc>
        <w:tc>
          <w:tcPr>
            <w:tcW w:w="537" w:type="pct"/>
            <w:tcBorders>
              <w:top w:val="nil"/>
              <w:left w:val="nil"/>
              <w:bottom w:val="single" w:sz="4" w:space="0" w:color="auto"/>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4</w:t>
            </w:r>
            <w:r w:rsidR="00C87DDF">
              <w:rPr>
                <w:rFonts w:eastAsia="Times New Roman" w:cs="Arial"/>
                <w:sz w:val="20"/>
                <w:szCs w:val="20"/>
                <w:lang w:eastAsia="en-AU"/>
              </w:rPr>
              <w:t>5</w:t>
            </w:r>
          </w:p>
        </w:tc>
        <w:tc>
          <w:tcPr>
            <w:tcW w:w="537" w:type="pct"/>
            <w:tcBorders>
              <w:top w:val="nil"/>
              <w:left w:val="nil"/>
              <w:bottom w:val="single" w:sz="4" w:space="0" w:color="auto"/>
              <w:right w:val="nil"/>
            </w:tcBorders>
            <w:shd w:val="clear" w:color="auto" w:fill="auto"/>
            <w:vAlign w:val="bottom"/>
            <w:hideMark/>
          </w:tcPr>
          <w:p w:rsidR="001C083E" w:rsidRPr="001C083E" w:rsidRDefault="00C87DDF" w:rsidP="009E2785">
            <w:pPr>
              <w:jc w:val="right"/>
              <w:rPr>
                <w:rFonts w:eastAsia="Times New Roman" w:cs="Arial"/>
                <w:sz w:val="20"/>
                <w:szCs w:val="20"/>
                <w:lang w:eastAsia="en-AU"/>
              </w:rPr>
            </w:pPr>
            <w:r>
              <w:rPr>
                <w:rFonts w:eastAsia="Times New Roman" w:cs="Arial"/>
                <w:sz w:val="20"/>
                <w:szCs w:val="20"/>
                <w:lang w:eastAsia="en-AU"/>
              </w:rPr>
              <w:t>14</w:t>
            </w:r>
            <w:r w:rsidR="00684802">
              <w:rPr>
                <w:rFonts w:eastAsia="Times New Roman" w:cs="Arial"/>
                <w:sz w:val="20"/>
                <w:szCs w:val="20"/>
                <w:lang w:eastAsia="en-AU"/>
              </w:rPr>
              <w:t>.2</w:t>
            </w:r>
            <w:r w:rsidR="001C083E" w:rsidRPr="001C083E">
              <w:rPr>
                <w:rFonts w:eastAsia="Times New Roman" w:cs="Arial"/>
                <w:sz w:val="20"/>
                <w:szCs w:val="20"/>
                <w:lang w:eastAsia="en-AU"/>
              </w:rPr>
              <w:t>%</w:t>
            </w:r>
          </w:p>
        </w:tc>
      </w:tr>
      <w:tr w:rsidR="001C083E" w:rsidRPr="001C083E" w:rsidTr="00684802">
        <w:trPr>
          <w:trHeight w:val="315"/>
        </w:trPr>
        <w:tc>
          <w:tcPr>
            <w:tcW w:w="2763" w:type="pct"/>
            <w:tcBorders>
              <w:top w:val="nil"/>
              <w:left w:val="nil"/>
              <w:bottom w:val="single" w:sz="8" w:space="0" w:color="auto"/>
              <w:right w:val="nil"/>
            </w:tcBorders>
            <w:shd w:val="clear" w:color="auto" w:fill="auto"/>
            <w:vAlign w:val="center"/>
            <w:hideMark/>
          </w:tcPr>
          <w:p w:rsidR="001C083E" w:rsidRPr="001C083E" w:rsidRDefault="001C083E" w:rsidP="001C083E">
            <w:pPr>
              <w:jc w:val="both"/>
              <w:rPr>
                <w:rFonts w:eastAsia="Times New Roman" w:cs="Arial"/>
                <w:b/>
                <w:bCs/>
                <w:sz w:val="20"/>
                <w:szCs w:val="20"/>
                <w:lang w:eastAsia="en-AU"/>
              </w:rPr>
            </w:pPr>
            <w:r w:rsidRPr="001C083E">
              <w:rPr>
                <w:rFonts w:eastAsia="Times New Roman" w:cs="Arial"/>
                <w:b/>
                <w:bCs/>
                <w:sz w:val="20"/>
                <w:szCs w:val="20"/>
                <w:lang w:eastAsia="en-AU"/>
              </w:rPr>
              <w:t>Total other expenses</w:t>
            </w:r>
          </w:p>
        </w:tc>
        <w:tc>
          <w:tcPr>
            <w:tcW w:w="604" w:type="pct"/>
            <w:tcBorders>
              <w:top w:val="single" w:sz="8" w:space="0" w:color="auto"/>
              <w:left w:val="nil"/>
              <w:bottom w:val="single" w:sz="8" w:space="0" w:color="auto"/>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w:t>
            </w:r>
            <w:r w:rsidR="0062123F">
              <w:rPr>
                <w:rFonts w:eastAsia="Times New Roman" w:cs="Arial"/>
                <w:sz w:val="20"/>
                <w:szCs w:val="20"/>
                <w:lang w:eastAsia="en-AU"/>
              </w:rPr>
              <w:t>53</w:t>
            </w:r>
            <w:r w:rsidR="00684802">
              <w:rPr>
                <w:rFonts w:eastAsia="Times New Roman" w:cs="Arial"/>
                <w:sz w:val="20"/>
                <w:szCs w:val="20"/>
                <w:lang w:eastAsia="en-AU"/>
              </w:rPr>
              <w:t>8</w:t>
            </w:r>
            <w:r w:rsidRPr="001C083E">
              <w:rPr>
                <w:rFonts w:eastAsia="Times New Roman" w:cs="Arial"/>
                <w:sz w:val="20"/>
                <w:szCs w:val="20"/>
                <w:lang w:eastAsia="en-AU"/>
              </w:rPr>
              <w:t xml:space="preserve"> </w:t>
            </w:r>
          </w:p>
        </w:tc>
        <w:tc>
          <w:tcPr>
            <w:tcW w:w="559" w:type="pct"/>
            <w:tcBorders>
              <w:top w:val="single" w:sz="8" w:space="0" w:color="auto"/>
              <w:left w:val="nil"/>
              <w:bottom w:val="single" w:sz="8" w:space="0" w:color="auto"/>
              <w:right w:val="nil"/>
            </w:tcBorders>
            <w:shd w:val="clear" w:color="000000" w:fill="DDEBF7"/>
            <w:vAlign w:val="bottom"/>
            <w:hideMark/>
          </w:tcPr>
          <w:p w:rsidR="001C083E" w:rsidRPr="001C083E" w:rsidRDefault="001C083E" w:rsidP="009E2785">
            <w:pPr>
              <w:jc w:val="right"/>
              <w:rPr>
                <w:rFonts w:eastAsia="Times New Roman" w:cs="Arial"/>
                <w:b/>
                <w:bCs/>
                <w:sz w:val="20"/>
                <w:szCs w:val="20"/>
                <w:lang w:eastAsia="en-AU"/>
              </w:rPr>
            </w:pPr>
            <w:r w:rsidRPr="001C083E">
              <w:rPr>
                <w:rFonts w:eastAsia="Times New Roman" w:cs="Arial"/>
                <w:b/>
                <w:bCs/>
                <w:sz w:val="20"/>
                <w:szCs w:val="20"/>
                <w:lang w:eastAsia="en-AU"/>
              </w:rPr>
              <w:t xml:space="preserve">      </w:t>
            </w:r>
            <w:r w:rsidR="0062123F">
              <w:rPr>
                <w:rFonts w:eastAsia="Times New Roman" w:cs="Arial"/>
                <w:b/>
                <w:bCs/>
                <w:sz w:val="20"/>
                <w:szCs w:val="20"/>
                <w:lang w:eastAsia="en-AU"/>
              </w:rPr>
              <w:t>58</w:t>
            </w:r>
            <w:r w:rsidR="00684802">
              <w:rPr>
                <w:rFonts w:eastAsia="Times New Roman" w:cs="Arial"/>
                <w:b/>
                <w:bCs/>
                <w:sz w:val="20"/>
                <w:szCs w:val="20"/>
                <w:lang w:eastAsia="en-AU"/>
              </w:rPr>
              <w:t>8</w:t>
            </w:r>
            <w:r w:rsidRPr="001C083E">
              <w:rPr>
                <w:rFonts w:eastAsia="Times New Roman" w:cs="Arial"/>
                <w:b/>
                <w:bCs/>
                <w:sz w:val="20"/>
                <w:szCs w:val="20"/>
                <w:lang w:eastAsia="en-AU"/>
              </w:rPr>
              <w:t xml:space="preserve"> </w:t>
            </w:r>
          </w:p>
        </w:tc>
        <w:tc>
          <w:tcPr>
            <w:tcW w:w="537" w:type="pct"/>
            <w:tcBorders>
              <w:top w:val="single" w:sz="4" w:space="0" w:color="auto"/>
              <w:left w:val="nil"/>
              <w:bottom w:val="single" w:sz="8" w:space="0" w:color="auto"/>
              <w:right w:val="nil"/>
            </w:tcBorders>
            <w:shd w:val="clear" w:color="auto" w:fill="auto"/>
            <w:vAlign w:val="bottom"/>
            <w:hideMark/>
          </w:tcPr>
          <w:p w:rsidR="001C083E" w:rsidRPr="001C083E" w:rsidRDefault="001C083E" w:rsidP="009E2785">
            <w:pPr>
              <w:jc w:val="right"/>
              <w:rPr>
                <w:rFonts w:eastAsia="Times New Roman" w:cs="Arial"/>
                <w:sz w:val="20"/>
                <w:szCs w:val="20"/>
                <w:lang w:eastAsia="en-AU"/>
              </w:rPr>
            </w:pPr>
            <w:r w:rsidRPr="001C083E">
              <w:rPr>
                <w:rFonts w:eastAsia="Times New Roman" w:cs="Arial"/>
                <w:sz w:val="20"/>
                <w:szCs w:val="20"/>
                <w:lang w:eastAsia="en-AU"/>
              </w:rPr>
              <w:t xml:space="preserve">        </w:t>
            </w:r>
            <w:r w:rsidR="00684802">
              <w:rPr>
                <w:rFonts w:eastAsia="Times New Roman" w:cs="Arial"/>
                <w:sz w:val="20"/>
                <w:szCs w:val="20"/>
                <w:lang w:eastAsia="en-AU"/>
              </w:rPr>
              <w:t>50</w:t>
            </w:r>
            <w:r w:rsidRPr="001C083E">
              <w:rPr>
                <w:rFonts w:eastAsia="Times New Roman" w:cs="Arial"/>
                <w:sz w:val="20"/>
                <w:szCs w:val="20"/>
                <w:lang w:eastAsia="en-AU"/>
              </w:rPr>
              <w:t xml:space="preserve"> </w:t>
            </w:r>
          </w:p>
        </w:tc>
        <w:tc>
          <w:tcPr>
            <w:tcW w:w="537" w:type="pct"/>
            <w:tcBorders>
              <w:top w:val="single" w:sz="4" w:space="0" w:color="auto"/>
              <w:left w:val="nil"/>
              <w:bottom w:val="single" w:sz="8" w:space="0" w:color="auto"/>
              <w:right w:val="nil"/>
            </w:tcBorders>
            <w:shd w:val="clear" w:color="auto" w:fill="auto"/>
            <w:vAlign w:val="bottom"/>
            <w:hideMark/>
          </w:tcPr>
          <w:p w:rsidR="001C083E" w:rsidRPr="001C083E" w:rsidRDefault="00684802" w:rsidP="009E2785">
            <w:pPr>
              <w:jc w:val="right"/>
              <w:rPr>
                <w:rFonts w:eastAsia="Times New Roman" w:cs="Arial"/>
                <w:sz w:val="20"/>
                <w:szCs w:val="20"/>
                <w:lang w:eastAsia="en-AU"/>
              </w:rPr>
            </w:pPr>
            <w:r>
              <w:rPr>
                <w:rFonts w:eastAsia="Times New Roman" w:cs="Arial"/>
                <w:sz w:val="20"/>
                <w:szCs w:val="20"/>
                <w:lang w:eastAsia="en-AU"/>
              </w:rPr>
              <w:t>9.2</w:t>
            </w:r>
            <w:r w:rsidR="001C083E" w:rsidRPr="001C083E">
              <w:rPr>
                <w:rFonts w:eastAsia="Times New Roman" w:cs="Arial"/>
                <w:sz w:val="20"/>
                <w:szCs w:val="20"/>
                <w:lang w:eastAsia="en-AU"/>
              </w:rPr>
              <w:t>%</w:t>
            </w:r>
          </w:p>
        </w:tc>
      </w:tr>
    </w:tbl>
    <w:p w:rsidR="00467556" w:rsidRDefault="00467556">
      <w:pPr>
        <w:rPr>
          <w:rFonts w:eastAsia="Times New Roman" w:cs="Arial"/>
          <w:b/>
          <w:bCs/>
          <w:color w:val="4A66AC" w:themeColor="accent1"/>
          <w:lang w:eastAsia="en-AU"/>
        </w:rPr>
      </w:pPr>
      <w:r>
        <w:rPr>
          <w:rFonts w:eastAsia="Times New Roman" w:cs="Arial"/>
          <w:b/>
          <w:bCs/>
          <w:color w:val="4A66AC" w:themeColor="accent1"/>
          <w:lang w:eastAsia="en-AU"/>
        </w:rPr>
        <w:br w:type="page"/>
      </w:r>
    </w:p>
    <w:p w:rsidR="00467556" w:rsidRDefault="001E7276" w:rsidP="00467556">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lastRenderedPageBreak/>
        <w:t>6</w:t>
      </w:r>
      <w:r w:rsidR="00467556" w:rsidRPr="00A50934">
        <w:rPr>
          <w:rFonts w:eastAsia="Times New Roman" w:cs="Arial"/>
          <w:b/>
          <w:bCs/>
          <w:color w:val="4A66AC" w:themeColor="accent1"/>
          <w:lang w:eastAsia="en-AU"/>
        </w:rPr>
        <w:t>.2 Balance Sheet</w:t>
      </w:r>
    </w:p>
    <w:p w:rsidR="00340780" w:rsidRDefault="00340780" w:rsidP="00467556">
      <w:pPr>
        <w:spacing w:after="20"/>
        <w:rPr>
          <w:rFonts w:eastAsia="Times New Roman" w:cs="Arial"/>
          <w:b/>
          <w:bCs/>
          <w:color w:val="4A66AC" w:themeColor="accent1"/>
          <w:lang w:eastAsia="en-AU"/>
        </w:rPr>
      </w:pPr>
    </w:p>
    <w:p w:rsidR="00340780" w:rsidRDefault="00340780" w:rsidP="00467556">
      <w:pPr>
        <w:spacing w:after="20"/>
        <w:rPr>
          <w:rFonts w:eastAsia="Times New Roman" w:cs="Arial"/>
          <w:b/>
          <w:bCs/>
          <w:color w:val="4A66AC" w:themeColor="accent1"/>
          <w:lang w:eastAsia="en-AU"/>
        </w:rPr>
      </w:pPr>
      <w:r w:rsidRPr="000F02E5">
        <w:rPr>
          <w:rFonts w:eastAsia="Times New Roman" w:cs="Arial"/>
          <w:lang w:eastAsia="en-AU"/>
        </w:rPr>
        <w:t xml:space="preserve">This section analyses the movements in assets, liabilities and equity </w:t>
      </w:r>
      <w:r w:rsidR="000F02E5" w:rsidRPr="000F02E5">
        <w:rPr>
          <w:rFonts w:eastAsia="Times New Roman" w:cs="Arial"/>
          <w:lang w:eastAsia="en-AU"/>
        </w:rPr>
        <w:t>between 201</w:t>
      </w:r>
      <w:r w:rsidR="00287947">
        <w:rPr>
          <w:rFonts w:eastAsia="Times New Roman" w:cs="Arial"/>
          <w:lang w:eastAsia="en-AU"/>
        </w:rPr>
        <w:t>9</w:t>
      </w:r>
      <w:r w:rsidR="000F02E5" w:rsidRPr="000F02E5">
        <w:rPr>
          <w:rFonts w:eastAsia="Times New Roman" w:cs="Arial"/>
          <w:lang w:eastAsia="en-AU"/>
        </w:rPr>
        <w:t>/</w:t>
      </w:r>
      <w:r w:rsidR="00287947">
        <w:rPr>
          <w:rFonts w:eastAsia="Times New Roman" w:cs="Arial"/>
          <w:lang w:eastAsia="en-AU"/>
        </w:rPr>
        <w:t>20</w:t>
      </w:r>
      <w:r w:rsidR="000F02E5" w:rsidRPr="000F02E5">
        <w:rPr>
          <w:rFonts w:eastAsia="Times New Roman" w:cs="Arial"/>
          <w:lang w:eastAsia="en-AU"/>
        </w:rPr>
        <w:t xml:space="preserve"> and 20</w:t>
      </w:r>
      <w:r w:rsidR="00287947">
        <w:rPr>
          <w:rFonts w:eastAsia="Times New Roman" w:cs="Arial"/>
          <w:lang w:eastAsia="en-AU"/>
        </w:rPr>
        <w:t>20</w:t>
      </w:r>
      <w:r w:rsidR="000F02E5" w:rsidRPr="000F02E5">
        <w:rPr>
          <w:rFonts w:eastAsia="Times New Roman" w:cs="Arial"/>
          <w:lang w:eastAsia="en-AU"/>
        </w:rPr>
        <w:t>/</w:t>
      </w:r>
      <w:r w:rsidR="00021405">
        <w:rPr>
          <w:rFonts w:eastAsia="Times New Roman" w:cs="Arial"/>
          <w:lang w:eastAsia="en-AU"/>
        </w:rPr>
        <w:t>2</w:t>
      </w:r>
      <w:r w:rsidR="00287947">
        <w:rPr>
          <w:rFonts w:eastAsia="Times New Roman" w:cs="Arial"/>
          <w:lang w:eastAsia="en-AU"/>
        </w:rPr>
        <w:t>1</w:t>
      </w:r>
      <w:r w:rsidR="000F02E5" w:rsidRPr="000F02E5">
        <w:rPr>
          <w:rFonts w:eastAsia="Times New Roman" w:cs="Arial"/>
          <w:lang w:eastAsia="en-AU"/>
        </w:rPr>
        <w:t>. It also considers a number of key performance indicators</w:t>
      </w:r>
      <w:r w:rsidRPr="000F02E5">
        <w:rPr>
          <w:rFonts w:eastAsia="Times New Roman" w:cs="Arial"/>
          <w:lang w:eastAsia="en-AU"/>
        </w:rPr>
        <w:t>.</w:t>
      </w:r>
      <w:r w:rsidR="008334E8">
        <w:rPr>
          <w:rFonts w:eastAsia="Times New Roman" w:cs="Arial"/>
          <w:lang w:eastAsia="en-AU"/>
        </w:rPr>
        <w:t xml:space="preserve"> </w:t>
      </w:r>
    </w:p>
    <w:p w:rsidR="00467556" w:rsidRDefault="00467556" w:rsidP="0029462D">
      <w:pPr>
        <w:spacing w:after="20"/>
        <w:rPr>
          <w:rFonts w:eastAsia="Times New Roman" w:cs="Arial"/>
          <w:b/>
          <w:bCs/>
          <w:color w:val="4A66AC" w:themeColor="accent1"/>
          <w:lang w:eastAsia="en-AU"/>
        </w:rPr>
      </w:pPr>
    </w:p>
    <w:p w:rsidR="0029462D" w:rsidRDefault="001E7276" w:rsidP="0029462D">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467556" w:rsidRPr="003254DF">
        <w:rPr>
          <w:rFonts w:eastAsia="Times New Roman" w:cs="Arial"/>
          <w:b/>
          <w:bCs/>
          <w:color w:val="4A66AC" w:themeColor="accent1"/>
          <w:lang w:eastAsia="en-AU"/>
        </w:rPr>
        <w:t>.2</w:t>
      </w:r>
      <w:r w:rsidR="0029462D" w:rsidRPr="003254DF">
        <w:rPr>
          <w:rFonts w:eastAsia="Times New Roman" w:cs="Arial"/>
          <w:b/>
          <w:bCs/>
          <w:color w:val="4A66AC" w:themeColor="accent1"/>
          <w:lang w:eastAsia="en-AU"/>
        </w:rPr>
        <w:t>.</w:t>
      </w:r>
      <w:r w:rsidR="00340780" w:rsidRPr="003254DF">
        <w:rPr>
          <w:rFonts w:eastAsia="Times New Roman" w:cs="Arial"/>
          <w:b/>
          <w:bCs/>
          <w:color w:val="4A66AC" w:themeColor="accent1"/>
          <w:lang w:eastAsia="en-AU"/>
        </w:rPr>
        <w:t>1</w:t>
      </w:r>
      <w:r w:rsidR="0029462D" w:rsidRPr="003254DF">
        <w:rPr>
          <w:rFonts w:eastAsia="Times New Roman" w:cs="Arial"/>
          <w:b/>
          <w:bCs/>
          <w:color w:val="4A66AC" w:themeColor="accent1"/>
          <w:lang w:eastAsia="en-AU"/>
        </w:rPr>
        <w:t xml:space="preserve"> </w:t>
      </w:r>
      <w:r w:rsidR="00340780" w:rsidRPr="003254DF">
        <w:rPr>
          <w:rFonts w:eastAsia="Times New Roman" w:cs="Arial"/>
          <w:b/>
          <w:bCs/>
          <w:color w:val="4A66AC" w:themeColor="accent1"/>
          <w:lang w:eastAsia="en-AU"/>
        </w:rPr>
        <w:t>Current assets and non-current assets</w:t>
      </w:r>
    </w:p>
    <w:p w:rsidR="00340780" w:rsidRDefault="00340780" w:rsidP="0029462D">
      <w:pPr>
        <w:spacing w:after="20"/>
        <w:rPr>
          <w:rFonts w:eastAsia="Times New Roman" w:cs="Arial"/>
          <w:b/>
          <w:bCs/>
          <w:color w:val="4A66AC" w:themeColor="accent1"/>
          <w:lang w:eastAsia="en-AU"/>
        </w:rPr>
      </w:pPr>
    </w:p>
    <w:p w:rsidR="0030683A" w:rsidRPr="001F1FF5" w:rsidRDefault="0030683A" w:rsidP="0030683A">
      <w:pPr>
        <w:jc w:val="both"/>
        <w:rPr>
          <w:rFonts w:eastAsia="Times New Roman" w:cs="Arial"/>
        </w:rPr>
      </w:pPr>
      <w:r w:rsidRPr="0029462D">
        <w:rPr>
          <w:rFonts w:eastAsia="Times New Roman" w:cs="Arial"/>
        </w:rPr>
        <w:t xml:space="preserve">Cash and cash equivalents include cash and investments such as cash held in the bank and </w:t>
      </w:r>
      <w:r w:rsidRPr="00AA7BF6">
        <w:rPr>
          <w:rFonts w:eastAsia="Times New Roman" w:cs="Arial"/>
        </w:rPr>
        <w:t>in petty cash</w:t>
      </w:r>
      <w:r w:rsidRPr="0029462D">
        <w:rPr>
          <w:rFonts w:eastAsia="Times New Roman" w:cs="Arial"/>
        </w:rPr>
        <w:t xml:space="preserve"> and the value of investments in deposits or other highly liquid investments with short term maturities of three months or less</w:t>
      </w:r>
      <w:r w:rsidRPr="000F02E5">
        <w:rPr>
          <w:rFonts w:eastAsia="Times New Roman" w:cs="Arial"/>
        </w:rPr>
        <w:t xml:space="preserve">. These balances are projected </w:t>
      </w:r>
      <w:r w:rsidRPr="001F1FF5">
        <w:rPr>
          <w:rFonts w:eastAsia="Times New Roman" w:cs="Arial"/>
        </w:rPr>
        <w:t xml:space="preserve">to </w:t>
      </w:r>
      <w:r w:rsidR="000F02E5" w:rsidRPr="001F1FF5">
        <w:rPr>
          <w:rFonts w:eastAsia="Times New Roman" w:cs="Arial"/>
        </w:rPr>
        <w:t>de</w:t>
      </w:r>
      <w:r w:rsidRPr="001F1FF5">
        <w:rPr>
          <w:rFonts w:eastAsia="Times New Roman" w:cs="Arial"/>
        </w:rPr>
        <w:t>crease by $</w:t>
      </w:r>
      <w:r w:rsidR="00A85E8B">
        <w:rPr>
          <w:rFonts w:eastAsia="Times New Roman" w:cs="Arial"/>
        </w:rPr>
        <w:t>7.09</w:t>
      </w:r>
      <w:r w:rsidRPr="001F1FF5">
        <w:rPr>
          <w:rFonts w:eastAsia="Times New Roman" w:cs="Arial"/>
        </w:rPr>
        <w:t xml:space="preserve"> million during the year in line with the rise and fall of Council’s operations.</w:t>
      </w:r>
    </w:p>
    <w:p w:rsidR="0030683A" w:rsidRPr="0029462D" w:rsidRDefault="0030683A" w:rsidP="0030683A">
      <w:pPr>
        <w:jc w:val="both"/>
        <w:rPr>
          <w:rFonts w:eastAsia="Times New Roman" w:cs="Arial"/>
        </w:rPr>
      </w:pPr>
    </w:p>
    <w:p w:rsidR="0030683A" w:rsidRPr="00150C1C" w:rsidRDefault="0030683A" w:rsidP="0030683A">
      <w:pPr>
        <w:jc w:val="both"/>
        <w:rPr>
          <w:rFonts w:eastAsia="Times New Roman" w:cs="Arial"/>
        </w:rPr>
      </w:pPr>
      <w:r w:rsidRPr="0029462D">
        <w:rPr>
          <w:rFonts w:eastAsia="Times New Roman" w:cs="Arial"/>
        </w:rPr>
        <w:t>Trade and other receivables are monies owed to Council by ratepayers and others</w:t>
      </w:r>
      <w:r w:rsidRPr="00021405">
        <w:rPr>
          <w:rFonts w:eastAsia="Times New Roman" w:cs="Arial"/>
        </w:rPr>
        <w:t>. Minimal change is expected in the level of debtors in the budget.</w:t>
      </w:r>
    </w:p>
    <w:p w:rsidR="0030683A" w:rsidRDefault="0030683A" w:rsidP="0030683A">
      <w:pPr>
        <w:jc w:val="both"/>
        <w:rPr>
          <w:rFonts w:eastAsia="Times New Roman" w:cs="Arial"/>
        </w:rPr>
      </w:pPr>
    </w:p>
    <w:p w:rsidR="0030683A" w:rsidRPr="0029462D" w:rsidRDefault="0030683A" w:rsidP="0030683A">
      <w:pPr>
        <w:jc w:val="both"/>
        <w:rPr>
          <w:rFonts w:eastAsia="Times New Roman" w:cs="Arial"/>
        </w:rPr>
      </w:pPr>
      <w:r>
        <w:rPr>
          <w:rFonts w:eastAsia="Times New Roman" w:cs="Arial"/>
        </w:rPr>
        <w:t xml:space="preserve">Other financial assets include the value of investments held in deposits with a maturity of greater than three months at the time of initial investment. </w:t>
      </w:r>
      <w:r w:rsidRPr="004C5D4B">
        <w:rPr>
          <w:rFonts w:eastAsia="Times New Roman" w:cs="Arial"/>
        </w:rPr>
        <w:t xml:space="preserve">These balances are projected to </w:t>
      </w:r>
      <w:r w:rsidR="00A85E8B">
        <w:rPr>
          <w:rFonts w:eastAsia="Times New Roman" w:cs="Arial"/>
        </w:rPr>
        <w:t>de</w:t>
      </w:r>
      <w:r w:rsidRPr="00AE3381">
        <w:rPr>
          <w:rFonts w:eastAsia="Times New Roman" w:cs="Arial"/>
        </w:rPr>
        <w:t>crease by $</w:t>
      </w:r>
      <w:r w:rsidR="00A85E8B">
        <w:rPr>
          <w:rFonts w:eastAsia="Times New Roman" w:cs="Arial"/>
        </w:rPr>
        <w:t>1.45</w:t>
      </w:r>
      <w:r w:rsidRPr="00AE3381">
        <w:rPr>
          <w:rFonts w:eastAsia="Times New Roman" w:cs="Arial"/>
        </w:rPr>
        <w:t xml:space="preserve"> million during </w:t>
      </w:r>
      <w:r w:rsidRPr="004C5D4B">
        <w:rPr>
          <w:rFonts w:eastAsia="Times New Roman" w:cs="Arial"/>
        </w:rPr>
        <w:t>the year in line with the rise and fall of Council’s operations.</w:t>
      </w:r>
    </w:p>
    <w:p w:rsidR="0030683A" w:rsidRPr="0029462D" w:rsidRDefault="0030683A" w:rsidP="0030683A">
      <w:pPr>
        <w:jc w:val="both"/>
        <w:rPr>
          <w:rFonts w:eastAsia="Times New Roman" w:cs="Arial"/>
          <w:color w:val="FF0000"/>
        </w:rPr>
      </w:pPr>
      <w:r w:rsidRPr="0029462D">
        <w:rPr>
          <w:rFonts w:eastAsia="Times New Roman" w:cs="Arial"/>
          <w:color w:val="FF0000"/>
        </w:rPr>
        <w:t xml:space="preserve"> </w:t>
      </w:r>
    </w:p>
    <w:p w:rsidR="0030683A" w:rsidRPr="0029462D" w:rsidRDefault="0030683A" w:rsidP="0030683A">
      <w:pPr>
        <w:jc w:val="both"/>
        <w:rPr>
          <w:rFonts w:eastAsia="Times New Roman" w:cs="Arial"/>
        </w:rPr>
      </w:pPr>
      <w:r w:rsidRPr="0029462D">
        <w:rPr>
          <w:rFonts w:eastAsia="Times New Roman" w:cs="Arial"/>
        </w:rPr>
        <w:t>Other assets include items such as prepayments for expenses that Council has paid in advance of service delivery and</w:t>
      </w:r>
      <w:r w:rsidRPr="0029462D">
        <w:rPr>
          <w:rFonts w:eastAsia="Times New Roman" w:cs="Arial"/>
          <w:color w:val="FF0000"/>
        </w:rPr>
        <w:t xml:space="preserve"> </w:t>
      </w:r>
      <w:r w:rsidRPr="0029462D">
        <w:rPr>
          <w:rFonts w:eastAsia="Times New Roman" w:cs="Arial"/>
        </w:rPr>
        <w:t>inventories or stocks held for sale or consumption in Council’s services</w:t>
      </w:r>
      <w:r w:rsidRPr="00AE3381">
        <w:rPr>
          <w:rFonts w:eastAsia="Times New Roman" w:cs="Arial"/>
        </w:rPr>
        <w:t>. Minimal change is expected in the budget.</w:t>
      </w:r>
    </w:p>
    <w:p w:rsidR="0030683A" w:rsidRPr="0029462D" w:rsidRDefault="0030683A" w:rsidP="0030683A">
      <w:pPr>
        <w:jc w:val="both"/>
        <w:rPr>
          <w:rFonts w:eastAsia="Times New Roman" w:cs="Arial"/>
          <w:color w:val="FF0000"/>
          <w:highlight w:val="green"/>
        </w:rPr>
      </w:pPr>
    </w:p>
    <w:p w:rsidR="0030683A" w:rsidRPr="0029462D" w:rsidRDefault="0030683A" w:rsidP="0030683A">
      <w:pPr>
        <w:jc w:val="both"/>
        <w:rPr>
          <w:rFonts w:eastAsia="Times New Roman" w:cs="Arial"/>
        </w:rPr>
      </w:pPr>
      <w:r w:rsidRPr="0029462D">
        <w:rPr>
          <w:rFonts w:eastAsia="Times New Roman" w:cs="Arial"/>
        </w:rPr>
        <w:t xml:space="preserve">Property, infrastructure, plant and equipment is the largest component of Council’s worth and represents the value of all the land, buildings, roads, vehicles, equipment, etc. which has been built up by Council over many years. </w:t>
      </w:r>
      <w:r w:rsidRPr="003547A9">
        <w:rPr>
          <w:rFonts w:eastAsia="Times New Roman" w:cs="Arial"/>
        </w:rPr>
        <w:t xml:space="preserve">The net increase in this balance is attributable to the net result of the capital works </w:t>
      </w:r>
      <w:r w:rsidRPr="00C6504D">
        <w:rPr>
          <w:rFonts w:eastAsia="Times New Roman" w:cs="Arial"/>
        </w:rPr>
        <w:t>program ($</w:t>
      </w:r>
      <w:r w:rsidR="00A85E8B">
        <w:rPr>
          <w:rFonts w:eastAsia="Times New Roman" w:cs="Arial"/>
        </w:rPr>
        <w:t>85.5</w:t>
      </w:r>
      <w:r w:rsidRPr="00C6504D">
        <w:rPr>
          <w:rFonts w:eastAsia="Times New Roman" w:cs="Arial"/>
        </w:rPr>
        <w:t xml:space="preserve"> million of new assets</w:t>
      </w:r>
      <w:r w:rsidRPr="00E86C0E">
        <w:rPr>
          <w:rFonts w:eastAsia="Times New Roman" w:cs="Arial"/>
        </w:rPr>
        <w:t xml:space="preserve">); depreciation of </w:t>
      </w:r>
      <w:r w:rsidRPr="00C6504D">
        <w:rPr>
          <w:rFonts w:eastAsia="Times New Roman" w:cs="Arial"/>
        </w:rPr>
        <w:t>assets ($</w:t>
      </w:r>
      <w:r w:rsidR="00C6504D" w:rsidRPr="00C6504D">
        <w:rPr>
          <w:rFonts w:eastAsia="Times New Roman" w:cs="Arial"/>
        </w:rPr>
        <w:t>24.4</w:t>
      </w:r>
      <w:r w:rsidRPr="00C6504D">
        <w:rPr>
          <w:rFonts w:eastAsia="Times New Roman" w:cs="Arial"/>
        </w:rPr>
        <w:t xml:space="preserve"> million); and the sale of property, plant and equipment ($</w:t>
      </w:r>
      <w:r w:rsidR="00C6504D" w:rsidRPr="00C6504D">
        <w:rPr>
          <w:rFonts w:eastAsia="Times New Roman" w:cs="Arial"/>
        </w:rPr>
        <w:t>2</w:t>
      </w:r>
      <w:r w:rsidR="00BB1D65">
        <w:rPr>
          <w:rFonts w:eastAsia="Times New Roman" w:cs="Arial"/>
        </w:rPr>
        <w:t>0</w:t>
      </w:r>
      <w:r w:rsidRPr="00C6504D">
        <w:rPr>
          <w:rFonts w:eastAsia="Times New Roman" w:cs="Arial"/>
        </w:rPr>
        <w:t>.</w:t>
      </w:r>
      <w:r w:rsidR="00BB1D65">
        <w:rPr>
          <w:rFonts w:eastAsia="Times New Roman" w:cs="Arial"/>
        </w:rPr>
        <w:t>8</w:t>
      </w:r>
      <w:r w:rsidRPr="00C6504D">
        <w:rPr>
          <w:rFonts w:eastAsia="Times New Roman" w:cs="Arial"/>
        </w:rPr>
        <w:t xml:space="preserve"> million).</w:t>
      </w:r>
    </w:p>
    <w:p w:rsidR="00340780" w:rsidRDefault="00340780" w:rsidP="0029462D">
      <w:pPr>
        <w:spacing w:after="20"/>
        <w:rPr>
          <w:rFonts w:eastAsia="Times New Roman" w:cs="Arial"/>
          <w:b/>
          <w:bCs/>
          <w:color w:val="4A66AC" w:themeColor="accent1"/>
          <w:lang w:eastAsia="en-AU"/>
        </w:rPr>
      </w:pPr>
    </w:p>
    <w:p w:rsidR="006B1BDF" w:rsidRDefault="006B1BDF" w:rsidP="006B1BDF">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 xml:space="preserve">6.2.2 Interest-bearing </w:t>
      </w:r>
      <w:r w:rsidR="00797270" w:rsidRPr="003254DF">
        <w:rPr>
          <w:rFonts w:eastAsia="Times New Roman" w:cs="Arial"/>
          <w:b/>
          <w:bCs/>
          <w:color w:val="4A66AC" w:themeColor="accent1"/>
          <w:lang w:eastAsia="en-AU"/>
        </w:rPr>
        <w:t>liabilities</w:t>
      </w:r>
    </w:p>
    <w:p w:rsidR="006B1BDF" w:rsidRPr="0029462D" w:rsidRDefault="006B1BDF" w:rsidP="006B1BDF">
      <w:pPr>
        <w:jc w:val="both"/>
        <w:rPr>
          <w:rFonts w:eastAsia="Times New Roman" w:cs="Arial"/>
          <w:color w:val="FF0000"/>
        </w:rPr>
      </w:pPr>
    </w:p>
    <w:p w:rsidR="006B1BDF" w:rsidRPr="0029462D" w:rsidRDefault="006B1BDF" w:rsidP="006B1BDF">
      <w:pPr>
        <w:jc w:val="both"/>
        <w:rPr>
          <w:rFonts w:eastAsia="Times New Roman" w:cs="Arial"/>
        </w:rPr>
      </w:pPr>
      <w:r w:rsidRPr="0029462D">
        <w:rPr>
          <w:rFonts w:eastAsia="Times New Roman" w:cs="Arial"/>
        </w:rPr>
        <w:t xml:space="preserve">Interest-bearing </w:t>
      </w:r>
      <w:r>
        <w:rPr>
          <w:rFonts w:eastAsia="Times New Roman" w:cs="Arial"/>
        </w:rPr>
        <w:t>liabilities</w:t>
      </w:r>
      <w:r w:rsidRPr="0029462D">
        <w:rPr>
          <w:rFonts w:eastAsia="Times New Roman" w:cs="Arial"/>
        </w:rPr>
        <w:t xml:space="preserve"> are </w:t>
      </w:r>
      <w:r>
        <w:rPr>
          <w:rFonts w:eastAsia="Times New Roman" w:cs="Arial"/>
        </w:rPr>
        <w:t xml:space="preserve">loans or </w:t>
      </w:r>
      <w:r w:rsidRPr="0029462D">
        <w:rPr>
          <w:rFonts w:eastAsia="Times New Roman" w:cs="Arial"/>
        </w:rPr>
        <w:t>borrowings of Council. Council borrowed $24.2 million in 2014/15 and repa</w:t>
      </w:r>
      <w:r>
        <w:rPr>
          <w:rFonts w:eastAsia="Times New Roman" w:cs="Arial"/>
        </w:rPr>
        <w:t xml:space="preserve">yment of loan </w:t>
      </w:r>
      <w:r w:rsidRPr="00B746C7">
        <w:rPr>
          <w:rFonts w:eastAsia="Times New Roman" w:cs="Arial"/>
        </w:rPr>
        <w:t xml:space="preserve">principal </w:t>
      </w:r>
      <w:r w:rsidRPr="00B56335">
        <w:rPr>
          <w:rFonts w:eastAsia="Times New Roman" w:cs="Arial"/>
        </w:rPr>
        <w:t>of $</w:t>
      </w:r>
      <w:r w:rsidR="004829E2">
        <w:rPr>
          <w:rFonts w:eastAsia="Times New Roman" w:cs="Arial"/>
        </w:rPr>
        <w:t>0</w:t>
      </w:r>
      <w:r w:rsidRPr="00B56335">
        <w:rPr>
          <w:rFonts w:eastAsia="Times New Roman" w:cs="Arial"/>
        </w:rPr>
        <w:t>.</w:t>
      </w:r>
      <w:r w:rsidR="004829E2">
        <w:rPr>
          <w:rFonts w:eastAsia="Times New Roman" w:cs="Arial"/>
        </w:rPr>
        <w:t>234</w:t>
      </w:r>
      <w:r w:rsidRPr="00B56335">
        <w:rPr>
          <w:rFonts w:eastAsia="Times New Roman" w:cs="Arial"/>
        </w:rPr>
        <w:t xml:space="preserve"> million </w:t>
      </w:r>
      <w:r w:rsidRPr="0029462D">
        <w:rPr>
          <w:rFonts w:eastAsia="Times New Roman" w:cs="Arial"/>
        </w:rPr>
        <w:t>will be made during the year.</w:t>
      </w:r>
    </w:p>
    <w:p w:rsidR="006B1BDF" w:rsidRDefault="006B1BDF" w:rsidP="006B1BDF">
      <w:pPr>
        <w:spacing w:after="20"/>
        <w:rPr>
          <w:rFonts w:eastAsia="Times New Roman" w:cs="Arial"/>
          <w:b/>
          <w:bCs/>
          <w:color w:val="4A66AC" w:themeColor="accent1"/>
          <w:lang w:eastAsia="en-AU"/>
        </w:rPr>
      </w:pPr>
    </w:p>
    <w:p w:rsidR="006B1BDF" w:rsidRPr="00D53814" w:rsidRDefault="006B1BDF" w:rsidP="006B1BDF">
      <w:pPr>
        <w:spacing w:after="120"/>
        <w:jc w:val="both"/>
        <w:rPr>
          <w:rFonts w:eastAsia="Times New Roman" w:cs="Arial"/>
          <w:szCs w:val="20"/>
        </w:rPr>
      </w:pPr>
      <w:r w:rsidRPr="00D53814">
        <w:rPr>
          <w:rFonts w:eastAsia="Times New Roman" w:cs="Arial"/>
          <w:szCs w:val="20"/>
        </w:rPr>
        <w:t>In 2014/15 Council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Council ($24.2 million), budgeted capital expenditure, public open space contributions and cash reserves.</w:t>
      </w:r>
    </w:p>
    <w:p w:rsidR="006B1BDF" w:rsidRDefault="006B1BDF" w:rsidP="006B1BDF">
      <w:pPr>
        <w:spacing w:after="120"/>
        <w:jc w:val="both"/>
        <w:rPr>
          <w:rFonts w:eastAsia="Times New Roman" w:cs="Arial"/>
          <w:szCs w:val="20"/>
        </w:rPr>
      </w:pPr>
      <w:r w:rsidRPr="00D53814">
        <w:rPr>
          <w:rFonts w:eastAsia="Times New Roman" w:cs="Arial"/>
          <w:szCs w:val="20"/>
        </w:rPr>
        <w:t>Council market tendered for the provision of the loan in August 2014 and the loan was drawdown in November 2014 with repayment of principal and interest over 15 years and at a fixed rate for the term of the loan of 4.91% interest per annum</w:t>
      </w:r>
      <w:r w:rsidRPr="004829E2">
        <w:rPr>
          <w:rFonts w:eastAsia="Times New Roman" w:cs="Arial"/>
          <w:szCs w:val="20"/>
        </w:rPr>
        <w:t>. The budget for 20</w:t>
      </w:r>
      <w:r w:rsidR="00FD6E05" w:rsidRPr="004829E2">
        <w:rPr>
          <w:rFonts w:eastAsia="Times New Roman" w:cs="Arial"/>
          <w:szCs w:val="20"/>
        </w:rPr>
        <w:t>20</w:t>
      </w:r>
      <w:r w:rsidRPr="004829E2">
        <w:rPr>
          <w:rFonts w:eastAsia="Times New Roman" w:cs="Arial"/>
          <w:szCs w:val="20"/>
        </w:rPr>
        <w:t>/</w:t>
      </w:r>
      <w:r w:rsidR="00ED1E7F" w:rsidRPr="004829E2">
        <w:rPr>
          <w:rFonts w:eastAsia="Times New Roman" w:cs="Arial"/>
          <w:szCs w:val="20"/>
        </w:rPr>
        <w:t>2</w:t>
      </w:r>
      <w:r w:rsidR="00FD6E05" w:rsidRPr="004829E2">
        <w:rPr>
          <w:rFonts w:eastAsia="Times New Roman" w:cs="Arial"/>
          <w:szCs w:val="20"/>
        </w:rPr>
        <w:t>1</w:t>
      </w:r>
      <w:r w:rsidRPr="004829E2">
        <w:rPr>
          <w:rFonts w:eastAsia="Times New Roman" w:cs="Arial"/>
          <w:szCs w:val="20"/>
        </w:rPr>
        <w:t xml:space="preserve"> provides for repayment of loan principal and interest per the agreed schedule.</w:t>
      </w:r>
    </w:p>
    <w:p w:rsidR="006B1BDF" w:rsidRPr="0029462D" w:rsidRDefault="006B1BDF" w:rsidP="006B1BDF">
      <w:pPr>
        <w:jc w:val="both"/>
        <w:rPr>
          <w:rFonts w:eastAsia="Times New Roman" w:cs="Arial"/>
        </w:rPr>
      </w:pPr>
      <w:r w:rsidRPr="0029462D">
        <w:rPr>
          <w:rFonts w:eastAsia="Times New Roman" w:cs="Arial"/>
        </w:rPr>
        <w:t xml:space="preserve">The table below shows information on borrowings specifically required by the Regulations. </w:t>
      </w:r>
    </w:p>
    <w:p w:rsidR="006B1BDF" w:rsidRDefault="006B1BDF" w:rsidP="006B1BDF">
      <w:pPr>
        <w:jc w:val="both"/>
        <w:rPr>
          <w:rFonts w:eastAsia="Times New Roman" w:cs="Arial"/>
          <w:sz w:val="20"/>
          <w:szCs w:val="20"/>
        </w:rPr>
      </w:pPr>
    </w:p>
    <w:tbl>
      <w:tblPr>
        <w:tblW w:w="5000" w:type="pct"/>
        <w:tblLook w:val="04A0" w:firstRow="1" w:lastRow="0" w:firstColumn="1" w:lastColumn="0" w:noHBand="0" w:noVBand="1"/>
      </w:tblPr>
      <w:tblGrid>
        <w:gridCol w:w="6135"/>
        <w:gridCol w:w="1446"/>
        <w:gridCol w:w="1446"/>
      </w:tblGrid>
      <w:tr w:rsidR="00B33455" w:rsidRPr="00B33455" w:rsidTr="00B33455">
        <w:trPr>
          <w:trHeight w:val="290"/>
        </w:trPr>
        <w:tc>
          <w:tcPr>
            <w:tcW w:w="3398" w:type="pct"/>
            <w:vMerge w:val="restart"/>
            <w:tcBorders>
              <w:top w:val="nil"/>
              <w:left w:val="nil"/>
              <w:bottom w:val="nil"/>
              <w:right w:val="nil"/>
            </w:tcBorders>
            <w:shd w:val="clear" w:color="000000" w:fill="5B9BD5"/>
            <w:vAlign w:val="center"/>
            <w:hideMark/>
          </w:tcPr>
          <w:p w:rsidR="00B33455" w:rsidRPr="00B33455" w:rsidRDefault="00B33455" w:rsidP="00B33455">
            <w:pPr>
              <w:jc w:val="center"/>
              <w:rPr>
                <w:rFonts w:eastAsia="Times New Roman" w:cs="Arial"/>
                <w:b/>
                <w:bCs/>
                <w:color w:val="FFFFFF"/>
                <w:sz w:val="18"/>
                <w:szCs w:val="18"/>
                <w:lang w:eastAsia="en-AU"/>
              </w:rPr>
            </w:pPr>
            <w:r w:rsidRPr="00B33455">
              <w:rPr>
                <w:rFonts w:eastAsia="Times New Roman" w:cs="Arial"/>
                <w:b/>
                <w:bCs/>
                <w:color w:val="FFFFFF"/>
                <w:sz w:val="18"/>
                <w:szCs w:val="18"/>
                <w:lang w:eastAsia="en-AU"/>
              </w:rPr>
              <w:t> </w:t>
            </w:r>
          </w:p>
        </w:tc>
        <w:tc>
          <w:tcPr>
            <w:tcW w:w="801" w:type="pct"/>
            <w:tcBorders>
              <w:top w:val="nil"/>
              <w:left w:val="nil"/>
              <w:bottom w:val="nil"/>
              <w:right w:val="nil"/>
            </w:tcBorders>
            <w:shd w:val="clear" w:color="000000" w:fill="5B9BD5"/>
            <w:vAlign w:val="center"/>
            <w:hideMark/>
          </w:tcPr>
          <w:p w:rsidR="00B33455" w:rsidRPr="00B33455" w:rsidRDefault="00B33455" w:rsidP="00B33455">
            <w:pPr>
              <w:jc w:val="center"/>
              <w:rPr>
                <w:rFonts w:eastAsia="Times New Roman" w:cs="Arial"/>
                <w:b/>
                <w:bCs/>
                <w:color w:val="FFFFFF"/>
                <w:sz w:val="18"/>
                <w:szCs w:val="18"/>
                <w:lang w:eastAsia="en-AU"/>
              </w:rPr>
            </w:pPr>
            <w:r w:rsidRPr="00B33455">
              <w:rPr>
                <w:rFonts w:eastAsia="Times New Roman" w:cs="Arial"/>
                <w:b/>
                <w:bCs/>
                <w:color w:val="FFFFFF"/>
                <w:sz w:val="18"/>
                <w:szCs w:val="18"/>
                <w:lang w:eastAsia="en-AU"/>
              </w:rPr>
              <w:t>2019/20</w:t>
            </w:r>
          </w:p>
        </w:tc>
        <w:tc>
          <w:tcPr>
            <w:tcW w:w="801" w:type="pct"/>
            <w:tcBorders>
              <w:top w:val="nil"/>
              <w:left w:val="nil"/>
              <w:bottom w:val="nil"/>
              <w:right w:val="nil"/>
            </w:tcBorders>
            <w:shd w:val="clear" w:color="000000" w:fill="5B9BD5"/>
            <w:vAlign w:val="center"/>
            <w:hideMark/>
          </w:tcPr>
          <w:p w:rsidR="00B33455" w:rsidRPr="00B33455" w:rsidRDefault="00B33455" w:rsidP="00B33455">
            <w:pPr>
              <w:jc w:val="center"/>
              <w:rPr>
                <w:rFonts w:eastAsia="Times New Roman" w:cs="Arial"/>
                <w:b/>
                <w:bCs/>
                <w:color w:val="FFFFFF"/>
                <w:sz w:val="18"/>
                <w:szCs w:val="18"/>
                <w:lang w:eastAsia="en-AU"/>
              </w:rPr>
            </w:pPr>
            <w:r w:rsidRPr="00B33455">
              <w:rPr>
                <w:rFonts w:eastAsia="Times New Roman" w:cs="Arial"/>
                <w:b/>
                <w:bCs/>
                <w:color w:val="FFFFFF"/>
                <w:sz w:val="18"/>
                <w:szCs w:val="18"/>
                <w:lang w:eastAsia="en-AU"/>
              </w:rPr>
              <w:t>2020/21</w:t>
            </w:r>
          </w:p>
        </w:tc>
      </w:tr>
      <w:tr w:rsidR="00B33455" w:rsidRPr="00B33455" w:rsidTr="00B33455">
        <w:trPr>
          <w:trHeight w:val="290"/>
        </w:trPr>
        <w:tc>
          <w:tcPr>
            <w:tcW w:w="3398" w:type="pct"/>
            <w:vMerge/>
            <w:tcBorders>
              <w:top w:val="nil"/>
              <w:left w:val="nil"/>
              <w:bottom w:val="nil"/>
              <w:right w:val="nil"/>
            </w:tcBorders>
            <w:vAlign w:val="center"/>
            <w:hideMark/>
          </w:tcPr>
          <w:p w:rsidR="00B33455" w:rsidRPr="00B33455" w:rsidRDefault="00B33455" w:rsidP="00B33455">
            <w:pPr>
              <w:rPr>
                <w:rFonts w:eastAsia="Times New Roman" w:cs="Arial"/>
                <w:b/>
                <w:bCs/>
                <w:color w:val="FFFFFF"/>
                <w:sz w:val="18"/>
                <w:szCs w:val="18"/>
                <w:lang w:eastAsia="en-AU"/>
              </w:rPr>
            </w:pPr>
          </w:p>
        </w:tc>
        <w:tc>
          <w:tcPr>
            <w:tcW w:w="801" w:type="pct"/>
            <w:tcBorders>
              <w:top w:val="nil"/>
              <w:left w:val="nil"/>
              <w:bottom w:val="nil"/>
              <w:right w:val="nil"/>
            </w:tcBorders>
            <w:shd w:val="clear" w:color="000000" w:fill="5B9BD5"/>
            <w:vAlign w:val="center"/>
            <w:hideMark/>
          </w:tcPr>
          <w:p w:rsidR="00B33455" w:rsidRPr="00B33455" w:rsidRDefault="00B33455" w:rsidP="00B33455">
            <w:pPr>
              <w:jc w:val="center"/>
              <w:rPr>
                <w:rFonts w:eastAsia="Times New Roman" w:cs="Arial"/>
                <w:b/>
                <w:bCs/>
                <w:color w:val="FFFFFF"/>
                <w:sz w:val="18"/>
                <w:szCs w:val="18"/>
                <w:lang w:eastAsia="en-AU"/>
              </w:rPr>
            </w:pPr>
            <w:r w:rsidRPr="00B33455">
              <w:rPr>
                <w:rFonts w:eastAsia="Times New Roman" w:cs="Arial"/>
                <w:b/>
                <w:bCs/>
                <w:color w:val="FFFFFF"/>
                <w:sz w:val="18"/>
                <w:szCs w:val="18"/>
                <w:lang w:eastAsia="en-AU"/>
              </w:rPr>
              <w:t>$</w:t>
            </w:r>
          </w:p>
        </w:tc>
        <w:tc>
          <w:tcPr>
            <w:tcW w:w="801" w:type="pct"/>
            <w:tcBorders>
              <w:top w:val="nil"/>
              <w:left w:val="nil"/>
              <w:bottom w:val="nil"/>
              <w:right w:val="nil"/>
            </w:tcBorders>
            <w:shd w:val="clear" w:color="000000" w:fill="5B9BD5"/>
            <w:vAlign w:val="center"/>
            <w:hideMark/>
          </w:tcPr>
          <w:p w:rsidR="00B33455" w:rsidRPr="00B33455" w:rsidRDefault="00B33455" w:rsidP="00B33455">
            <w:pPr>
              <w:jc w:val="center"/>
              <w:rPr>
                <w:rFonts w:eastAsia="Times New Roman" w:cs="Arial"/>
                <w:b/>
                <w:bCs/>
                <w:color w:val="FFFFFF"/>
                <w:sz w:val="18"/>
                <w:szCs w:val="18"/>
                <w:lang w:eastAsia="en-AU"/>
              </w:rPr>
            </w:pPr>
            <w:r w:rsidRPr="00B33455">
              <w:rPr>
                <w:rFonts w:eastAsia="Times New Roman" w:cs="Arial"/>
                <w:b/>
                <w:bCs/>
                <w:color w:val="FFFFFF"/>
                <w:sz w:val="18"/>
                <w:szCs w:val="18"/>
                <w:lang w:eastAsia="en-AU"/>
              </w:rPr>
              <w:t>$</w:t>
            </w:r>
          </w:p>
        </w:tc>
      </w:tr>
      <w:tr w:rsidR="00B33455" w:rsidRPr="00B33455" w:rsidTr="00B33455">
        <w:trPr>
          <w:trHeight w:val="290"/>
        </w:trPr>
        <w:tc>
          <w:tcPr>
            <w:tcW w:w="3398" w:type="pct"/>
            <w:tcBorders>
              <w:top w:val="nil"/>
              <w:left w:val="nil"/>
              <w:bottom w:val="nil"/>
              <w:right w:val="nil"/>
            </w:tcBorders>
            <w:shd w:val="clear" w:color="auto" w:fill="auto"/>
            <w:vAlign w:val="center"/>
            <w:hideMark/>
          </w:tcPr>
          <w:p w:rsidR="00B33455" w:rsidRPr="00B33455" w:rsidRDefault="00B33455" w:rsidP="00B33455">
            <w:pPr>
              <w:jc w:val="both"/>
              <w:rPr>
                <w:rFonts w:eastAsia="Times New Roman" w:cs="Arial"/>
                <w:sz w:val="20"/>
                <w:szCs w:val="20"/>
                <w:lang w:eastAsia="en-AU"/>
              </w:rPr>
            </w:pPr>
            <w:r w:rsidRPr="00B33455">
              <w:rPr>
                <w:rFonts w:eastAsia="Times New Roman" w:cs="Arial"/>
                <w:sz w:val="20"/>
                <w:szCs w:val="20"/>
                <w:lang w:eastAsia="en-AU"/>
              </w:rPr>
              <w:t>Amount borrowed as at 30 June of the prior year</w:t>
            </w:r>
          </w:p>
        </w:tc>
        <w:tc>
          <w:tcPr>
            <w:tcW w:w="801" w:type="pct"/>
            <w:tcBorders>
              <w:top w:val="nil"/>
              <w:left w:val="nil"/>
              <w:bottom w:val="nil"/>
              <w:right w:val="nil"/>
            </w:tcBorders>
            <w:shd w:val="clear" w:color="auto" w:fill="auto"/>
            <w:vAlign w:val="center"/>
            <w:hideMark/>
          </w:tcPr>
          <w:p w:rsidR="00B33455" w:rsidRPr="00B33455" w:rsidRDefault="00B33455" w:rsidP="00B33455">
            <w:pPr>
              <w:jc w:val="right"/>
              <w:rPr>
                <w:rFonts w:eastAsia="Times New Roman" w:cs="Arial"/>
                <w:sz w:val="20"/>
                <w:szCs w:val="20"/>
                <w:lang w:eastAsia="en-AU"/>
              </w:rPr>
            </w:pPr>
            <w:r w:rsidRPr="00B33455">
              <w:rPr>
                <w:rFonts w:eastAsia="Times New Roman" w:cs="Arial"/>
                <w:sz w:val="20"/>
                <w:szCs w:val="20"/>
                <w:lang w:eastAsia="en-AU"/>
              </w:rPr>
              <w:t xml:space="preserve">               18,684 </w:t>
            </w:r>
          </w:p>
        </w:tc>
        <w:tc>
          <w:tcPr>
            <w:tcW w:w="801" w:type="pct"/>
            <w:tcBorders>
              <w:top w:val="nil"/>
              <w:left w:val="nil"/>
              <w:bottom w:val="nil"/>
              <w:right w:val="nil"/>
            </w:tcBorders>
            <w:shd w:val="clear" w:color="000000" w:fill="DDEBF7"/>
            <w:vAlign w:val="center"/>
            <w:hideMark/>
          </w:tcPr>
          <w:p w:rsidR="00B33455" w:rsidRPr="00B33455" w:rsidRDefault="00B33455" w:rsidP="00B33455">
            <w:pPr>
              <w:jc w:val="right"/>
              <w:rPr>
                <w:rFonts w:eastAsia="Times New Roman" w:cs="Arial"/>
                <w:b/>
                <w:bCs/>
                <w:sz w:val="20"/>
                <w:szCs w:val="20"/>
                <w:lang w:eastAsia="en-AU"/>
              </w:rPr>
            </w:pPr>
            <w:r w:rsidRPr="00B33455">
              <w:rPr>
                <w:rFonts w:eastAsia="Times New Roman" w:cs="Arial"/>
                <w:b/>
                <w:bCs/>
                <w:sz w:val="20"/>
                <w:szCs w:val="20"/>
                <w:lang w:eastAsia="en-AU"/>
              </w:rPr>
              <w:t xml:space="preserve">               18,450 </w:t>
            </w:r>
          </w:p>
        </w:tc>
      </w:tr>
      <w:tr w:rsidR="00B33455" w:rsidRPr="00B33455" w:rsidTr="00B33455">
        <w:trPr>
          <w:trHeight w:val="290"/>
        </w:trPr>
        <w:tc>
          <w:tcPr>
            <w:tcW w:w="3398" w:type="pct"/>
            <w:tcBorders>
              <w:top w:val="nil"/>
              <w:left w:val="nil"/>
              <w:bottom w:val="nil"/>
              <w:right w:val="nil"/>
            </w:tcBorders>
            <w:shd w:val="clear" w:color="auto" w:fill="auto"/>
            <w:vAlign w:val="center"/>
            <w:hideMark/>
          </w:tcPr>
          <w:p w:rsidR="00B33455" w:rsidRPr="00B33455" w:rsidRDefault="00B33455" w:rsidP="00B33455">
            <w:pPr>
              <w:jc w:val="both"/>
              <w:rPr>
                <w:rFonts w:eastAsia="Times New Roman" w:cs="Arial"/>
                <w:sz w:val="20"/>
                <w:szCs w:val="20"/>
                <w:lang w:eastAsia="en-AU"/>
              </w:rPr>
            </w:pPr>
            <w:r w:rsidRPr="00B33455">
              <w:rPr>
                <w:rFonts w:eastAsia="Times New Roman" w:cs="Arial"/>
                <w:sz w:val="20"/>
                <w:szCs w:val="20"/>
                <w:lang w:eastAsia="en-AU"/>
              </w:rPr>
              <w:t>Amount proposed to be borrowed</w:t>
            </w:r>
          </w:p>
        </w:tc>
        <w:tc>
          <w:tcPr>
            <w:tcW w:w="801" w:type="pct"/>
            <w:tcBorders>
              <w:top w:val="nil"/>
              <w:left w:val="nil"/>
              <w:bottom w:val="nil"/>
              <w:right w:val="nil"/>
            </w:tcBorders>
            <w:shd w:val="clear" w:color="auto" w:fill="auto"/>
            <w:vAlign w:val="center"/>
            <w:hideMark/>
          </w:tcPr>
          <w:p w:rsidR="00B33455" w:rsidRPr="00B33455" w:rsidRDefault="00B33455" w:rsidP="00B33455">
            <w:pPr>
              <w:jc w:val="right"/>
              <w:rPr>
                <w:rFonts w:eastAsia="Times New Roman" w:cs="Arial"/>
                <w:sz w:val="20"/>
                <w:szCs w:val="20"/>
                <w:lang w:eastAsia="en-AU"/>
              </w:rPr>
            </w:pPr>
            <w:r w:rsidRPr="00B33455">
              <w:rPr>
                <w:rFonts w:eastAsia="Times New Roman" w:cs="Arial"/>
                <w:sz w:val="20"/>
                <w:szCs w:val="20"/>
                <w:lang w:eastAsia="en-AU"/>
              </w:rPr>
              <w:t xml:space="preserve">                      -   </w:t>
            </w:r>
          </w:p>
        </w:tc>
        <w:tc>
          <w:tcPr>
            <w:tcW w:w="801" w:type="pct"/>
            <w:tcBorders>
              <w:top w:val="nil"/>
              <w:left w:val="nil"/>
              <w:bottom w:val="nil"/>
              <w:right w:val="nil"/>
            </w:tcBorders>
            <w:shd w:val="clear" w:color="000000" w:fill="DDEBF7"/>
            <w:vAlign w:val="center"/>
            <w:hideMark/>
          </w:tcPr>
          <w:p w:rsidR="00B33455" w:rsidRPr="00B33455" w:rsidRDefault="00B33455" w:rsidP="00B33455">
            <w:pPr>
              <w:jc w:val="right"/>
              <w:rPr>
                <w:rFonts w:eastAsia="Times New Roman" w:cs="Arial"/>
                <w:b/>
                <w:bCs/>
                <w:sz w:val="20"/>
                <w:szCs w:val="20"/>
                <w:lang w:eastAsia="en-AU"/>
              </w:rPr>
            </w:pPr>
            <w:r w:rsidRPr="00B33455">
              <w:rPr>
                <w:rFonts w:eastAsia="Times New Roman" w:cs="Arial"/>
                <w:b/>
                <w:bCs/>
                <w:sz w:val="20"/>
                <w:szCs w:val="20"/>
                <w:lang w:eastAsia="en-AU"/>
              </w:rPr>
              <w:t xml:space="preserve">                      -   </w:t>
            </w:r>
          </w:p>
        </w:tc>
      </w:tr>
      <w:tr w:rsidR="00B33455" w:rsidRPr="00B33455" w:rsidTr="00B33455">
        <w:trPr>
          <w:trHeight w:val="300"/>
        </w:trPr>
        <w:tc>
          <w:tcPr>
            <w:tcW w:w="3398" w:type="pct"/>
            <w:tcBorders>
              <w:top w:val="nil"/>
              <w:left w:val="nil"/>
              <w:bottom w:val="nil"/>
              <w:right w:val="nil"/>
            </w:tcBorders>
            <w:shd w:val="clear" w:color="auto" w:fill="auto"/>
            <w:vAlign w:val="center"/>
            <w:hideMark/>
          </w:tcPr>
          <w:p w:rsidR="00B33455" w:rsidRPr="00B33455" w:rsidRDefault="00B33455" w:rsidP="00B33455">
            <w:pPr>
              <w:jc w:val="both"/>
              <w:rPr>
                <w:rFonts w:eastAsia="Times New Roman" w:cs="Arial"/>
                <w:sz w:val="20"/>
                <w:szCs w:val="20"/>
                <w:lang w:eastAsia="en-AU"/>
              </w:rPr>
            </w:pPr>
            <w:r w:rsidRPr="00B33455">
              <w:rPr>
                <w:rFonts w:eastAsia="Times New Roman" w:cs="Arial"/>
                <w:sz w:val="20"/>
                <w:szCs w:val="20"/>
                <w:lang w:eastAsia="en-AU"/>
              </w:rPr>
              <w:t>Amount projected to be redeemed</w:t>
            </w:r>
          </w:p>
        </w:tc>
        <w:tc>
          <w:tcPr>
            <w:tcW w:w="801" w:type="pct"/>
            <w:tcBorders>
              <w:top w:val="nil"/>
              <w:left w:val="nil"/>
              <w:bottom w:val="single" w:sz="8" w:space="0" w:color="auto"/>
              <w:right w:val="nil"/>
            </w:tcBorders>
            <w:shd w:val="clear" w:color="auto" w:fill="auto"/>
            <w:vAlign w:val="center"/>
            <w:hideMark/>
          </w:tcPr>
          <w:p w:rsidR="00B33455" w:rsidRPr="00B33455" w:rsidRDefault="00B33455" w:rsidP="00B33455">
            <w:pPr>
              <w:jc w:val="right"/>
              <w:rPr>
                <w:rFonts w:eastAsia="Times New Roman" w:cs="Arial"/>
                <w:sz w:val="20"/>
                <w:szCs w:val="20"/>
                <w:lang w:eastAsia="en-AU"/>
              </w:rPr>
            </w:pPr>
            <w:r w:rsidRPr="00B33455">
              <w:rPr>
                <w:rFonts w:eastAsia="Times New Roman" w:cs="Arial"/>
                <w:sz w:val="20"/>
                <w:szCs w:val="20"/>
                <w:lang w:eastAsia="en-AU"/>
              </w:rPr>
              <w:t>(234)</w:t>
            </w:r>
          </w:p>
        </w:tc>
        <w:tc>
          <w:tcPr>
            <w:tcW w:w="801" w:type="pct"/>
            <w:tcBorders>
              <w:top w:val="nil"/>
              <w:left w:val="nil"/>
              <w:bottom w:val="single" w:sz="8" w:space="0" w:color="auto"/>
              <w:right w:val="nil"/>
            </w:tcBorders>
            <w:shd w:val="clear" w:color="000000" w:fill="DDEBF7"/>
            <w:vAlign w:val="center"/>
            <w:hideMark/>
          </w:tcPr>
          <w:p w:rsidR="00B33455" w:rsidRPr="00B33455" w:rsidRDefault="00B33455" w:rsidP="00B33455">
            <w:pPr>
              <w:jc w:val="right"/>
              <w:rPr>
                <w:rFonts w:eastAsia="Times New Roman" w:cs="Arial"/>
                <w:b/>
                <w:bCs/>
                <w:sz w:val="20"/>
                <w:szCs w:val="20"/>
                <w:lang w:eastAsia="en-AU"/>
              </w:rPr>
            </w:pPr>
            <w:r w:rsidRPr="00B33455">
              <w:rPr>
                <w:rFonts w:eastAsia="Times New Roman" w:cs="Arial"/>
                <w:b/>
                <w:bCs/>
                <w:sz w:val="20"/>
                <w:szCs w:val="20"/>
                <w:lang w:eastAsia="en-AU"/>
              </w:rPr>
              <w:t>(1,570)</w:t>
            </w:r>
          </w:p>
        </w:tc>
      </w:tr>
      <w:tr w:rsidR="00B33455" w:rsidRPr="00B33455" w:rsidTr="00B33455">
        <w:trPr>
          <w:trHeight w:val="300"/>
        </w:trPr>
        <w:tc>
          <w:tcPr>
            <w:tcW w:w="3398" w:type="pct"/>
            <w:tcBorders>
              <w:top w:val="nil"/>
              <w:left w:val="nil"/>
              <w:bottom w:val="single" w:sz="8" w:space="0" w:color="auto"/>
              <w:right w:val="nil"/>
            </w:tcBorders>
            <w:shd w:val="clear" w:color="auto" w:fill="auto"/>
            <w:vAlign w:val="center"/>
            <w:hideMark/>
          </w:tcPr>
          <w:p w:rsidR="00B33455" w:rsidRPr="00B33455" w:rsidRDefault="00B33455" w:rsidP="00B33455">
            <w:pPr>
              <w:jc w:val="both"/>
              <w:rPr>
                <w:rFonts w:eastAsia="Times New Roman" w:cs="Arial"/>
                <w:sz w:val="20"/>
                <w:szCs w:val="20"/>
                <w:lang w:eastAsia="en-AU"/>
              </w:rPr>
            </w:pPr>
            <w:r w:rsidRPr="00B33455">
              <w:rPr>
                <w:rFonts w:eastAsia="Times New Roman" w:cs="Arial"/>
                <w:sz w:val="20"/>
                <w:szCs w:val="20"/>
                <w:lang w:eastAsia="en-AU"/>
              </w:rPr>
              <w:t>Amount of borrowings as at 30 June</w:t>
            </w:r>
          </w:p>
        </w:tc>
        <w:tc>
          <w:tcPr>
            <w:tcW w:w="801" w:type="pct"/>
            <w:tcBorders>
              <w:top w:val="nil"/>
              <w:left w:val="nil"/>
              <w:bottom w:val="single" w:sz="8" w:space="0" w:color="auto"/>
              <w:right w:val="nil"/>
            </w:tcBorders>
            <w:shd w:val="clear" w:color="auto" w:fill="auto"/>
            <w:vAlign w:val="center"/>
            <w:hideMark/>
          </w:tcPr>
          <w:p w:rsidR="00B33455" w:rsidRPr="00B33455" w:rsidRDefault="00B33455" w:rsidP="00B33455">
            <w:pPr>
              <w:jc w:val="right"/>
              <w:rPr>
                <w:rFonts w:eastAsia="Times New Roman" w:cs="Arial"/>
                <w:sz w:val="20"/>
                <w:szCs w:val="20"/>
                <w:lang w:eastAsia="en-AU"/>
              </w:rPr>
            </w:pPr>
            <w:r w:rsidRPr="00B33455">
              <w:rPr>
                <w:rFonts w:eastAsia="Times New Roman" w:cs="Arial"/>
                <w:sz w:val="20"/>
                <w:szCs w:val="20"/>
                <w:lang w:eastAsia="en-AU"/>
              </w:rPr>
              <w:t xml:space="preserve">               18,450 </w:t>
            </w:r>
          </w:p>
        </w:tc>
        <w:tc>
          <w:tcPr>
            <w:tcW w:w="801" w:type="pct"/>
            <w:tcBorders>
              <w:top w:val="nil"/>
              <w:left w:val="nil"/>
              <w:bottom w:val="single" w:sz="8" w:space="0" w:color="auto"/>
              <w:right w:val="nil"/>
            </w:tcBorders>
            <w:shd w:val="clear" w:color="000000" w:fill="DDEBF7"/>
            <w:vAlign w:val="center"/>
            <w:hideMark/>
          </w:tcPr>
          <w:p w:rsidR="00B33455" w:rsidRPr="00B33455" w:rsidRDefault="00B33455" w:rsidP="00B33455">
            <w:pPr>
              <w:jc w:val="right"/>
              <w:rPr>
                <w:rFonts w:eastAsia="Times New Roman" w:cs="Arial"/>
                <w:b/>
                <w:bCs/>
                <w:sz w:val="20"/>
                <w:szCs w:val="20"/>
                <w:lang w:eastAsia="en-AU"/>
              </w:rPr>
            </w:pPr>
            <w:r w:rsidRPr="00B33455">
              <w:rPr>
                <w:rFonts w:eastAsia="Times New Roman" w:cs="Arial"/>
                <w:b/>
                <w:bCs/>
                <w:sz w:val="20"/>
                <w:szCs w:val="20"/>
                <w:lang w:eastAsia="en-AU"/>
              </w:rPr>
              <w:t xml:space="preserve">               16,880 </w:t>
            </w:r>
          </w:p>
        </w:tc>
      </w:tr>
    </w:tbl>
    <w:p w:rsidR="009E4AF3" w:rsidRDefault="009E4AF3">
      <w:pPr>
        <w:rPr>
          <w:rFonts w:eastAsia="Times New Roman" w:cs="Arial"/>
          <w:b/>
          <w:bCs/>
          <w:color w:val="4A66AC" w:themeColor="accent1"/>
          <w:lang w:eastAsia="en-AU"/>
        </w:rPr>
      </w:pPr>
      <w:r>
        <w:rPr>
          <w:rFonts w:eastAsia="Times New Roman" w:cs="Arial"/>
          <w:b/>
          <w:bCs/>
          <w:color w:val="4A66AC" w:themeColor="accent1"/>
          <w:lang w:eastAsia="en-AU"/>
        </w:rPr>
        <w:br w:type="page"/>
      </w:r>
    </w:p>
    <w:p w:rsidR="00247EAF" w:rsidRDefault="001E7276" w:rsidP="00247EAF">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247EAF" w:rsidRPr="003254DF">
        <w:rPr>
          <w:rFonts w:eastAsia="Times New Roman" w:cs="Arial"/>
          <w:b/>
          <w:bCs/>
          <w:color w:val="4A66AC" w:themeColor="accent1"/>
          <w:lang w:eastAsia="en-AU"/>
        </w:rPr>
        <w:t>.2.</w:t>
      </w:r>
      <w:r w:rsidR="006B1BDF" w:rsidRPr="003254DF">
        <w:rPr>
          <w:rFonts w:eastAsia="Times New Roman" w:cs="Arial"/>
          <w:b/>
          <w:bCs/>
          <w:color w:val="4A66AC" w:themeColor="accent1"/>
          <w:lang w:eastAsia="en-AU"/>
        </w:rPr>
        <w:t>3</w:t>
      </w:r>
      <w:r w:rsidR="00247EAF" w:rsidRPr="003254DF">
        <w:rPr>
          <w:rFonts w:eastAsia="Times New Roman" w:cs="Arial"/>
          <w:b/>
          <w:bCs/>
          <w:color w:val="4A66AC" w:themeColor="accent1"/>
          <w:lang w:eastAsia="en-AU"/>
        </w:rPr>
        <w:t xml:space="preserve"> Current liabilities and non-current liabilities</w:t>
      </w:r>
    </w:p>
    <w:p w:rsidR="00340780" w:rsidRDefault="00340780" w:rsidP="0029462D">
      <w:pPr>
        <w:spacing w:after="20"/>
        <w:rPr>
          <w:rFonts w:eastAsia="Times New Roman" w:cs="Arial"/>
          <w:b/>
          <w:bCs/>
          <w:color w:val="4A66AC" w:themeColor="accent1"/>
          <w:lang w:eastAsia="en-AU"/>
        </w:rPr>
      </w:pPr>
    </w:p>
    <w:p w:rsidR="00247EAF" w:rsidRPr="00A86DDC" w:rsidRDefault="00247EAF" w:rsidP="00247EAF">
      <w:pPr>
        <w:jc w:val="both"/>
        <w:rPr>
          <w:rFonts w:eastAsia="Times New Roman" w:cs="Arial"/>
        </w:rPr>
      </w:pPr>
      <w:r w:rsidRPr="0029462D">
        <w:rPr>
          <w:rFonts w:eastAsia="Times New Roman" w:cs="Arial"/>
        </w:rPr>
        <w:t xml:space="preserve">‘Trade and other payables’ are those to whom Council owes money as at 30 June. These liabilities </w:t>
      </w:r>
      <w:r w:rsidRPr="00DF6D0D">
        <w:rPr>
          <w:rFonts w:eastAsia="Times New Roman" w:cs="Arial"/>
        </w:rPr>
        <w:t xml:space="preserve">are budgeted to </w:t>
      </w:r>
      <w:r w:rsidR="00A86DDC">
        <w:rPr>
          <w:rFonts w:eastAsia="Times New Roman" w:cs="Arial"/>
        </w:rPr>
        <w:t>in</w:t>
      </w:r>
      <w:r w:rsidR="00DF6D0D" w:rsidRPr="00DF6D0D">
        <w:rPr>
          <w:rFonts w:eastAsia="Times New Roman" w:cs="Arial"/>
        </w:rPr>
        <w:t>creas</w:t>
      </w:r>
      <w:r w:rsidRPr="00DF6D0D">
        <w:rPr>
          <w:rFonts w:eastAsia="Times New Roman" w:cs="Arial"/>
        </w:rPr>
        <w:t>e which is consistent with 20</w:t>
      </w:r>
      <w:r w:rsidR="003B7269">
        <w:rPr>
          <w:rFonts w:eastAsia="Times New Roman" w:cs="Arial"/>
        </w:rPr>
        <w:t>20</w:t>
      </w:r>
      <w:r w:rsidRPr="00DF6D0D">
        <w:rPr>
          <w:rFonts w:eastAsia="Times New Roman" w:cs="Arial"/>
        </w:rPr>
        <w:t>/</w:t>
      </w:r>
      <w:r w:rsidR="009A0C5A" w:rsidRPr="00A86DDC">
        <w:rPr>
          <w:rFonts w:eastAsia="Times New Roman" w:cs="Arial"/>
        </w:rPr>
        <w:t>2</w:t>
      </w:r>
      <w:r w:rsidR="003B7269" w:rsidRPr="00A86DDC">
        <w:rPr>
          <w:rFonts w:eastAsia="Times New Roman" w:cs="Arial"/>
        </w:rPr>
        <w:t>1</w:t>
      </w:r>
      <w:r w:rsidRPr="00A86DDC">
        <w:rPr>
          <w:rFonts w:eastAsia="Times New Roman" w:cs="Arial"/>
        </w:rPr>
        <w:t xml:space="preserve"> </w:t>
      </w:r>
      <w:r w:rsidR="00A86DDC" w:rsidRPr="00A86DDC">
        <w:rPr>
          <w:rFonts w:eastAsia="Times New Roman" w:cs="Arial"/>
        </w:rPr>
        <w:t>in</w:t>
      </w:r>
      <w:r w:rsidR="00DF6D0D" w:rsidRPr="00A86DDC">
        <w:rPr>
          <w:rFonts w:eastAsia="Times New Roman" w:cs="Arial"/>
        </w:rPr>
        <w:t>creased</w:t>
      </w:r>
      <w:r w:rsidRPr="00A86DDC">
        <w:rPr>
          <w:rFonts w:eastAsia="Times New Roman" w:cs="Arial"/>
        </w:rPr>
        <w:t xml:space="preserve"> levels of expenditure on materials and services relating to capital projects.</w:t>
      </w:r>
    </w:p>
    <w:p w:rsidR="00247EAF" w:rsidRPr="0029462D" w:rsidRDefault="00247EAF" w:rsidP="00247EAF">
      <w:pPr>
        <w:jc w:val="both"/>
        <w:rPr>
          <w:rFonts w:eastAsia="Times New Roman" w:cs="Arial"/>
          <w:color w:val="FF0000"/>
        </w:rPr>
      </w:pPr>
    </w:p>
    <w:p w:rsidR="00247EAF" w:rsidRPr="00A86DDC" w:rsidRDefault="00247EAF" w:rsidP="00247EAF">
      <w:pPr>
        <w:jc w:val="both"/>
        <w:rPr>
          <w:rFonts w:eastAsia="Times New Roman" w:cs="Arial"/>
        </w:rPr>
      </w:pPr>
      <w:r w:rsidRPr="0029462D">
        <w:rPr>
          <w:rFonts w:eastAsia="Times New Roman" w:cs="Arial"/>
        </w:rPr>
        <w:t xml:space="preserve">Provisions include accrued long service leave, annual leave and time in lieu to employees. These employee entitlements are only expected </w:t>
      </w:r>
      <w:r w:rsidRPr="00A86DDC">
        <w:rPr>
          <w:rFonts w:eastAsia="Times New Roman" w:cs="Arial"/>
        </w:rPr>
        <w:t>to increase marginally in line with EBA outcomes.</w:t>
      </w:r>
    </w:p>
    <w:p w:rsidR="00B6450B" w:rsidRDefault="00B6450B" w:rsidP="00247EAF">
      <w:pPr>
        <w:jc w:val="both"/>
        <w:rPr>
          <w:rFonts w:eastAsia="Times New Roman" w:cs="Arial"/>
        </w:rPr>
      </w:pPr>
    </w:p>
    <w:p w:rsidR="00B6450B" w:rsidRPr="003254DF" w:rsidRDefault="00B6450B" w:rsidP="00B6450B">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6.2.3 Leases by category</w:t>
      </w:r>
    </w:p>
    <w:p w:rsidR="00C4448F" w:rsidRDefault="00C4448F" w:rsidP="00B6450B">
      <w:pPr>
        <w:spacing w:after="20"/>
        <w:rPr>
          <w:rFonts w:eastAsia="Times New Roman" w:cs="Arial"/>
          <w:b/>
          <w:bCs/>
          <w:color w:val="4A66AC" w:themeColor="accent1"/>
          <w:lang w:eastAsia="en-AU"/>
        </w:rPr>
      </w:pPr>
    </w:p>
    <w:p w:rsidR="00B6450B" w:rsidRDefault="00C4448F" w:rsidP="00247EAF">
      <w:pPr>
        <w:jc w:val="both"/>
        <w:rPr>
          <w:rFonts w:eastAsia="Times New Roman" w:cs="Arial"/>
        </w:rPr>
      </w:pPr>
      <w:r w:rsidRPr="00C4448F">
        <w:rPr>
          <w:rFonts w:eastAsia="Times New Roman" w:cs="Arial"/>
        </w:rPr>
        <w:t>As a result of the introduction of AASB 16 Leases, right-of-use assets and lease liabilities have been recognised as outlined in the table below.</w:t>
      </w:r>
    </w:p>
    <w:p w:rsidR="00C4448F" w:rsidRDefault="00C4448F" w:rsidP="00247EAF">
      <w:pPr>
        <w:jc w:val="both"/>
        <w:rPr>
          <w:rFonts w:eastAsia="Times New Roman" w:cs="Arial"/>
        </w:rPr>
      </w:pPr>
    </w:p>
    <w:tbl>
      <w:tblPr>
        <w:tblW w:w="5000" w:type="pct"/>
        <w:tblLook w:val="04A0" w:firstRow="1" w:lastRow="0" w:firstColumn="1" w:lastColumn="0" w:noHBand="0" w:noVBand="1"/>
      </w:tblPr>
      <w:tblGrid>
        <w:gridCol w:w="5693"/>
        <w:gridCol w:w="1668"/>
        <w:gridCol w:w="1666"/>
      </w:tblGrid>
      <w:tr w:rsidR="009772E0" w:rsidRPr="009772E0" w:rsidTr="009772E0">
        <w:trPr>
          <w:trHeight w:val="290"/>
        </w:trPr>
        <w:tc>
          <w:tcPr>
            <w:tcW w:w="3153" w:type="pct"/>
            <w:vMerge w:val="restar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 </w:t>
            </w: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Forecast Actual</w:t>
            </w: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Budget</w:t>
            </w:r>
          </w:p>
        </w:tc>
      </w:tr>
      <w:tr w:rsidR="009772E0" w:rsidRPr="009772E0" w:rsidTr="009772E0">
        <w:trPr>
          <w:trHeight w:val="290"/>
        </w:trPr>
        <w:tc>
          <w:tcPr>
            <w:tcW w:w="3153" w:type="pct"/>
            <w:vMerge/>
            <w:tcBorders>
              <w:top w:val="nil"/>
              <w:left w:val="nil"/>
              <w:bottom w:val="nil"/>
              <w:right w:val="nil"/>
            </w:tcBorders>
            <w:vAlign w:val="center"/>
            <w:hideMark/>
          </w:tcPr>
          <w:p w:rsidR="009772E0" w:rsidRPr="009772E0" w:rsidRDefault="009772E0" w:rsidP="009772E0">
            <w:pPr>
              <w:rPr>
                <w:rFonts w:eastAsia="Times New Roman" w:cs="Arial"/>
                <w:b/>
                <w:bCs/>
                <w:color w:val="FFFFFF"/>
                <w:sz w:val="18"/>
                <w:szCs w:val="18"/>
                <w:lang w:eastAsia="en-AU"/>
              </w:rPr>
            </w:pP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2019/20</w:t>
            </w: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2020/21</w:t>
            </w:r>
          </w:p>
        </w:tc>
      </w:tr>
      <w:tr w:rsidR="009772E0" w:rsidRPr="009772E0" w:rsidTr="009772E0">
        <w:trPr>
          <w:trHeight w:val="290"/>
        </w:trPr>
        <w:tc>
          <w:tcPr>
            <w:tcW w:w="3153"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 </w:t>
            </w: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w:t>
            </w:r>
          </w:p>
        </w:tc>
        <w:tc>
          <w:tcPr>
            <w:tcW w:w="924" w:type="pct"/>
            <w:tcBorders>
              <w:top w:val="nil"/>
              <w:left w:val="nil"/>
              <w:bottom w:val="nil"/>
              <w:right w:val="nil"/>
            </w:tcBorders>
            <w:shd w:val="clear" w:color="000000" w:fill="5B9BD5"/>
            <w:vAlign w:val="center"/>
            <w:hideMark/>
          </w:tcPr>
          <w:p w:rsidR="009772E0" w:rsidRPr="009772E0" w:rsidRDefault="009772E0" w:rsidP="009772E0">
            <w:pPr>
              <w:jc w:val="center"/>
              <w:rPr>
                <w:rFonts w:eastAsia="Times New Roman" w:cs="Arial"/>
                <w:b/>
                <w:bCs/>
                <w:color w:val="FFFFFF"/>
                <w:sz w:val="18"/>
                <w:szCs w:val="18"/>
                <w:lang w:eastAsia="en-AU"/>
              </w:rPr>
            </w:pPr>
            <w:r w:rsidRPr="009772E0">
              <w:rPr>
                <w:rFonts w:eastAsia="Times New Roman" w:cs="Arial"/>
                <w:b/>
                <w:bCs/>
                <w:color w:val="FFFFFF"/>
                <w:sz w:val="18"/>
                <w:szCs w:val="18"/>
                <w:lang w:eastAsia="en-AU"/>
              </w:rPr>
              <w:t>$</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Right-of-use assets</w:t>
            </w:r>
          </w:p>
        </w:tc>
        <w:tc>
          <w:tcPr>
            <w:tcW w:w="924" w:type="pct"/>
            <w:tcBorders>
              <w:top w:val="nil"/>
              <w:left w:val="nil"/>
              <w:bottom w:val="nil"/>
              <w:right w:val="nil"/>
            </w:tcBorders>
            <w:shd w:val="clear" w:color="auto" w:fill="auto"/>
            <w:vAlign w:val="center"/>
            <w:hideMark/>
          </w:tcPr>
          <w:p w:rsidR="009772E0" w:rsidRPr="009772E0" w:rsidRDefault="009772E0" w:rsidP="009772E0">
            <w:pPr>
              <w:jc w:val="both"/>
              <w:rPr>
                <w:rFonts w:eastAsia="Times New Roman" w:cs="Arial"/>
                <w:b/>
                <w:bCs/>
                <w:sz w:val="16"/>
                <w:szCs w:val="16"/>
                <w:lang w:eastAsia="en-AU"/>
              </w:rPr>
            </w:pPr>
          </w:p>
        </w:tc>
        <w:tc>
          <w:tcPr>
            <w:tcW w:w="924" w:type="pct"/>
            <w:tcBorders>
              <w:top w:val="nil"/>
              <w:left w:val="nil"/>
              <w:bottom w:val="nil"/>
              <w:right w:val="nil"/>
            </w:tcBorders>
            <w:shd w:val="clear" w:color="000000" w:fill="DDEBF7"/>
            <w:vAlign w:val="center"/>
            <w:hideMark/>
          </w:tcPr>
          <w:p w:rsidR="009772E0" w:rsidRPr="009772E0" w:rsidRDefault="009772E0" w:rsidP="009772E0">
            <w:pPr>
              <w:jc w:val="right"/>
              <w:rPr>
                <w:rFonts w:eastAsia="Times New Roman" w:cs="Arial"/>
                <w:b/>
                <w:bCs/>
                <w:sz w:val="16"/>
                <w:szCs w:val="16"/>
                <w:lang w:eastAsia="en-AU"/>
              </w:rPr>
            </w:pPr>
            <w:r w:rsidRPr="009772E0">
              <w:rPr>
                <w:rFonts w:eastAsia="Times New Roman" w:cs="Arial"/>
                <w:b/>
                <w:bCs/>
                <w:sz w:val="16"/>
                <w:szCs w:val="16"/>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Current Right-of-use assets</w:t>
            </w:r>
          </w:p>
        </w:tc>
        <w:tc>
          <w:tcPr>
            <w:tcW w:w="924" w:type="pct"/>
            <w:tcBorders>
              <w:top w:val="nil"/>
              <w:left w:val="nil"/>
              <w:bottom w:val="nil"/>
              <w:right w:val="nil"/>
            </w:tcBorders>
            <w:shd w:val="clear" w:color="auto" w:fill="auto"/>
            <w:vAlign w:val="center"/>
            <w:hideMark/>
          </w:tcPr>
          <w:p w:rsidR="009772E0" w:rsidRPr="009772E0" w:rsidRDefault="009772E0" w:rsidP="009772E0">
            <w:pPr>
              <w:jc w:val="both"/>
              <w:rPr>
                <w:rFonts w:eastAsia="Times New Roman" w:cs="Arial"/>
                <w:b/>
                <w:bCs/>
                <w:sz w:val="16"/>
                <w:szCs w:val="16"/>
                <w:lang w:eastAsia="en-AU"/>
              </w:rPr>
            </w:pPr>
          </w:p>
        </w:tc>
        <w:tc>
          <w:tcPr>
            <w:tcW w:w="924" w:type="pct"/>
            <w:tcBorders>
              <w:top w:val="nil"/>
              <w:left w:val="nil"/>
              <w:bottom w:val="nil"/>
              <w:right w:val="nil"/>
            </w:tcBorders>
            <w:shd w:val="clear" w:color="000000" w:fill="DDEBF7"/>
            <w:vAlign w:val="center"/>
            <w:hideMark/>
          </w:tcPr>
          <w:p w:rsidR="009772E0" w:rsidRPr="009772E0" w:rsidRDefault="009772E0" w:rsidP="009772E0">
            <w:pPr>
              <w:jc w:val="right"/>
              <w:rPr>
                <w:rFonts w:eastAsia="Times New Roman" w:cs="Arial"/>
                <w:b/>
                <w:bCs/>
                <w:sz w:val="16"/>
                <w:szCs w:val="16"/>
                <w:lang w:eastAsia="en-AU"/>
              </w:rPr>
            </w:pPr>
            <w:r w:rsidRPr="009772E0">
              <w:rPr>
                <w:rFonts w:eastAsia="Times New Roman" w:cs="Arial"/>
                <w:b/>
                <w:bCs/>
                <w:sz w:val="16"/>
                <w:szCs w:val="16"/>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0"/>
              <w:rPr>
                <w:rFonts w:eastAsia="Times New Roman" w:cs="Arial"/>
                <w:sz w:val="20"/>
                <w:szCs w:val="20"/>
                <w:lang w:eastAsia="en-AU"/>
              </w:rPr>
            </w:pPr>
            <w:r w:rsidRPr="000A59FA">
              <w:rPr>
                <w:rFonts w:eastAsia="Times New Roman" w:cs="Arial"/>
                <w:sz w:val="20"/>
                <w:szCs w:val="20"/>
                <w:lang w:eastAsia="en-AU"/>
              </w:rPr>
              <w:t>Plant and equipment</w:t>
            </w:r>
          </w:p>
        </w:tc>
        <w:tc>
          <w:tcPr>
            <w:tcW w:w="924" w:type="pct"/>
            <w:tcBorders>
              <w:top w:val="nil"/>
              <w:left w:val="nil"/>
              <w:bottom w:val="single" w:sz="4"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516 </w:t>
            </w:r>
          </w:p>
        </w:tc>
        <w:tc>
          <w:tcPr>
            <w:tcW w:w="924" w:type="pct"/>
            <w:tcBorders>
              <w:top w:val="nil"/>
              <w:left w:val="nil"/>
              <w:bottom w:val="single" w:sz="4"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501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Total Current Right-of-use assets</w:t>
            </w:r>
          </w:p>
        </w:tc>
        <w:tc>
          <w:tcPr>
            <w:tcW w:w="924" w:type="pct"/>
            <w:tcBorders>
              <w:top w:val="nil"/>
              <w:left w:val="nil"/>
              <w:bottom w:val="nil"/>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516 </w:t>
            </w: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501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Non Current Right-of-use assets</w:t>
            </w:r>
          </w:p>
        </w:tc>
        <w:tc>
          <w:tcPr>
            <w:tcW w:w="924"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0"/>
              <w:rPr>
                <w:rFonts w:eastAsia="Times New Roman" w:cs="Arial"/>
                <w:sz w:val="20"/>
                <w:szCs w:val="20"/>
                <w:lang w:eastAsia="en-AU"/>
              </w:rPr>
            </w:pPr>
            <w:r w:rsidRPr="000A59FA">
              <w:rPr>
                <w:rFonts w:eastAsia="Times New Roman" w:cs="Arial"/>
                <w:sz w:val="20"/>
                <w:szCs w:val="20"/>
                <w:lang w:eastAsia="en-AU"/>
              </w:rPr>
              <w:t>Plant and equipment</w:t>
            </w:r>
          </w:p>
        </w:tc>
        <w:tc>
          <w:tcPr>
            <w:tcW w:w="924" w:type="pct"/>
            <w:tcBorders>
              <w:top w:val="nil"/>
              <w:left w:val="nil"/>
              <w:bottom w:val="single" w:sz="4"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762 </w:t>
            </w:r>
          </w:p>
        </w:tc>
        <w:tc>
          <w:tcPr>
            <w:tcW w:w="924" w:type="pct"/>
            <w:tcBorders>
              <w:top w:val="nil"/>
              <w:left w:val="nil"/>
              <w:bottom w:val="single" w:sz="4"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261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Total Non Current Right-of-use assets</w:t>
            </w:r>
          </w:p>
        </w:tc>
        <w:tc>
          <w:tcPr>
            <w:tcW w:w="924" w:type="pct"/>
            <w:tcBorders>
              <w:top w:val="nil"/>
              <w:left w:val="nil"/>
              <w:bottom w:val="single" w:sz="4"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762 </w:t>
            </w:r>
          </w:p>
        </w:tc>
        <w:tc>
          <w:tcPr>
            <w:tcW w:w="924" w:type="pct"/>
            <w:tcBorders>
              <w:top w:val="nil"/>
              <w:left w:val="nil"/>
              <w:bottom w:val="single" w:sz="4"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261 </w:t>
            </w:r>
          </w:p>
        </w:tc>
      </w:tr>
      <w:tr w:rsidR="009772E0" w:rsidRPr="009772E0" w:rsidTr="009772E0">
        <w:trPr>
          <w:trHeight w:val="30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Total right-of-use assets</w:t>
            </w:r>
          </w:p>
        </w:tc>
        <w:tc>
          <w:tcPr>
            <w:tcW w:w="924" w:type="pct"/>
            <w:tcBorders>
              <w:top w:val="nil"/>
              <w:left w:val="nil"/>
              <w:bottom w:val="single" w:sz="8"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1,278 </w:t>
            </w:r>
          </w:p>
        </w:tc>
        <w:tc>
          <w:tcPr>
            <w:tcW w:w="924" w:type="pct"/>
            <w:tcBorders>
              <w:top w:val="nil"/>
              <w:left w:val="nil"/>
              <w:bottom w:val="single" w:sz="8"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762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right"/>
              <w:rPr>
                <w:rFonts w:eastAsia="Times New Roman" w:cs="Arial"/>
                <w:b/>
                <w:bCs/>
                <w:sz w:val="20"/>
                <w:szCs w:val="20"/>
                <w:lang w:eastAsia="en-AU"/>
              </w:rPr>
            </w:pPr>
          </w:p>
        </w:tc>
        <w:tc>
          <w:tcPr>
            <w:tcW w:w="924" w:type="pct"/>
            <w:tcBorders>
              <w:top w:val="nil"/>
              <w:left w:val="nil"/>
              <w:bottom w:val="nil"/>
              <w:right w:val="nil"/>
            </w:tcBorders>
            <w:shd w:val="clear" w:color="auto" w:fill="auto"/>
            <w:vAlign w:val="center"/>
            <w:hideMark/>
          </w:tcPr>
          <w:p w:rsidR="009772E0" w:rsidRPr="000A59FA" w:rsidRDefault="009772E0" w:rsidP="009772E0">
            <w:pPr>
              <w:jc w:val="both"/>
              <w:rPr>
                <w:rFonts w:ascii="Times New Roman" w:eastAsia="Times New Roman" w:hAnsi="Times New Roman"/>
                <w:sz w:val="20"/>
                <w:szCs w:val="20"/>
                <w:lang w:eastAsia="en-AU"/>
              </w:rPr>
            </w:pP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Lease liabilities</w:t>
            </w:r>
          </w:p>
        </w:tc>
        <w:tc>
          <w:tcPr>
            <w:tcW w:w="924"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Current lease Liabilities</w:t>
            </w:r>
          </w:p>
        </w:tc>
        <w:tc>
          <w:tcPr>
            <w:tcW w:w="924"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0"/>
              <w:rPr>
                <w:rFonts w:eastAsia="Times New Roman" w:cs="Arial"/>
                <w:sz w:val="20"/>
                <w:szCs w:val="20"/>
                <w:lang w:eastAsia="en-AU"/>
              </w:rPr>
            </w:pPr>
            <w:r w:rsidRPr="000A59FA">
              <w:rPr>
                <w:rFonts w:eastAsia="Times New Roman" w:cs="Arial"/>
                <w:sz w:val="20"/>
                <w:szCs w:val="20"/>
                <w:lang w:eastAsia="en-AU"/>
              </w:rPr>
              <w:t>Plant and equipment</w:t>
            </w:r>
          </w:p>
        </w:tc>
        <w:tc>
          <w:tcPr>
            <w:tcW w:w="924" w:type="pct"/>
            <w:tcBorders>
              <w:top w:val="nil"/>
              <w:left w:val="nil"/>
              <w:bottom w:val="nil"/>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507 </w:t>
            </w: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511 </w:t>
            </w:r>
          </w:p>
        </w:tc>
      </w:tr>
      <w:tr w:rsidR="009772E0" w:rsidRPr="009772E0" w:rsidTr="009772E0">
        <w:trPr>
          <w:trHeight w:val="30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1"/>
              <w:rPr>
                <w:rFonts w:eastAsia="Times New Roman" w:cs="Arial"/>
                <w:b/>
                <w:bCs/>
                <w:sz w:val="20"/>
                <w:szCs w:val="20"/>
                <w:lang w:eastAsia="en-AU"/>
              </w:rPr>
            </w:pPr>
            <w:r w:rsidRPr="000A59FA">
              <w:rPr>
                <w:rFonts w:eastAsia="Times New Roman" w:cs="Arial"/>
                <w:b/>
                <w:bCs/>
                <w:sz w:val="20"/>
                <w:szCs w:val="20"/>
                <w:lang w:eastAsia="en-AU"/>
              </w:rPr>
              <w:t>Total current lease liabilities</w:t>
            </w:r>
          </w:p>
        </w:tc>
        <w:tc>
          <w:tcPr>
            <w:tcW w:w="924" w:type="pct"/>
            <w:tcBorders>
              <w:top w:val="nil"/>
              <w:left w:val="nil"/>
              <w:bottom w:val="single" w:sz="8"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507 </w:t>
            </w:r>
          </w:p>
        </w:tc>
        <w:tc>
          <w:tcPr>
            <w:tcW w:w="924" w:type="pct"/>
            <w:tcBorders>
              <w:top w:val="nil"/>
              <w:left w:val="nil"/>
              <w:bottom w:val="single" w:sz="8"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511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r w:rsidRPr="000A59FA">
              <w:rPr>
                <w:rFonts w:eastAsia="Times New Roman" w:cs="Arial"/>
                <w:b/>
                <w:bCs/>
                <w:sz w:val="20"/>
                <w:szCs w:val="20"/>
                <w:lang w:eastAsia="en-AU"/>
              </w:rPr>
              <w:t>Non-current lease liabilities</w:t>
            </w:r>
          </w:p>
        </w:tc>
        <w:tc>
          <w:tcPr>
            <w:tcW w:w="924" w:type="pct"/>
            <w:tcBorders>
              <w:top w:val="nil"/>
              <w:left w:val="nil"/>
              <w:bottom w:val="nil"/>
              <w:right w:val="nil"/>
            </w:tcBorders>
            <w:shd w:val="clear" w:color="auto" w:fill="auto"/>
            <w:vAlign w:val="center"/>
            <w:hideMark/>
          </w:tcPr>
          <w:p w:rsidR="009772E0" w:rsidRPr="000A59FA" w:rsidRDefault="009772E0" w:rsidP="009772E0">
            <w:pPr>
              <w:jc w:val="both"/>
              <w:rPr>
                <w:rFonts w:eastAsia="Times New Roman" w:cs="Arial"/>
                <w:b/>
                <w:bCs/>
                <w:sz w:val="20"/>
                <w:szCs w:val="20"/>
                <w:lang w:eastAsia="en-AU"/>
              </w:rPr>
            </w:pP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w:t>
            </w:r>
          </w:p>
        </w:tc>
      </w:tr>
      <w:tr w:rsidR="009772E0" w:rsidRPr="009772E0" w:rsidTr="009772E0">
        <w:trPr>
          <w:trHeight w:val="29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0"/>
              <w:rPr>
                <w:rFonts w:eastAsia="Times New Roman" w:cs="Arial"/>
                <w:sz w:val="20"/>
                <w:szCs w:val="20"/>
                <w:lang w:eastAsia="en-AU"/>
              </w:rPr>
            </w:pPr>
            <w:r w:rsidRPr="000A59FA">
              <w:rPr>
                <w:rFonts w:eastAsia="Times New Roman" w:cs="Arial"/>
                <w:sz w:val="20"/>
                <w:szCs w:val="20"/>
                <w:lang w:eastAsia="en-AU"/>
              </w:rPr>
              <w:t>Plant and equipment</w:t>
            </w:r>
          </w:p>
        </w:tc>
        <w:tc>
          <w:tcPr>
            <w:tcW w:w="924" w:type="pct"/>
            <w:tcBorders>
              <w:top w:val="nil"/>
              <w:left w:val="nil"/>
              <w:bottom w:val="nil"/>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785 </w:t>
            </w:r>
          </w:p>
        </w:tc>
        <w:tc>
          <w:tcPr>
            <w:tcW w:w="924" w:type="pct"/>
            <w:tcBorders>
              <w:top w:val="nil"/>
              <w:left w:val="nil"/>
              <w:bottom w:val="nil"/>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274 </w:t>
            </w:r>
          </w:p>
        </w:tc>
      </w:tr>
      <w:tr w:rsidR="009772E0" w:rsidRPr="009772E0" w:rsidTr="009772E0">
        <w:trPr>
          <w:trHeight w:val="300"/>
        </w:trPr>
        <w:tc>
          <w:tcPr>
            <w:tcW w:w="3153" w:type="pct"/>
            <w:tcBorders>
              <w:top w:val="nil"/>
              <w:left w:val="nil"/>
              <w:bottom w:val="nil"/>
              <w:right w:val="nil"/>
            </w:tcBorders>
            <w:shd w:val="clear" w:color="auto" w:fill="auto"/>
            <w:vAlign w:val="center"/>
            <w:hideMark/>
          </w:tcPr>
          <w:p w:rsidR="009772E0" w:rsidRPr="000A59FA" w:rsidRDefault="009772E0" w:rsidP="009772E0">
            <w:pPr>
              <w:ind w:firstLineChars="100" w:firstLine="201"/>
              <w:rPr>
                <w:rFonts w:eastAsia="Times New Roman" w:cs="Arial"/>
                <w:b/>
                <w:bCs/>
                <w:sz w:val="20"/>
                <w:szCs w:val="20"/>
                <w:lang w:eastAsia="en-AU"/>
              </w:rPr>
            </w:pPr>
            <w:r w:rsidRPr="000A59FA">
              <w:rPr>
                <w:rFonts w:eastAsia="Times New Roman" w:cs="Arial"/>
                <w:b/>
                <w:bCs/>
                <w:sz w:val="20"/>
                <w:szCs w:val="20"/>
                <w:lang w:eastAsia="en-AU"/>
              </w:rPr>
              <w:t>Total non-current lease liabilities</w:t>
            </w:r>
          </w:p>
        </w:tc>
        <w:tc>
          <w:tcPr>
            <w:tcW w:w="924" w:type="pct"/>
            <w:tcBorders>
              <w:top w:val="nil"/>
              <w:left w:val="nil"/>
              <w:bottom w:val="single" w:sz="8"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785 </w:t>
            </w:r>
          </w:p>
        </w:tc>
        <w:tc>
          <w:tcPr>
            <w:tcW w:w="924" w:type="pct"/>
            <w:tcBorders>
              <w:top w:val="nil"/>
              <w:left w:val="nil"/>
              <w:bottom w:val="single" w:sz="8"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274 </w:t>
            </w:r>
          </w:p>
        </w:tc>
      </w:tr>
      <w:tr w:rsidR="009772E0" w:rsidRPr="009772E0" w:rsidTr="009772E0">
        <w:trPr>
          <w:trHeight w:val="300"/>
        </w:trPr>
        <w:tc>
          <w:tcPr>
            <w:tcW w:w="3153" w:type="pct"/>
            <w:tcBorders>
              <w:top w:val="nil"/>
              <w:left w:val="nil"/>
              <w:bottom w:val="single" w:sz="8" w:space="0" w:color="auto"/>
              <w:right w:val="nil"/>
            </w:tcBorders>
            <w:shd w:val="clear" w:color="auto" w:fill="auto"/>
            <w:vAlign w:val="center"/>
            <w:hideMark/>
          </w:tcPr>
          <w:p w:rsidR="009772E0" w:rsidRPr="00DC7FA7" w:rsidRDefault="009772E0" w:rsidP="009772E0">
            <w:pPr>
              <w:jc w:val="both"/>
              <w:rPr>
                <w:rFonts w:eastAsia="Times New Roman" w:cs="Arial"/>
                <w:b/>
                <w:sz w:val="20"/>
                <w:szCs w:val="20"/>
                <w:lang w:eastAsia="en-AU"/>
              </w:rPr>
            </w:pPr>
            <w:r w:rsidRPr="00DC7FA7">
              <w:rPr>
                <w:rFonts w:eastAsia="Times New Roman" w:cs="Arial"/>
                <w:b/>
                <w:sz w:val="20"/>
                <w:szCs w:val="20"/>
                <w:lang w:eastAsia="en-AU"/>
              </w:rPr>
              <w:t>Total lease liabilities</w:t>
            </w:r>
          </w:p>
        </w:tc>
        <w:tc>
          <w:tcPr>
            <w:tcW w:w="924" w:type="pct"/>
            <w:tcBorders>
              <w:top w:val="nil"/>
              <w:left w:val="nil"/>
              <w:bottom w:val="single" w:sz="8" w:space="0" w:color="auto"/>
              <w:right w:val="nil"/>
            </w:tcBorders>
            <w:shd w:val="clear" w:color="auto" w:fill="auto"/>
            <w:vAlign w:val="center"/>
            <w:hideMark/>
          </w:tcPr>
          <w:p w:rsidR="009772E0" w:rsidRPr="000A59FA" w:rsidRDefault="009772E0" w:rsidP="009772E0">
            <w:pPr>
              <w:jc w:val="right"/>
              <w:rPr>
                <w:rFonts w:eastAsia="Times New Roman" w:cs="Arial"/>
                <w:sz w:val="20"/>
                <w:szCs w:val="20"/>
                <w:lang w:eastAsia="en-AU"/>
              </w:rPr>
            </w:pPr>
            <w:r w:rsidRPr="000A59FA">
              <w:rPr>
                <w:rFonts w:eastAsia="Times New Roman" w:cs="Arial"/>
                <w:sz w:val="20"/>
                <w:szCs w:val="20"/>
                <w:lang w:eastAsia="en-AU"/>
              </w:rPr>
              <w:t xml:space="preserve">                                 1,292 </w:t>
            </w:r>
          </w:p>
        </w:tc>
        <w:tc>
          <w:tcPr>
            <w:tcW w:w="924" w:type="pct"/>
            <w:tcBorders>
              <w:top w:val="nil"/>
              <w:left w:val="nil"/>
              <w:bottom w:val="single" w:sz="8" w:space="0" w:color="auto"/>
              <w:right w:val="nil"/>
            </w:tcBorders>
            <w:shd w:val="clear" w:color="000000" w:fill="DDEBF7"/>
            <w:vAlign w:val="center"/>
            <w:hideMark/>
          </w:tcPr>
          <w:p w:rsidR="009772E0" w:rsidRPr="000A59FA" w:rsidRDefault="009772E0" w:rsidP="009772E0">
            <w:pPr>
              <w:jc w:val="right"/>
              <w:rPr>
                <w:rFonts w:eastAsia="Times New Roman" w:cs="Arial"/>
                <w:b/>
                <w:bCs/>
                <w:sz w:val="20"/>
                <w:szCs w:val="20"/>
                <w:lang w:eastAsia="en-AU"/>
              </w:rPr>
            </w:pPr>
            <w:r w:rsidRPr="000A59FA">
              <w:rPr>
                <w:rFonts w:eastAsia="Times New Roman" w:cs="Arial"/>
                <w:b/>
                <w:bCs/>
                <w:sz w:val="20"/>
                <w:szCs w:val="20"/>
                <w:lang w:eastAsia="en-AU"/>
              </w:rPr>
              <w:t xml:space="preserve">                                   785 </w:t>
            </w:r>
          </w:p>
        </w:tc>
      </w:tr>
    </w:tbl>
    <w:p w:rsidR="00C4448F" w:rsidRPr="0029462D" w:rsidRDefault="00C4448F" w:rsidP="00247EAF">
      <w:pPr>
        <w:jc w:val="both"/>
        <w:rPr>
          <w:rFonts w:eastAsia="Times New Roman" w:cs="Arial"/>
        </w:rPr>
      </w:pPr>
    </w:p>
    <w:p w:rsidR="00247EAF" w:rsidRPr="00073A7F" w:rsidRDefault="00073A7F" w:rsidP="00247EAF">
      <w:pPr>
        <w:jc w:val="both"/>
        <w:rPr>
          <w:rFonts w:eastAsia="Times New Roman" w:cs="Arial"/>
        </w:rPr>
      </w:pPr>
      <w:r w:rsidRPr="00073A7F">
        <w:rPr>
          <w:rFonts w:eastAsia="Times New Roman" w:cs="Arial"/>
        </w:rPr>
        <w:t xml:space="preserve">Where the interest rate applicable to a lease is not expressed in the lease agreement, Council applies the average incremental borrowing rate in the calculation of lease liabilities.  The current incremental borrowing rate is </w:t>
      </w:r>
      <w:r w:rsidRPr="00EE3478">
        <w:rPr>
          <w:rFonts w:eastAsia="Times New Roman" w:cs="Arial"/>
        </w:rPr>
        <w:t>3.5%.</w:t>
      </w:r>
    </w:p>
    <w:p w:rsidR="00073A7F" w:rsidRDefault="00073A7F" w:rsidP="00247EAF">
      <w:pPr>
        <w:jc w:val="both"/>
        <w:rPr>
          <w:rFonts w:eastAsia="Times New Roman" w:cs="Arial"/>
          <w:color w:val="FF0000"/>
        </w:rPr>
      </w:pPr>
    </w:p>
    <w:p w:rsidR="008858D5" w:rsidRPr="00341029" w:rsidRDefault="001E7276" w:rsidP="008858D5">
      <w:pPr>
        <w:jc w:val="both"/>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8858D5" w:rsidRPr="003254DF">
        <w:rPr>
          <w:rFonts w:eastAsia="Times New Roman" w:cs="Arial"/>
          <w:b/>
          <w:bCs/>
          <w:color w:val="4A66AC" w:themeColor="accent1"/>
          <w:lang w:eastAsia="en-AU"/>
        </w:rPr>
        <w:t>.2.4 Working capital</w:t>
      </w:r>
    </w:p>
    <w:p w:rsidR="008858D5" w:rsidRPr="0029462D" w:rsidRDefault="008858D5" w:rsidP="008858D5">
      <w:pPr>
        <w:jc w:val="both"/>
        <w:rPr>
          <w:rFonts w:eastAsia="Times New Roman" w:cs="Arial"/>
          <w:color w:val="FF0000"/>
        </w:rPr>
      </w:pPr>
    </w:p>
    <w:p w:rsidR="008858D5" w:rsidRPr="0029462D" w:rsidRDefault="008858D5" w:rsidP="008858D5">
      <w:pPr>
        <w:jc w:val="both"/>
        <w:rPr>
          <w:rFonts w:eastAsia="Times New Roman" w:cs="Arial"/>
        </w:rPr>
      </w:pPr>
      <w:r w:rsidRPr="0029462D">
        <w:rPr>
          <w:rFonts w:eastAsia="Times New Roman" w:cs="Arial"/>
        </w:rPr>
        <w:t>Working capital is the excess of current assets above current liabilities.  This calculation recognises that although Council has current assets, some of those assets are already committed to the future settlement of liabilities in the following 12 months and are therefore not available for discretionary spending.</w:t>
      </w:r>
    </w:p>
    <w:p w:rsidR="008858D5" w:rsidRPr="003C1240" w:rsidRDefault="008858D5" w:rsidP="008858D5">
      <w:pPr>
        <w:jc w:val="both"/>
        <w:rPr>
          <w:rFonts w:eastAsia="Times New Roman" w:cs="Arial"/>
        </w:rPr>
      </w:pPr>
    </w:p>
    <w:p w:rsidR="008858D5" w:rsidRDefault="008858D5" w:rsidP="008858D5">
      <w:pPr>
        <w:jc w:val="both"/>
        <w:rPr>
          <w:rFonts w:eastAsia="Times New Roman" w:cs="Arial"/>
        </w:rPr>
      </w:pPr>
      <w:r w:rsidRPr="003C1240">
        <w:rPr>
          <w:rFonts w:eastAsia="Times New Roman" w:cs="Arial"/>
        </w:rPr>
        <w:lastRenderedPageBreak/>
        <w:t xml:space="preserve">The expected working capital </w:t>
      </w:r>
      <w:r w:rsidRPr="00ED2CD1">
        <w:rPr>
          <w:rFonts w:eastAsia="Times New Roman" w:cs="Arial"/>
        </w:rPr>
        <w:t>ratio for 20</w:t>
      </w:r>
      <w:r w:rsidR="00B75098" w:rsidRPr="00ED2CD1">
        <w:rPr>
          <w:rFonts w:eastAsia="Times New Roman" w:cs="Arial"/>
        </w:rPr>
        <w:t>20</w:t>
      </w:r>
      <w:r w:rsidRPr="00ED2CD1">
        <w:rPr>
          <w:rFonts w:eastAsia="Times New Roman" w:cs="Arial"/>
        </w:rPr>
        <w:t>/</w:t>
      </w:r>
      <w:r w:rsidR="008D68C7" w:rsidRPr="00ED2CD1">
        <w:rPr>
          <w:rFonts w:eastAsia="Times New Roman" w:cs="Arial"/>
        </w:rPr>
        <w:t>2</w:t>
      </w:r>
      <w:r w:rsidR="00B75098" w:rsidRPr="00ED2CD1">
        <w:rPr>
          <w:rFonts w:eastAsia="Times New Roman" w:cs="Arial"/>
        </w:rPr>
        <w:t>1</w:t>
      </w:r>
      <w:r w:rsidRPr="00ED2CD1">
        <w:rPr>
          <w:rFonts w:eastAsia="Times New Roman" w:cs="Arial"/>
        </w:rPr>
        <w:t xml:space="preserve"> is 1.</w:t>
      </w:r>
      <w:r w:rsidR="00ED2CD1" w:rsidRPr="00ED2CD1">
        <w:rPr>
          <w:rFonts w:eastAsia="Times New Roman" w:cs="Arial"/>
        </w:rPr>
        <w:t>13</w:t>
      </w:r>
      <w:r w:rsidRPr="00ED2CD1">
        <w:rPr>
          <w:rFonts w:eastAsia="Times New Roman" w:cs="Arial"/>
        </w:rPr>
        <w:t xml:space="preserve">:1 </w:t>
      </w:r>
      <w:r w:rsidRPr="003C1240">
        <w:rPr>
          <w:rFonts w:eastAsia="Times New Roman" w:cs="Arial"/>
        </w:rPr>
        <w:t xml:space="preserve">which </w:t>
      </w:r>
      <w:r w:rsidRPr="0029462D">
        <w:rPr>
          <w:rFonts w:eastAsia="Times New Roman" w:cs="Arial"/>
        </w:rPr>
        <w:t xml:space="preserve">means that Council can meet its </w:t>
      </w:r>
      <w:r w:rsidR="00797270" w:rsidRPr="0029462D">
        <w:rPr>
          <w:rFonts w:eastAsia="Times New Roman" w:cs="Arial"/>
        </w:rPr>
        <w:t>short-term</w:t>
      </w:r>
      <w:r w:rsidRPr="0029462D">
        <w:rPr>
          <w:rFonts w:eastAsia="Times New Roman" w:cs="Arial"/>
        </w:rPr>
        <w:t xml:space="preserve"> obligations and has sufficient cash or operating liquidity remaining to meet fluctuating cash levels during the year.</w:t>
      </w:r>
    </w:p>
    <w:p w:rsidR="00DB1CE6" w:rsidRDefault="00DB1CE6" w:rsidP="008858D5">
      <w:pPr>
        <w:jc w:val="both"/>
        <w:rPr>
          <w:rFonts w:eastAsia="Times New Roman" w:cs="Arial"/>
        </w:rPr>
      </w:pPr>
    </w:p>
    <w:p w:rsidR="00DB1CE6" w:rsidRDefault="001E7276" w:rsidP="00DB1CE6">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DB1CE6" w:rsidRPr="003254DF">
        <w:rPr>
          <w:rFonts w:eastAsia="Times New Roman" w:cs="Arial"/>
          <w:b/>
          <w:bCs/>
          <w:color w:val="4A66AC" w:themeColor="accent1"/>
          <w:lang w:eastAsia="en-AU"/>
        </w:rPr>
        <w:t>.3 Statement of changes in Equity</w:t>
      </w:r>
    </w:p>
    <w:p w:rsidR="00DB1CE6" w:rsidRPr="0029462D" w:rsidRDefault="00DB1CE6" w:rsidP="008858D5">
      <w:pPr>
        <w:jc w:val="both"/>
        <w:rPr>
          <w:rFonts w:eastAsia="Times New Roman" w:cs="Arial"/>
        </w:rPr>
      </w:pPr>
    </w:p>
    <w:p w:rsidR="008858D5" w:rsidRDefault="001E7276" w:rsidP="00FA2193">
      <w:pPr>
        <w:rPr>
          <w:rFonts w:cs="Arial"/>
          <w:b/>
          <w:bCs/>
          <w:color w:val="4A66AC" w:themeColor="accent1"/>
          <w:lang w:eastAsia="en-AU"/>
        </w:rPr>
      </w:pPr>
      <w:r>
        <w:rPr>
          <w:rFonts w:cs="Arial"/>
          <w:b/>
          <w:bCs/>
          <w:color w:val="4A66AC" w:themeColor="accent1"/>
          <w:lang w:eastAsia="en-AU"/>
        </w:rPr>
        <w:t>6</w:t>
      </w:r>
      <w:r w:rsidR="00FA2193">
        <w:rPr>
          <w:rFonts w:cs="Arial"/>
          <w:b/>
          <w:bCs/>
          <w:color w:val="4A66AC" w:themeColor="accent1"/>
          <w:lang w:eastAsia="en-AU"/>
        </w:rPr>
        <w:t>.</w:t>
      </w:r>
      <w:r w:rsidR="00DB1CE6">
        <w:rPr>
          <w:rFonts w:cs="Arial"/>
          <w:b/>
          <w:bCs/>
          <w:color w:val="4A66AC" w:themeColor="accent1"/>
          <w:lang w:eastAsia="en-AU"/>
        </w:rPr>
        <w:t>3.1 E</w:t>
      </w:r>
      <w:r w:rsidR="00FA2193">
        <w:rPr>
          <w:rFonts w:cs="Arial"/>
          <w:b/>
          <w:bCs/>
          <w:color w:val="4A66AC" w:themeColor="accent1"/>
          <w:lang w:eastAsia="en-AU"/>
        </w:rPr>
        <w:t>quity</w:t>
      </w:r>
    </w:p>
    <w:p w:rsidR="00FA2193" w:rsidRPr="00341029" w:rsidRDefault="00FA2193" w:rsidP="00FA2193">
      <w:pPr>
        <w:rPr>
          <w:rFonts w:cs="Arial"/>
          <w:b/>
          <w:bCs/>
          <w:color w:val="4A66AC" w:themeColor="accent1"/>
          <w:lang w:eastAsia="en-AU"/>
        </w:rPr>
      </w:pPr>
    </w:p>
    <w:p w:rsidR="008858D5" w:rsidRPr="0029462D" w:rsidRDefault="008858D5" w:rsidP="008858D5">
      <w:pPr>
        <w:jc w:val="both"/>
        <w:rPr>
          <w:rFonts w:eastAsia="Times New Roman" w:cs="Arial"/>
        </w:rPr>
      </w:pPr>
      <w:r w:rsidRPr="0029462D">
        <w:rPr>
          <w:rFonts w:eastAsia="Times New Roman" w:cs="Arial"/>
        </w:rPr>
        <w:t>Total equity always equals net assets and is made up of the following components:</w:t>
      </w:r>
    </w:p>
    <w:p w:rsidR="008858D5" w:rsidRPr="0029462D"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Asset revaluation reserve which represents the difference between the previously recorded value of assets and their current valuations.</w:t>
      </w:r>
    </w:p>
    <w:p w:rsidR="008858D5" w:rsidRPr="00202F44"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 xml:space="preserve">Accumulated surplus which is the value of all net assets less Reserves that have accumulated over time.  The </w:t>
      </w:r>
      <w:r w:rsidRPr="00685001">
        <w:rPr>
          <w:rFonts w:eastAsia="Times New Roman" w:cs="Arial"/>
        </w:rPr>
        <w:t xml:space="preserve">increase in accumulated surplus </w:t>
      </w:r>
      <w:r w:rsidRPr="0058061C">
        <w:rPr>
          <w:rFonts w:eastAsia="Times New Roman" w:cs="Arial"/>
        </w:rPr>
        <w:t>of $</w:t>
      </w:r>
      <w:r w:rsidR="0058061C" w:rsidRPr="0058061C">
        <w:rPr>
          <w:rFonts w:eastAsia="Times New Roman" w:cs="Arial"/>
        </w:rPr>
        <w:t>40.15</w:t>
      </w:r>
      <w:r w:rsidRPr="0058061C">
        <w:rPr>
          <w:rFonts w:eastAsia="Times New Roman" w:cs="Arial"/>
        </w:rPr>
        <w:t xml:space="preserve"> million </w:t>
      </w:r>
      <w:r w:rsidRPr="00685001">
        <w:rPr>
          <w:rFonts w:eastAsia="Times New Roman" w:cs="Arial"/>
        </w:rPr>
        <w:t xml:space="preserve">results </w:t>
      </w:r>
      <w:r w:rsidRPr="00202F44">
        <w:rPr>
          <w:rFonts w:eastAsia="Times New Roman" w:cs="Arial"/>
        </w:rPr>
        <w:t>directly from the surplus for the year.</w:t>
      </w:r>
    </w:p>
    <w:p w:rsidR="008858D5" w:rsidRPr="00202F44" w:rsidRDefault="008858D5" w:rsidP="00274DF7">
      <w:pPr>
        <w:numPr>
          <w:ilvl w:val="0"/>
          <w:numId w:val="6"/>
        </w:numPr>
        <w:spacing w:line="276" w:lineRule="auto"/>
        <w:ind w:left="426" w:hanging="426"/>
        <w:jc w:val="both"/>
        <w:rPr>
          <w:rFonts w:eastAsia="Times New Roman" w:cs="Arial"/>
        </w:rPr>
      </w:pPr>
      <w:r w:rsidRPr="00202F44">
        <w:rPr>
          <w:rFonts w:eastAsia="Times New Roman" w:cs="Arial"/>
        </w:rPr>
        <w:t xml:space="preserve">Council has introduced a </w:t>
      </w:r>
      <w:r w:rsidR="00265BCB" w:rsidRPr="00202F44">
        <w:rPr>
          <w:rFonts w:eastAsia="Times New Roman" w:cs="Arial"/>
        </w:rPr>
        <w:t xml:space="preserve">cash backed </w:t>
      </w:r>
      <w:r w:rsidRPr="00202F44">
        <w:rPr>
          <w:rFonts w:eastAsia="Times New Roman" w:cs="Arial"/>
        </w:rPr>
        <w:t>general reserve to fund future capital projects and unexpected contingencies such as a call on unfunded Superannuation. The</w:t>
      </w:r>
      <w:r w:rsidR="00202F44" w:rsidRPr="00202F44">
        <w:rPr>
          <w:rFonts w:eastAsia="Times New Roman" w:cs="Arial"/>
        </w:rPr>
        <w:t xml:space="preserve"> net movement in the</w:t>
      </w:r>
      <w:r w:rsidRPr="00202F44">
        <w:rPr>
          <w:rFonts w:eastAsia="Times New Roman" w:cs="Arial"/>
        </w:rPr>
        <w:t xml:space="preserve"> reserve will </w:t>
      </w:r>
      <w:r w:rsidR="00202F44" w:rsidRPr="00202F44">
        <w:rPr>
          <w:rFonts w:eastAsia="Times New Roman" w:cs="Arial"/>
        </w:rPr>
        <w:t xml:space="preserve">be </w:t>
      </w:r>
      <w:r w:rsidR="00202F44" w:rsidRPr="0058061C">
        <w:rPr>
          <w:rFonts w:eastAsia="Times New Roman" w:cs="Arial"/>
        </w:rPr>
        <w:t>a decrease by</w:t>
      </w:r>
      <w:r w:rsidRPr="0058061C">
        <w:rPr>
          <w:rFonts w:eastAsia="Times New Roman" w:cs="Arial"/>
        </w:rPr>
        <w:t xml:space="preserve"> $</w:t>
      </w:r>
      <w:r w:rsidR="004D0E7C" w:rsidRPr="0058061C">
        <w:rPr>
          <w:rFonts w:eastAsia="Times New Roman" w:cs="Arial"/>
        </w:rPr>
        <w:t>2.75</w:t>
      </w:r>
      <w:r w:rsidRPr="0058061C">
        <w:rPr>
          <w:rFonts w:eastAsia="Times New Roman" w:cs="Arial"/>
        </w:rPr>
        <w:t xml:space="preserve"> million in 20</w:t>
      </w:r>
      <w:r w:rsidR="004D0E7C" w:rsidRPr="0058061C">
        <w:rPr>
          <w:rFonts w:eastAsia="Times New Roman" w:cs="Arial"/>
        </w:rPr>
        <w:t>20</w:t>
      </w:r>
      <w:r w:rsidRPr="0058061C">
        <w:rPr>
          <w:rFonts w:eastAsia="Times New Roman" w:cs="Arial"/>
        </w:rPr>
        <w:t>/</w:t>
      </w:r>
      <w:r w:rsidR="00A4114B" w:rsidRPr="0058061C">
        <w:rPr>
          <w:rFonts w:eastAsia="Times New Roman" w:cs="Arial"/>
        </w:rPr>
        <w:t>2</w:t>
      </w:r>
      <w:r w:rsidR="004D0E7C" w:rsidRPr="0058061C">
        <w:rPr>
          <w:rFonts w:eastAsia="Times New Roman" w:cs="Arial"/>
        </w:rPr>
        <w:t>1</w:t>
      </w:r>
      <w:r w:rsidR="00202F44" w:rsidRPr="0058061C">
        <w:rPr>
          <w:rFonts w:eastAsia="Times New Roman" w:cs="Arial"/>
        </w:rPr>
        <w:t xml:space="preserve"> w</w:t>
      </w:r>
      <w:r w:rsidR="00202F44" w:rsidRPr="00202F44">
        <w:rPr>
          <w:rFonts w:eastAsia="Times New Roman" w:cs="Arial"/>
        </w:rPr>
        <w:t>hich is mainly relating to Realm Extension.</w:t>
      </w:r>
    </w:p>
    <w:p w:rsidR="00522963" w:rsidRDefault="00522963">
      <w:pPr>
        <w:rPr>
          <w:rFonts w:eastAsia="Times New Roman" w:cs="Arial"/>
        </w:rPr>
      </w:pPr>
      <w:r>
        <w:rPr>
          <w:rFonts w:eastAsia="Times New Roman" w:cs="Arial"/>
        </w:rPr>
        <w:br w:type="page"/>
      </w:r>
    </w:p>
    <w:p w:rsidR="00E4152E" w:rsidRDefault="001E7276" w:rsidP="00E4152E">
      <w:pPr>
        <w:spacing w:after="20"/>
        <w:rPr>
          <w:rFonts w:eastAsia="Times New Roman" w:cs="Arial"/>
          <w:b/>
          <w:bCs/>
          <w:color w:val="4A66AC" w:themeColor="accent1"/>
          <w:lang w:eastAsia="en-AU"/>
        </w:rPr>
      </w:pPr>
      <w:r w:rsidRPr="002E2D6E">
        <w:rPr>
          <w:rFonts w:eastAsia="Times New Roman" w:cs="Arial"/>
          <w:b/>
          <w:bCs/>
          <w:color w:val="4A66AC" w:themeColor="accent1"/>
          <w:lang w:eastAsia="en-AU"/>
        </w:rPr>
        <w:lastRenderedPageBreak/>
        <w:t>6</w:t>
      </w:r>
      <w:r w:rsidR="00E4152E" w:rsidRPr="002E2D6E">
        <w:rPr>
          <w:rFonts w:eastAsia="Times New Roman" w:cs="Arial"/>
          <w:b/>
          <w:bCs/>
          <w:color w:val="4A66AC" w:themeColor="accent1"/>
          <w:lang w:eastAsia="en-AU"/>
        </w:rPr>
        <w:t>.</w:t>
      </w:r>
      <w:r w:rsidR="00FE6C87" w:rsidRPr="002E2D6E">
        <w:rPr>
          <w:rFonts w:eastAsia="Times New Roman" w:cs="Arial"/>
          <w:b/>
          <w:bCs/>
          <w:color w:val="4A66AC" w:themeColor="accent1"/>
          <w:lang w:eastAsia="en-AU"/>
        </w:rPr>
        <w:t>4</w:t>
      </w:r>
      <w:r w:rsidR="00E4152E" w:rsidRPr="002E2D6E">
        <w:rPr>
          <w:rFonts w:eastAsia="Times New Roman" w:cs="Arial"/>
          <w:b/>
          <w:bCs/>
          <w:color w:val="4A66AC" w:themeColor="accent1"/>
          <w:lang w:eastAsia="en-AU"/>
        </w:rPr>
        <w:t xml:space="preserve"> Statement of Cash Flows</w:t>
      </w:r>
    </w:p>
    <w:p w:rsidR="00E4152E" w:rsidRDefault="00E4152E" w:rsidP="00E4152E">
      <w:pPr>
        <w:spacing w:after="20"/>
        <w:rPr>
          <w:rFonts w:eastAsia="Times New Roman" w:cs="Arial"/>
          <w:b/>
          <w:bCs/>
          <w:color w:val="4A66AC" w:themeColor="accent1"/>
          <w:lang w:eastAsia="en-AU"/>
        </w:rPr>
      </w:pPr>
    </w:p>
    <w:p w:rsidR="00E4152E" w:rsidRDefault="00E4152E" w:rsidP="00E4152E">
      <w:pPr>
        <w:jc w:val="both"/>
        <w:rPr>
          <w:rFonts w:eastAsia="Times New Roman" w:cs="Arial"/>
          <w:lang w:eastAsia="en-AU"/>
        </w:rPr>
      </w:pPr>
      <w:r w:rsidRPr="0029462D">
        <w:rPr>
          <w:rFonts w:eastAsia="Times New Roman" w:cs="Arial"/>
          <w:lang w:eastAsia="en-AU"/>
        </w:rPr>
        <w:t>This section analyses the expected cash flows from the operating, investing and financing activities of Council for the 20</w:t>
      </w:r>
      <w:r w:rsidR="00B22D61">
        <w:rPr>
          <w:rFonts w:eastAsia="Times New Roman" w:cs="Arial"/>
          <w:lang w:eastAsia="en-AU"/>
        </w:rPr>
        <w:t>20</w:t>
      </w:r>
      <w:r w:rsidRPr="0029462D">
        <w:rPr>
          <w:rFonts w:eastAsia="Times New Roman" w:cs="Arial"/>
          <w:lang w:eastAsia="en-AU"/>
        </w:rPr>
        <w:t>/</w:t>
      </w:r>
      <w:r w:rsidR="00855479">
        <w:rPr>
          <w:rFonts w:eastAsia="Times New Roman" w:cs="Arial"/>
          <w:lang w:eastAsia="en-AU"/>
        </w:rPr>
        <w:t>2</w:t>
      </w:r>
      <w:r w:rsidR="00B22D61">
        <w:rPr>
          <w:rFonts w:eastAsia="Times New Roman" w:cs="Arial"/>
          <w:lang w:eastAsia="en-AU"/>
        </w:rPr>
        <w:t>1</w:t>
      </w:r>
      <w:r w:rsidRPr="0029462D">
        <w:rPr>
          <w:rFonts w:eastAsia="Times New Roman" w:cs="Arial"/>
          <w:lang w:eastAsia="en-AU"/>
        </w:rPr>
        <w:t xml:space="preserve"> year. Budgeting cash flows for Council is one of the key factors in setting the level of rates and providing a guide to the level of capital expenditure that can be sustained.</w:t>
      </w:r>
      <w:r w:rsidR="00FE6C87">
        <w:rPr>
          <w:rFonts w:eastAsia="Times New Roman" w:cs="Arial"/>
          <w:lang w:eastAsia="en-AU"/>
        </w:rPr>
        <w:t xml:space="preserve"> </w:t>
      </w:r>
    </w:p>
    <w:p w:rsidR="00FC2AB3" w:rsidRDefault="00FC2AB3" w:rsidP="00E4152E">
      <w:pPr>
        <w:jc w:val="both"/>
        <w:rPr>
          <w:rFonts w:eastAsia="Times New Roman" w:cs="Arial"/>
          <w:lang w:eastAsia="en-AU"/>
        </w:rPr>
      </w:pPr>
    </w:p>
    <w:p w:rsidR="00FC2AB3" w:rsidRPr="0029462D" w:rsidRDefault="00FC2AB3" w:rsidP="00FC2AB3">
      <w:pPr>
        <w:jc w:val="both"/>
        <w:rPr>
          <w:rFonts w:eastAsia="Times New Roman" w:cs="Arial"/>
          <w:lang w:eastAsia="en-AU"/>
        </w:rPr>
      </w:pPr>
      <w:r w:rsidRPr="0029462D">
        <w:rPr>
          <w:rFonts w:eastAsia="Times New Roman" w:cs="Arial"/>
          <w:lang w:eastAsia="en-AU"/>
        </w:rPr>
        <w:t>The analysis is based on three main categories of cash flows:</w:t>
      </w:r>
    </w:p>
    <w:p w:rsidR="00FC2AB3" w:rsidRPr="0029462D" w:rsidRDefault="00FC2AB3" w:rsidP="00274DF7">
      <w:pPr>
        <w:numPr>
          <w:ilvl w:val="0"/>
          <w:numId w:val="10"/>
        </w:numPr>
        <w:ind w:left="357" w:hanging="357"/>
        <w:jc w:val="both"/>
        <w:rPr>
          <w:rFonts w:eastAsia="Times New Roman" w:cs="Arial"/>
          <w:lang w:eastAsia="en-AU"/>
        </w:rPr>
      </w:pPr>
      <w:r w:rsidRPr="005661A5">
        <w:rPr>
          <w:rFonts w:eastAsia="Times New Roman" w:cs="Arial"/>
          <w:b/>
          <w:bCs/>
          <w:color w:val="4A66AC" w:themeColor="accent1"/>
          <w:lang w:eastAsia="en-AU"/>
        </w:rPr>
        <w:t>Operating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the cash generated or used in the normal service delivery functions of Council. Cash remaining after paying for the provision of services to the community may be available for investment in capital works, or repayment of debt.</w:t>
      </w:r>
    </w:p>
    <w:p w:rsidR="00FC2AB3" w:rsidRDefault="00FC2AB3" w:rsidP="00274DF7">
      <w:pPr>
        <w:numPr>
          <w:ilvl w:val="0"/>
          <w:numId w:val="10"/>
        </w:numPr>
        <w:ind w:left="357" w:hanging="357"/>
        <w:jc w:val="both"/>
        <w:rPr>
          <w:rFonts w:eastAsia="Times New Roman" w:cs="Arial"/>
        </w:rPr>
      </w:pPr>
      <w:r w:rsidRPr="005661A5">
        <w:rPr>
          <w:rFonts w:eastAsia="Times New Roman" w:cs="Arial"/>
          <w:b/>
          <w:bCs/>
          <w:color w:val="4A66AC" w:themeColor="accent1"/>
          <w:lang w:eastAsia="en-AU"/>
        </w:rPr>
        <w:t>Investing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cash generated or used in the enhancement or creation of infrastructure and other assets. These activities also include the acquisition and sale of other assets such as vehicles, property and equipment.</w:t>
      </w:r>
    </w:p>
    <w:p w:rsidR="00FE6C87" w:rsidRPr="00FC2AB3" w:rsidRDefault="00FC2AB3" w:rsidP="00274DF7">
      <w:pPr>
        <w:pStyle w:val="ListParagraph"/>
        <w:numPr>
          <w:ilvl w:val="0"/>
          <w:numId w:val="10"/>
        </w:numPr>
        <w:rPr>
          <w:rFonts w:ascii="Arial" w:hAnsi="Arial" w:cs="Arial"/>
        </w:rPr>
      </w:pPr>
      <w:r w:rsidRPr="00FC2AB3">
        <w:rPr>
          <w:rFonts w:ascii="Arial" w:eastAsia="Times New Roman" w:hAnsi="Arial" w:cs="Arial"/>
          <w:b/>
          <w:bCs/>
          <w:color w:val="4A66AC" w:themeColor="accent1"/>
          <w:lang w:eastAsia="en-AU"/>
        </w:rPr>
        <w:t>Financing activities</w:t>
      </w:r>
      <w:r w:rsidRPr="00FC2AB3">
        <w:rPr>
          <w:rFonts w:ascii="Arial" w:eastAsia="Times New Roman" w:hAnsi="Arial" w:cs="Arial"/>
          <w:color w:val="4A66AC" w:themeColor="accent1"/>
        </w:rPr>
        <w:t xml:space="preserve"> </w:t>
      </w:r>
      <w:r w:rsidRPr="00FC2AB3">
        <w:rPr>
          <w:rFonts w:ascii="Arial" w:hAnsi="Arial" w:cs="Arial"/>
        </w:rPr>
        <w:t>- Refers to cash generated or used in the financing of Council functions and include borrowings from financial institutions and the repayments of borrowings. These activities also include repayment of the principal component of loan repayments for the year.</w:t>
      </w:r>
    </w:p>
    <w:p w:rsidR="00FE6C87" w:rsidRDefault="001E7276" w:rsidP="00FE6C87">
      <w:pPr>
        <w:rPr>
          <w:rFonts w:cs="Arial"/>
          <w:b/>
          <w:bCs/>
          <w:color w:val="4A66AC" w:themeColor="accent1"/>
          <w:lang w:eastAsia="en-AU"/>
        </w:rPr>
      </w:pPr>
      <w:r w:rsidRPr="006D5E17">
        <w:rPr>
          <w:rFonts w:cs="Arial"/>
          <w:b/>
          <w:bCs/>
          <w:color w:val="4A66AC" w:themeColor="accent1"/>
          <w:lang w:eastAsia="en-AU"/>
        </w:rPr>
        <w:t>6</w:t>
      </w:r>
      <w:r w:rsidR="00FE6C87" w:rsidRPr="006D5E17">
        <w:rPr>
          <w:rFonts w:cs="Arial"/>
          <w:b/>
          <w:bCs/>
          <w:color w:val="4A66AC" w:themeColor="accent1"/>
          <w:lang w:eastAsia="en-AU"/>
        </w:rPr>
        <w:t>.4.1 Net cash flows provided by</w:t>
      </w:r>
      <w:r w:rsidR="00797270" w:rsidRPr="006D5E17">
        <w:rPr>
          <w:rFonts w:cs="Arial"/>
          <w:b/>
          <w:bCs/>
          <w:color w:val="4A66AC" w:themeColor="accent1"/>
          <w:lang w:eastAsia="en-AU"/>
        </w:rPr>
        <w:t>/ (</w:t>
      </w:r>
      <w:r w:rsidR="00FE6C87" w:rsidRPr="006D5E17">
        <w:rPr>
          <w:rFonts w:cs="Arial"/>
          <w:b/>
          <w:bCs/>
          <w:color w:val="4A66AC" w:themeColor="accent1"/>
          <w:lang w:eastAsia="en-AU"/>
        </w:rPr>
        <w:t>used in) operating activities</w:t>
      </w:r>
    </w:p>
    <w:p w:rsidR="009D52F3" w:rsidRPr="00B52450" w:rsidRDefault="009D52F3" w:rsidP="00FE6C87">
      <w:pPr>
        <w:rPr>
          <w:rFonts w:cs="Arial"/>
          <w:b/>
          <w:bCs/>
          <w:lang w:eastAsia="en-AU"/>
        </w:rPr>
      </w:pPr>
    </w:p>
    <w:p w:rsidR="009D52F3" w:rsidRPr="00B52450" w:rsidRDefault="009D52F3" w:rsidP="009D52F3">
      <w:pPr>
        <w:jc w:val="both"/>
        <w:rPr>
          <w:rFonts w:eastAsia="Times New Roman" w:cs="Arial"/>
        </w:rPr>
      </w:pPr>
      <w:r w:rsidRPr="00B52450">
        <w:rPr>
          <w:rFonts w:eastAsia="Times New Roman" w:cs="Arial"/>
        </w:rPr>
        <w:t xml:space="preserve">The </w:t>
      </w:r>
      <w:r w:rsidR="004317D4" w:rsidRPr="00B52450">
        <w:rPr>
          <w:rFonts w:eastAsia="Times New Roman" w:cs="Arial"/>
        </w:rPr>
        <w:t>in</w:t>
      </w:r>
      <w:r w:rsidRPr="00B52450">
        <w:rPr>
          <w:rFonts w:eastAsia="Times New Roman" w:cs="Arial"/>
        </w:rPr>
        <w:t xml:space="preserve">crease in cash inflows from operating activities </w:t>
      </w:r>
      <w:r w:rsidR="00416E4A" w:rsidRPr="002C5507">
        <w:rPr>
          <w:rFonts w:eastAsia="Times New Roman" w:cs="Arial"/>
        </w:rPr>
        <w:t>of $</w:t>
      </w:r>
      <w:r w:rsidR="002C5507" w:rsidRPr="002C5507">
        <w:rPr>
          <w:rFonts w:eastAsia="Times New Roman" w:cs="Arial"/>
        </w:rPr>
        <w:t>24.1</w:t>
      </w:r>
      <w:r w:rsidR="00416E4A" w:rsidRPr="002C5507">
        <w:rPr>
          <w:rFonts w:eastAsia="Times New Roman" w:cs="Arial"/>
        </w:rPr>
        <w:t xml:space="preserve"> million </w:t>
      </w:r>
      <w:r w:rsidRPr="002C5507">
        <w:rPr>
          <w:rFonts w:eastAsia="Times New Roman" w:cs="Arial"/>
        </w:rPr>
        <w:t xml:space="preserve">is due </w:t>
      </w:r>
      <w:r w:rsidR="00B824B0" w:rsidRPr="002C5507">
        <w:rPr>
          <w:rFonts w:eastAsia="Times New Roman" w:cs="Arial"/>
        </w:rPr>
        <w:t xml:space="preserve">mainly </w:t>
      </w:r>
      <w:r w:rsidRPr="002C5507">
        <w:rPr>
          <w:rFonts w:eastAsia="Times New Roman" w:cs="Arial"/>
        </w:rPr>
        <w:t xml:space="preserve">to </w:t>
      </w:r>
      <w:r w:rsidR="00B824B0" w:rsidRPr="002C5507">
        <w:rPr>
          <w:rFonts w:eastAsia="Times New Roman" w:cs="Arial"/>
        </w:rPr>
        <w:t xml:space="preserve">the capital grants </w:t>
      </w:r>
      <w:r w:rsidR="00B52450" w:rsidRPr="002C5507">
        <w:rPr>
          <w:rFonts w:eastAsia="Times New Roman" w:cs="Arial"/>
        </w:rPr>
        <w:t xml:space="preserve">to be </w:t>
      </w:r>
      <w:r w:rsidR="00B824B0" w:rsidRPr="002C5507">
        <w:rPr>
          <w:rFonts w:eastAsia="Times New Roman" w:cs="Arial"/>
        </w:rPr>
        <w:t>received in 20</w:t>
      </w:r>
      <w:r w:rsidR="00B52450" w:rsidRPr="002C5507">
        <w:rPr>
          <w:rFonts w:eastAsia="Times New Roman" w:cs="Arial"/>
        </w:rPr>
        <w:t>20</w:t>
      </w:r>
      <w:r w:rsidR="00B824B0" w:rsidRPr="002C5507">
        <w:rPr>
          <w:rFonts w:eastAsia="Times New Roman" w:cs="Arial"/>
        </w:rPr>
        <w:t>/</w:t>
      </w:r>
      <w:r w:rsidR="00B52450" w:rsidRPr="002C5507">
        <w:rPr>
          <w:rFonts w:eastAsia="Times New Roman" w:cs="Arial"/>
        </w:rPr>
        <w:t>21</w:t>
      </w:r>
      <w:r w:rsidR="00B824B0" w:rsidRPr="002C5507">
        <w:rPr>
          <w:rFonts w:eastAsia="Times New Roman" w:cs="Arial"/>
        </w:rPr>
        <w:t xml:space="preserve"> </w:t>
      </w:r>
      <w:r w:rsidR="00B824B0" w:rsidRPr="00B52450">
        <w:rPr>
          <w:rFonts w:eastAsia="Times New Roman" w:cs="Arial"/>
        </w:rPr>
        <w:t xml:space="preserve">which are primarily one off in </w:t>
      </w:r>
      <w:r w:rsidR="00B824B0" w:rsidRPr="002C5507">
        <w:rPr>
          <w:rFonts w:eastAsia="Times New Roman" w:cs="Arial"/>
        </w:rPr>
        <w:t xml:space="preserve">nature </w:t>
      </w:r>
      <w:r w:rsidR="007F7E34" w:rsidRPr="002C5507">
        <w:rPr>
          <w:rFonts w:eastAsia="Times New Roman" w:cs="Arial"/>
        </w:rPr>
        <w:t>including</w:t>
      </w:r>
      <w:r w:rsidR="00B824B0" w:rsidRPr="002C5507">
        <w:rPr>
          <w:rFonts w:eastAsia="Times New Roman" w:cs="Arial"/>
        </w:rPr>
        <w:t xml:space="preserve"> the</w:t>
      </w:r>
      <w:r w:rsidR="00416E4A" w:rsidRPr="002C5507">
        <w:rPr>
          <w:rFonts w:eastAsia="Times New Roman" w:cs="Arial"/>
        </w:rPr>
        <w:t xml:space="preserve"> </w:t>
      </w:r>
      <w:r w:rsidR="004616BE" w:rsidRPr="00144476">
        <w:rPr>
          <w:rFonts w:eastAsia="Times New Roman" w:cs="Arial"/>
        </w:rPr>
        <w:t>$</w:t>
      </w:r>
      <w:r w:rsidR="00144476" w:rsidRPr="00144476">
        <w:rPr>
          <w:rFonts w:eastAsia="Times New Roman" w:cs="Arial"/>
        </w:rPr>
        <w:t>23.1</w:t>
      </w:r>
      <w:r w:rsidR="004616BE" w:rsidRPr="00144476">
        <w:rPr>
          <w:rFonts w:eastAsia="Times New Roman" w:cs="Arial"/>
        </w:rPr>
        <w:t xml:space="preserve"> million </w:t>
      </w:r>
      <w:r w:rsidR="00416E4A" w:rsidRPr="00144476">
        <w:rPr>
          <w:rFonts w:eastAsia="Times New Roman" w:cs="Arial"/>
        </w:rPr>
        <w:t xml:space="preserve">for the </w:t>
      </w:r>
      <w:r w:rsidR="00B52450" w:rsidRPr="00144476">
        <w:rPr>
          <w:rFonts w:eastAsia="Times New Roman" w:cs="Arial"/>
        </w:rPr>
        <w:t>Croydon,</w:t>
      </w:r>
      <w:r w:rsidR="00144476" w:rsidRPr="00144476">
        <w:rPr>
          <w:rFonts w:eastAsia="Times New Roman" w:cs="Arial"/>
        </w:rPr>
        <w:t xml:space="preserve"> Heathmont</w:t>
      </w:r>
      <w:r w:rsidR="00B52450" w:rsidRPr="00144476">
        <w:rPr>
          <w:rFonts w:eastAsia="Times New Roman" w:cs="Arial"/>
        </w:rPr>
        <w:t xml:space="preserve"> and Ringwood Multi-level carparks and $2.0 million for the Dorset Multipurpose Pavilion redevelopment</w:t>
      </w:r>
      <w:r w:rsidR="004616BE" w:rsidRPr="00144476">
        <w:rPr>
          <w:rFonts w:eastAsia="Times New Roman" w:cs="Arial"/>
        </w:rPr>
        <w:t>.</w:t>
      </w:r>
      <w:r w:rsidR="004616BE" w:rsidRPr="00FD32B9">
        <w:rPr>
          <w:rFonts w:eastAsia="Times New Roman" w:cs="Arial"/>
          <w:color w:val="FF0000"/>
        </w:rPr>
        <w:t xml:space="preserve"> </w:t>
      </w:r>
      <w:r w:rsidRPr="00FD32B9">
        <w:rPr>
          <w:rFonts w:eastAsia="Times New Roman" w:cs="Arial"/>
          <w:color w:val="FF0000"/>
        </w:rPr>
        <w:t xml:space="preserve"> </w:t>
      </w:r>
      <w:r w:rsidRPr="00500D63">
        <w:rPr>
          <w:rFonts w:eastAsia="Times New Roman" w:cs="Arial"/>
        </w:rPr>
        <w:t xml:space="preserve">A </w:t>
      </w:r>
      <w:r w:rsidR="00B824B0" w:rsidRPr="00500D63">
        <w:rPr>
          <w:rFonts w:eastAsia="Times New Roman" w:cs="Arial"/>
        </w:rPr>
        <w:t>$</w:t>
      </w:r>
      <w:r w:rsidR="00B52450" w:rsidRPr="00500D63">
        <w:rPr>
          <w:rFonts w:eastAsia="Times New Roman" w:cs="Arial"/>
        </w:rPr>
        <w:t>4.0</w:t>
      </w:r>
      <w:r w:rsidR="00B824B0" w:rsidRPr="00500D63">
        <w:rPr>
          <w:rFonts w:eastAsia="Times New Roman" w:cs="Arial"/>
        </w:rPr>
        <w:t xml:space="preserve"> million increase in rates and charges, </w:t>
      </w:r>
      <w:r w:rsidRPr="00500D63">
        <w:rPr>
          <w:rFonts w:eastAsia="Times New Roman" w:cs="Arial"/>
        </w:rPr>
        <w:t>$</w:t>
      </w:r>
      <w:r w:rsidR="00500D63" w:rsidRPr="00500D63">
        <w:rPr>
          <w:rFonts w:eastAsia="Times New Roman" w:cs="Arial"/>
        </w:rPr>
        <w:t>4.5</w:t>
      </w:r>
      <w:r w:rsidRPr="00500D63">
        <w:rPr>
          <w:rFonts w:eastAsia="Times New Roman" w:cs="Arial"/>
        </w:rPr>
        <w:t xml:space="preserve"> million </w:t>
      </w:r>
      <w:r w:rsidR="00513A51" w:rsidRPr="00500D63">
        <w:rPr>
          <w:rFonts w:eastAsia="Times New Roman" w:cs="Arial"/>
        </w:rPr>
        <w:t>de</w:t>
      </w:r>
      <w:r w:rsidRPr="00500D63">
        <w:rPr>
          <w:rFonts w:eastAsia="Times New Roman" w:cs="Arial"/>
        </w:rPr>
        <w:t>crease in</w:t>
      </w:r>
      <w:r w:rsidR="00B824B0" w:rsidRPr="00500D63">
        <w:rPr>
          <w:rFonts w:eastAsia="Times New Roman" w:cs="Arial"/>
        </w:rPr>
        <w:t xml:space="preserve"> user fees, </w:t>
      </w:r>
      <w:r w:rsidRPr="00500D63">
        <w:rPr>
          <w:rFonts w:eastAsia="Times New Roman" w:cs="Arial"/>
        </w:rPr>
        <w:t>and a $</w:t>
      </w:r>
      <w:r w:rsidR="00B52450" w:rsidRPr="00500D63">
        <w:rPr>
          <w:rFonts w:eastAsia="Times New Roman" w:cs="Arial"/>
        </w:rPr>
        <w:t>0.9</w:t>
      </w:r>
      <w:r w:rsidRPr="00500D63">
        <w:rPr>
          <w:rFonts w:eastAsia="Times New Roman" w:cs="Arial"/>
        </w:rPr>
        <w:t xml:space="preserve"> million increase in employee costs.</w:t>
      </w:r>
    </w:p>
    <w:p w:rsidR="009D52F3" w:rsidRPr="00B52450" w:rsidRDefault="009D52F3" w:rsidP="009D52F3">
      <w:pPr>
        <w:jc w:val="both"/>
        <w:rPr>
          <w:rFonts w:eastAsia="Times New Roman" w:cs="Arial"/>
        </w:rPr>
      </w:pPr>
    </w:p>
    <w:p w:rsidR="009D52F3" w:rsidRPr="0029462D" w:rsidRDefault="009D52F3" w:rsidP="009D52F3">
      <w:pPr>
        <w:jc w:val="both"/>
        <w:rPr>
          <w:rFonts w:eastAsia="Times New Roman" w:cs="Arial"/>
          <w:bCs/>
          <w:lang w:eastAsia="en-AU"/>
        </w:rPr>
      </w:pPr>
      <w:r w:rsidRPr="0029462D">
        <w:rPr>
          <w:rFonts w:eastAsia="Times New Roman" w:cs="Arial"/>
          <w:bCs/>
          <w:lang w:eastAsia="en-AU"/>
        </w:rPr>
        <w:t>The net cash flows from operating activities does not equal the surplus (deficit) for the year as the expected revenues and expenses of the Council include non-cash items which have been excluded from the Cash Flow Statement</w:t>
      </w:r>
      <w:r w:rsidRPr="009E6A37">
        <w:rPr>
          <w:rFonts w:eastAsia="Times New Roman" w:cs="Arial"/>
          <w:bCs/>
          <w:lang w:eastAsia="en-AU"/>
        </w:rPr>
        <w:t>.</w:t>
      </w:r>
      <w:r w:rsidRPr="009E6A37">
        <w:rPr>
          <w:rFonts w:eastAsia="Times New Roman" w:cs="Arial"/>
          <w:bCs/>
          <w:color w:val="FF0000"/>
          <w:lang w:eastAsia="en-AU"/>
        </w:rPr>
        <w:t xml:space="preserve"> </w:t>
      </w:r>
      <w:r w:rsidRPr="009E6A37">
        <w:rPr>
          <w:rFonts w:eastAsia="Times New Roman" w:cs="Arial"/>
          <w:bCs/>
          <w:lang w:eastAsia="en-AU"/>
        </w:rPr>
        <w:t>The budgeted operating result is reconciled to budgeted cash flows available from operating activities as set out in the following table.</w:t>
      </w:r>
    </w:p>
    <w:p w:rsidR="009D52F3" w:rsidRDefault="009D52F3" w:rsidP="009D52F3">
      <w:pPr>
        <w:jc w:val="both"/>
        <w:rPr>
          <w:rFonts w:eastAsia="Times New Roman" w:cs="Arial"/>
          <w:bCs/>
          <w:sz w:val="20"/>
          <w:szCs w:val="20"/>
          <w:lang w:eastAsia="en-AU"/>
        </w:rPr>
      </w:pPr>
    </w:p>
    <w:tbl>
      <w:tblPr>
        <w:tblW w:w="5000" w:type="pct"/>
        <w:tblLook w:val="04A0" w:firstRow="1" w:lastRow="0" w:firstColumn="1" w:lastColumn="0" w:noHBand="0" w:noVBand="1"/>
      </w:tblPr>
      <w:tblGrid>
        <w:gridCol w:w="4890"/>
        <w:gridCol w:w="1379"/>
        <w:gridCol w:w="1379"/>
        <w:gridCol w:w="1379"/>
      </w:tblGrid>
      <w:tr w:rsidR="009E6A37" w:rsidRPr="009E6A37" w:rsidTr="009E6A37">
        <w:trPr>
          <w:trHeight w:val="290"/>
        </w:trPr>
        <w:tc>
          <w:tcPr>
            <w:tcW w:w="2707" w:type="pct"/>
            <w:vMerge w:val="restart"/>
            <w:tcBorders>
              <w:top w:val="nil"/>
              <w:left w:val="nil"/>
              <w:bottom w:val="nil"/>
              <w:right w:val="nil"/>
            </w:tcBorders>
            <w:shd w:val="clear" w:color="000000" w:fill="629DD1"/>
            <w:vAlign w:val="center"/>
            <w:hideMark/>
          </w:tcPr>
          <w:p w:rsidR="009E6A37" w:rsidRPr="009E6A37" w:rsidRDefault="009E6A37" w:rsidP="009E6A37">
            <w:pPr>
              <w:rPr>
                <w:rFonts w:eastAsia="Times New Roman" w:cs="Arial"/>
                <w:color w:val="FF0000"/>
                <w:sz w:val="20"/>
                <w:szCs w:val="20"/>
                <w:lang w:eastAsia="en-AU"/>
              </w:rPr>
            </w:pPr>
            <w:r w:rsidRPr="009E6A37">
              <w:rPr>
                <w:rFonts w:eastAsia="Times New Roman" w:cs="Arial"/>
                <w:color w:val="FF0000"/>
                <w:sz w:val="20"/>
                <w:szCs w:val="20"/>
                <w:lang w:eastAsia="en-AU"/>
              </w:rPr>
              <w:t> </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Forecast</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 </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 </w:t>
            </w:r>
          </w:p>
        </w:tc>
      </w:tr>
      <w:tr w:rsidR="009E6A37" w:rsidRPr="009E6A37" w:rsidTr="009E6A37">
        <w:trPr>
          <w:trHeight w:val="290"/>
        </w:trPr>
        <w:tc>
          <w:tcPr>
            <w:tcW w:w="2707" w:type="pct"/>
            <w:vMerge/>
            <w:tcBorders>
              <w:top w:val="nil"/>
              <w:left w:val="nil"/>
              <w:bottom w:val="nil"/>
              <w:right w:val="nil"/>
            </w:tcBorders>
            <w:vAlign w:val="center"/>
            <w:hideMark/>
          </w:tcPr>
          <w:p w:rsidR="009E6A37" w:rsidRPr="009E6A37" w:rsidRDefault="009E6A37" w:rsidP="009E6A37">
            <w:pPr>
              <w:rPr>
                <w:rFonts w:eastAsia="Times New Roman" w:cs="Arial"/>
                <w:color w:val="FF0000"/>
                <w:sz w:val="20"/>
                <w:szCs w:val="20"/>
                <w:lang w:eastAsia="en-AU"/>
              </w:rPr>
            </w:pP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Actual</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Budget</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Variance</w:t>
            </w:r>
          </w:p>
        </w:tc>
      </w:tr>
      <w:tr w:rsidR="009E6A37" w:rsidRPr="009E6A37" w:rsidTr="009E6A37">
        <w:trPr>
          <w:trHeight w:val="290"/>
        </w:trPr>
        <w:tc>
          <w:tcPr>
            <w:tcW w:w="2707" w:type="pct"/>
            <w:vMerge/>
            <w:tcBorders>
              <w:top w:val="nil"/>
              <w:left w:val="nil"/>
              <w:bottom w:val="nil"/>
              <w:right w:val="nil"/>
            </w:tcBorders>
            <w:vAlign w:val="center"/>
            <w:hideMark/>
          </w:tcPr>
          <w:p w:rsidR="009E6A37" w:rsidRPr="009E6A37" w:rsidRDefault="009E6A37" w:rsidP="009E6A37">
            <w:pPr>
              <w:rPr>
                <w:rFonts w:eastAsia="Times New Roman" w:cs="Arial"/>
                <w:color w:val="FF0000"/>
                <w:sz w:val="20"/>
                <w:szCs w:val="20"/>
                <w:lang w:eastAsia="en-AU"/>
              </w:rPr>
            </w:pP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2019/20</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2020/21</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 </w:t>
            </w:r>
          </w:p>
        </w:tc>
      </w:tr>
      <w:tr w:rsidR="009E6A37" w:rsidRPr="009E6A37" w:rsidTr="009E6A37">
        <w:trPr>
          <w:trHeight w:val="290"/>
        </w:trPr>
        <w:tc>
          <w:tcPr>
            <w:tcW w:w="2707" w:type="pct"/>
            <w:vMerge/>
            <w:tcBorders>
              <w:top w:val="nil"/>
              <w:left w:val="nil"/>
              <w:bottom w:val="nil"/>
              <w:right w:val="nil"/>
            </w:tcBorders>
            <w:vAlign w:val="center"/>
            <w:hideMark/>
          </w:tcPr>
          <w:p w:rsidR="009E6A37" w:rsidRPr="009E6A37" w:rsidRDefault="009E6A37" w:rsidP="009E6A37">
            <w:pPr>
              <w:rPr>
                <w:rFonts w:eastAsia="Times New Roman" w:cs="Arial"/>
                <w:color w:val="FF0000"/>
                <w:sz w:val="20"/>
                <w:szCs w:val="20"/>
                <w:lang w:eastAsia="en-AU"/>
              </w:rPr>
            </w:pP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$’000</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$’000</w:t>
            </w:r>
          </w:p>
        </w:tc>
        <w:tc>
          <w:tcPr>
            <w:tcW w:w="764" w:type="pct"/>
            <w:tcBorders>
              <w:top w:val="nil"/>
              <w:left w:val="nil"/>
              <w:bottom w:val="nil"/>
              <w:right w:val="nil"/>
            </w:tcBorders>
            <w:shd w:val="clear" w:color="000000" w:fill="629DD1"/>
            <w:vAlign w:val="center"/>
            <w:hideMark/>
          </w:tcPr>
          <w:p w:rsidR="009E6A37" w:rsidRPr="009E6A37" w:rsidRDefault="009E6A37" w:rsidP="009E6A37">
            <w:pPr>
              <w:jc w:val="right"/>
              <w:rPr>
                <w:rFonts w:eastAsia="Times New Roman" w:cs="Arial"/>
                <w:b/>
                <w:bCs/>
                <w:color w:val="FFFFFF"/>
                <w:sz w:val="20"/>
                <w:szCs w:val="20"/>
                <w:lang w:eastAsia="en-AU"/>
              </w:rPr>
            </w:pPr>
            <w:r w:rsidRPr="009E6A37">
              <w:rPr>
                <w:rFonts w:eastAsia="Times New Roman" w:cs="Arial"/>
                <w:b/>
                <w:bCs/>
                <w:color w:val="FFFFFF"/>
                <w:sz w:val="20"/>
                <w:szCs w:val="20"/>
                <w:lang w:eastAsia="en-AU"/>
              </w:rPr>
              <w:t>$’000</w:t>
            </w:r>
          </w:p>
        </w:tc>
      </w:tr>
      <w:tr w:rsidR="009E6A37" w:rsidRPr="009E6A37" w:rsidTr="009E6A37">
        <w:trPr>
          <w:trHeight w:val="290"/>
        </w:trPr>
        <w:tc>
          <w:tcPr>
            <w:tcW w:w="2707" w:type="pct"/>
            <w:tcBorders>
              <w:top w:val="nil"/>
              <w:left w:val="nil"/>
              <w:bottom w:val="nil"/>
              <w:right w:val="nil"/>
            </w:tcBorders>
            <w:shd w:val="clear" w:color="auto" w:fill="auto"/>
            <w:vAlign w:val="center"/>
            <w:hideMark/>
          </w:tcPr>
          <w:p w:rsidR="009E6A37" w:rsidRPr="009E6A37" w:rsidRDefault="009E6A37" w:rsidP="009E6A37">
            <w:pPr>
              <w:jc w:val="both"/>
              <w:rPr>
                <w:rFonts w:eastAsia="Times New Roman" w:cs="Arial"/>
                <w:b/>
                <w:bCs/>
                <w:color w:val="000000"/>
                <w:sz w:val="20"/>
                <w:szCs w:val="20"/>
                <w:lang w:eastAsia="en-AU"/>
              </w:rPr>
            </w:pPr>
            <w:r w:rsidRPr="009E6A37">
              <w:rPr>
                <w:rFonts w:eastAsia="Times New Roman" w:cs="Arial"/>
                <w:b/>
                <w:bCs/>
                <w:color w:val="000000"/>
                <w:sz w:val="20"/>
                <w:szCs w:val="20"/>
                <w:lang w:eastAsia="en-AU"/>
              </w:rPr>
              <w:t>Surplus (deficit) for the year</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9,482</w:t>
            </w:r>
          </w:p>
        </w:tc>
        <w:tc>
          <w:tcPr>
            <w:tcW w:w="764" w:type="pct"/>
            <w:tcBorders>
              <w:top w:val="nil"/>
              <w:left w:val="nil"/>
              <w:bottom w:val="nil"/>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40,157</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30,675</w:t>
            </w:r>
          </w:p>
        </w:tc>
      </w:tr>
      <w:tr w:rsidR="009E6A37" w:rsidRPr="009E6A37" w:rsidTr="009E6A37">
        <w:trPr>
          <w:trHeight w:val="290"/>
        </w:trPr>
        <w:tc>
          <w:tcPr>
            <w:tcW w:w="2707" w:type="pct"/>
            <w:tcBorders>
              <w:top w:val="nil"/>
              <w:left w:val="nil"/>
              <w:bottom w:val="nil"/>
              <w:right w:val="nil"/>
            </w:tcBorders>
            <w:shd w:val="clear" w:color="auto" w:fill="auto"/>
            <w:vAlign w:val="center"/>
            <w:hideMark/>
          </w:tcPr>
          <w:p w:rsidR="009E6A37" w:rsidRPr="009E6A37" w:rsidRDefault="009E6A37" w:rsidP="009E6A37">
            <w:pPr>
              <w:jc w:val="both"/>
              <w:rPr>
                <w:rFonts w:eastAsia="Times New Roman" w:cs="Arial"/>
                <w:color w:val="000000"/>
                <w:sz w:val="20"/>
                <w:szCs w:val="20"/>
                <w:lang w:eastAsia="en-AU"/>
              </w:rPr>
            </w:pPr>
            <w:r w:rsidRPr="009E6A37">
              <w:rPr>
                <w:rFonts w:eastAsia="Times New Roman" w:cs="Arial"/>
                <w:color w:val="000000"/>
                <w:sz w:val="20"/>
                <w:szCs w:val="20"/>
                <w:lang w:eastAsia="en-AU"/>
              </w:rPr>
              <w:t>Depreciation</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23,084</w:t>
            </w:r>
          </w:p>
        </w:tc>
        <w:tc>
          <w:tcPr>
            <w:tcW w:w="764" w:type="pct"/>
            <w:tcBorders>
              <w:top w:val="nil"/>
              <w:left w:val="nil"/>
              <w:bottom w:val="nil"/>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24,441</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1,357</w:t>
            </w:r>
          </w:p>
        </w:tc>
      </w:tr>
      <w:tr w:rsidR="009E6A37" w:rsidRPr="009E6A37" w:rsidTr="009E6A37">
        <w:trPr>
          <w:trHeight w:val="500"/>
        </w:trPr>
        <w:tc>
          <w:tcPr>
            <w:tcW w:w="2707" w:type="pct"/>
            <w:tcBorders>
              <w:top w:val="nil"/>
              <w:left w:val="nil"/>
              <w:bottom w:val="nil"/>
              <w:right w:val="nil"/>
            </w:tcBorders>
            <w:shd w:val="clear" w:color="auto" w:fill="auto"/>
            <w:vAlign w:val="center"/>
            <w:hideMark/>
          </w:tcPr>
          <w:p w:rsidR="009E6A37" w:rsidRPr="009E6A37" w:rsidRDefault="009E6A37" w:rsidP="009E6A37">
            <w:pPr>
              <w:jc w:val="both"/>
              <w:rPr>
                <w:rFonts w:eastAsia="Times New Roman" w:cs="Arial"/>
                <w:color w:val="000000"/>
                <w:sz w:val="20"/>
                <w:szCs w:val="20"/>
                <w:lang w:eastAsia="en-AU"/>
              </w:rPr>
            </w:pPr>
            <w:r w:rsidRPr="009E6A37">
              <w:rPr>
                <w:rFonts w:eastAsia="Times New Roman" w:cs="Arial"/>
                <w:color w:val="000000"/>
                <w:sz w:val="20"/>
                <w:szCs w:val="20"/>
                <w:lang w:eastAsia="en-AU"/>
              </w:rPr>
              <w:t>Net gain/(loss) on disposal of property, infrastructure, plant and equipment</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(93)</w:t>
            </w:r>
          </w:p>
        </w:tc>
        <w:tc>
          <w:tcPr>
            <w:tcW w:w="764" w:type="pct"/>
            <w:tcBorders>
              <w:top w:val="nil"/>
              <w:left w:val="nil"/>
              <w:bottom w:val="nil"/>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12,075</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12,168</w:t>
            </w:r>
          </w:p>
        </w:tc>
      </w:tr>
      <w:tr w:rsidR="009E6A37" w:rsidRPr="009E6A37" w:rsidTr="009E6A37">
        <w:trPr>
          <w:trHeight w:val="290"/>
        </w:trPr>
        <w:tc>
          <w:tcPr>
            <w:tcW w:w="2707" w:type="pct"/>
            <w:tcBorders>
              <w:top w:val="nil"/>
              <w:left w:val="nil"/>
              <w:bottom w:val="nil"/>
              <w:right w:val="nil"/>
            </w:tcBorders>
            <w:shd w:val="clear" w:color="auto" w:fill="auto"/>
            <w:vAlign w:val="center"/>
            <w:hideMark/>
          </w:tcPr>
          <w:p w:rsidR="009E6A37" w:rsidRPr="009E6A37" w:rsidRDefault="009E6A37" w:rsidP="009E6A37">
            <w:pPr>
              <w:rPr>
                <w:rFonts w:eastAsia="Times New Roman" w:cs="Arial"/>
                <w:color w:val="000000"/>
                <w:sz w:val="20"/>
                <w:szCs w:val="20"/>
                <w:lang w:eastAsia="en-AU"/>
              </w:rPr>
            </w:pPr>
            <w:r w:rsidRPr="009E6A37">
              <w:rPr>
                <w:rFonts w:eastAsia="Times New Roman" w:cs="Arial"/>
                <w:color w:val="000000"/>
                <w:sz w:val="20"/>
                <w:szCs w:val="20"/>
                <w:lang w:eastAsia="en-AU"/>
              </w:rPr>
              <w:t>Finance costs</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(459)</w:t>
            </w:r>
          </w:p>
        </w:tc>
        <w:tc>
          <w:tcPr>
            <w:tcW w:w="764" w:type="pct"/>
            <w:tcBorders>
              <w:top w:val="nil"/>
              <w:left w:val="nil"/>
              <w:bottom w:val="nil"/>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(861)</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(402)</w:t>
            </w:r>
          </w:p>
        </w:tc>
      </w:tr>
      <w:tr w:rsidR="009E6A37" w:rsidRPr="009E6A37" w:rsidTr="009E6A37">
        <w:trPr>
          <w:trHeight w:val="300"/>
        </w:trPr>
        <w:tc>
          <w:tcPr>
            <w:tcW w:w="2707" w:type="pct"/>
            <w:tcBorders>
              <w:top w:val="nil"/>
              <w:left w:val="nil"/>
              <w:bottom w:val="nil"/>
              <w:right w:val="nil"/>
            </w:tcBorders>
            <w:shd w:val="clear" w:color="auto" w:fill="auto"/>
            <w:vAlign w:val="center"/>
            <w:hideMark/>
          </w:tcPr>
          <w:p w:rsidR="009E6A37" w:rsidRPr="009E6A37" w:rsidRDefault="009E6A37" w:rsidP="009E6A37">
            <w:pPr>
              <w:rPr>
                <w:rFonts w:eastAsia="Times New Roman" w:cs="Arial"/>
                <w:color w:val="000000"/>
                <w:sz w:val="20"/>
                <w:szCs w:val="20"/>
                <w:lang w:eastAsia="en-AU"/>
              </w:rPr>
            </w:pPr>
            <w:r w:rsidRPr="009E6A37">
              <w:rPr>
                <w:rFonts w:eastAsia="Times New Roman" w:cs="Arial"/>
                <w:color w:val="000000"/>
                <w:sz w:val="20"/>
                <w:szCs w:val="20"/>
                <w:lang w:eastAsia="en-AU"/>
              </w:rPr>
              <w:t>Net movement in current assets and liabilities</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3,021</w:t>
            </w:r>
          </w:p>
        </w:tc>
        <w:tc>
          <w:tcPr>
            <w:tcW w:w="764" w:type="pct"/>
            <w:tcBorders>
              <w:top w:val="nil"/>
              <w:left w:val="nil"/>
              <w:bottom w:val="nil"/>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(16,654)</w:t>
            </w:r>
          </w:p>
        </w:tc>
        <w:tc>
          <w:tcPr>
            <w:tcW w:w="764" w:type="pct"/>
            <w:tcBorders>
              <w:top w:val="nil"/>
              <w:left w:val="nil"/>
              <w:bottom w:val="nil"/>
              <w:right w:val="nil"/>
            </w:tcBorders>
            <w:shd w:val="clear" w:color="auto" w:fill="auto"/>
            <w:vAlign w:val="center"/>
            <w:hideMark/>
          </w:tcPr>
          <w:p w:rsidR="009E6A37" w:rsidRPr="009E6A37" w:rsidRDefault="009E6A37" w:rsidP="009E6A37">
            <w:pPr>
              <w:jc w:val="right"/>
              <w:rPr>
                <w:rFonts w:eastAsia="Times New Roman" w:cs="Arial"/>
                <w:color w:val="000000"/>
                <w:sz w:val="20"/>
                <w:szCs w:val="20"/>
                <w:lang w:eastAsia="en-AU"/>
              </w:rPr>
            </w:pPr>
            <w:r w:rsidRPr="009E6A37">
              <w:rPr>
                <w:rFonts w:eastAsia="Times New Roman" w:cs="Arial"/>
                <w:color w:val="000000"/>
                <w:sz w:val="20"/>
                <w:szCs w:val="20"/>
                <w:lang w:eastAsia="en-AU"/>
              </w:rPr>
              <w:t>(19,675)</w:t>
            </w:r>
          </w:p>
        </w:tc>
      </w:tr>
      <w:tr w:rsidR="009E6A37" w:rsidRPr="009E6A37" w:rsidTr="009E6A37">
        <w:trPr>
          <w:trHeight w:val="300"/>
        </w:trPr>
        <w:tc>
          <w:tcPr>
            <w:tcW w:w="2707" w:type="pct"/>
            <w:tcBorders>
              <w:top w:val="nil"/>
              <w:left w:val="nil"/>
              <w:bottom w:val="single" w:sz="8" w:space="0" w:color="auto"/>
              <w:right w:val="nil"/>
            </w:tcBorders>
            <w:shd w:val="clear" w:color="auto" w:fill="auto"/>
            <w:vAlign w:val="center"/>
            <w:hideMark/>
          </w:tcPr>
          <w:p w:rsidR="009E6A37" w:rsidRPr="009E6A37" w:rsidRDefault="009E6A37" w:rsidP="009E6A37">
            <w:pPr>
              <w:jc w:val="both"/>
              <w:rPr>
                <w:rFonts w:eastAsia="Times New Roman" w:cs="Arial"/>
                <w:b/>
                <w:bCs/>
                <w:color w:val="000000"/>
                <w:sz w:val="20"/>
                <w:szCs w:val="20"/>
                <w:lang w:eastAsia="en-AU"/>
              </w:rPr>
            </w:pPr>
            <w:r w:rsidRPr="009E6A37">
              <w:rPr>
                <w:rFonts w:eastAsia="Times New Roman" w:cs="Arial"/>
                <w:b/>
                <w:bCs/>
                <w:color w:val="000000"/>
                <w:sz w:val="20"/>
                <w:szCs w:val="20"/>
                <w:lang w:eastAsia="en-AU"/>
              </w:rPr>
              <w:t>Cash flows available from operating activities</w:t>
            </w:r>
          </w:p>
        </w:tc>
        <w:tc>
          <w:tcPr>
            <w:tcW w:w="764" w:type="pct"/>
            <w:tcBorders>
              <w:top w:val="single" w:sz="8" w:space="0" w:color="auto"/>
              <w:left w:val="nil"/>
              <w:bottom w:val="single" w:sz="8" w:space="0" w:color="auto"/>
              <w:right w:val="nil"/>
            </w:tcBorders>
            <w:shd w:val="clear" w:color="auto" w:fill="auto"/>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35,035</w:t>
            </w:r>
          </w:p>
        </w:tc>
        <w:tc>
          <w:tcPr>
            <w:tcW w:w="764" w:type="pct"/>
            <w:tcBorders>
              <w:top w:val="single" w:sz="8" w:space="0" w:color="auto"/>
              <w:left w:val="nil"/>
              <w:bottom w:val="single" w:sz="8" w:space="0" w:color="auto"/>
              <w:right w:val="nil"/>
            </w:tcBorders>
            <w:shd w:val="clear" w:color="000000" w:fill="ACCBF9"/>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59,159</w:t>
            </w:r>
          </w:p>
        </w:tc>
        <w:tc>
          <w:tcPr>
            <w:tcW w:w="764" w:type="pct"/>
            <w:tcBorders>
              <w:top w:val="single" w:sz="8" w:space="0" w:color="auto"/>
              <w:left w:val="nil"/>
              <w:bottom w:val="single" w:sz="8" w:space="0" w:color="auto"/>
              <w:right w:val="nil"/>
            </w:tcBorders>
            <w:shd w:val="clear" w:color="auto" w:fill="auto"/>
            <w:vAlign w:val="center"/>
            <w:hideMark/>
          </w:tcPr>
          <w:p w:rsidR="009E6A37" w:rsidRPr="009E6A37" w:rsidRDefault="009E6A37" w:rsidP="009E6A37">
            <w:pPr>
              <w:jc w:val="right"/>
              <w:rPr>
                <w:rFonts w:eastAsia="Times New Roman" w:cs="Arial"/>
                <w:b/>
                <w:bCs/>
                <w:color w:val="000000"/>
                <w:sz w:val="20"/>
                <w:szCs w:val="20"/>
                <w:lang w:eastAsia="en-AU"/>
              </w:rPr>
            </w:pPr>
            <w:r w:rsidRPr="009E6A37">
              <w:rPr>
                <w:rFonts w:eastAsia="Times New Roman" w:cs="Arial"/>
                <w:b/>
                <w:bCs/>
                <w:color w:val="000000"/>
                <w:sz w:val="20"/>
                <w:szCs w:val="20"/>
                <w:lang w:eastAsia="en-AU"/>
              </w:rPr>
              <w:t>24,124</w:t>
            </w:r>
          </w:p>
        </w:tc>
      </w:tr>
    </w:tbl>
    <w:p w:rsidR="009E6A37" w:rsidRPr="0029462D" w:rsidRDefault="009E6A37" w:rsidP="009D52F3">
      <w:pPr>
        <w:jc w:val="both"/>
        <w:rPr>
          <w:rFonts w:eastAsia="Times New Roman" w:cs="Arial"/>
          <w:bCs/>
          <w:sz w:val="20"/>
          <w:szCs w:val="20"/>
          <w:lang w:eastAsia="en-AU"/>
        </w:rPr>
      </w:pPr>
    </w:p>
    <w:p w:rsidR="00075849" w:rsidRDefault="00075849" w:rsidP="00FE6C87">
      <w:pPr>
        <w:jc w:val="both"/>
        <w:rPr>
          <w:rFonts w:eastAsia="Times New Roman" w:cs="Arial"/>
          <w:lang w:eastAsia="en-AU"/>
        </w:rPr>
      </w:pPr>
    </w:p>
    <w:p w:rsidR="00075849" w:rsidRDefault="00075849">
      <w:pPr>
        <w:rPr>
          <w:rFonts w:eastAsia="Times New Roman" w:cs="Arial"/>
          <w:lang w:eastAsia="en-AU"/>
        </w:rPr>
      </w:pPr>
      <w:r>
        <w:rPr>
          <w:rFonts w:eastAsia="Times New Roman" w:cs="Arial"/>
          <w:lang w:eastAsia="en-AU"/>
        </w:rPr>
        <w:br w:type="page"/>
      </w:r>
    </w:p>
    <w:p w:rsidR="009B2EBB" w:rsidRDefault="001E7276" w:rsidP="00FE6C87">
      <w:pPr>
        <w:jc w:val="both"/>
        <w:rPr>
          <w:rFonts w:cs="Arial"/>
          <w:b/>
          <w:bCs/>
          <w:color w:val="4A66AC" w:themeColor="accent1"/>
          <w:lang w:eastAsia="en-AU"/>
        </w:rPr>
      </w:pPr>
      <w:r w:rsidRPr="006D5E17">
        <w:rPr>
          <w:rFonts w:cs="Arial"/>
          <w:b/>
          <w:bCs/>
          <w:color w:val="4A66AC" w:themeColor="accent1"/>
          <w:lang w:eastAsia="en-AU"/>
        </w:rPr>
        <w:lastRenderedPageBreak/>
        <w:t>6</w:t>
      </w:r>
      <w:r w:rsidR="009B2EBB" w:rsidRPr="006D5E17">
        <w:rPr>
          <w:rFonts w:cs="Arial"/>
          <w:b/>
          <w:bCs/>
          <w:color w:val="4A66AC" w:themeColor="accent1"/>
          <w:lang w:eastAsia="en-AU"/>
        </w:rPr>
        <w:t>.4.2 Net cash flows provided by</w:t>
      </w:r>
      <w:r w:rsidR="00797270" w:rsidRPr="006D5E17">
        <w:rPr>
          <w:rFonts w:cs="Arial"/>
          <w:b/>
          <w:bCs/>
          <w:color w:val="4A66AC" w:themeColor="accent1"/>
          <w:lang w:eastAsia="en-AU"/>
        </w:rPr>
        <w:t>/ (</w:t>
      </w:r>
      <w:r w:rsidR="009B2EBB" w:rsidRPr="006D5E17">
        <w:rPr>
          <w:rFonts w:cs="Arial"/>
          <w:b/>
          <w:bCs/>
          <w:color w:val="4A66AC" w:themeColor="accent1"/>
          <w:lang w:eastAsia="en-AU"/>
        </w:rPr>
        <w:t>used in) investing activities</w:t>
      </w:r>
    </w:p>
    <w:p w:rsidR="00D728BA" w:rsidRDefault="00D728BA" w:rsidP="00FE6C87">
      <w:pPr>
        <w:jc w:val="both"/>
        <w:rPr>
          <w:rFonts w:cs="Arial"/>
          <w:b/>
          <w:bCs/>
          <w:color w:val="4A66AC" w:themeColor="accent1"/>
          <w:lang w:eastAsia="en-AU"/>
        </w:rPr>
      </w:pPr>
    </w:p>
    <w:p w:rsidR="00575D15" w:rsidRPr="009444AE" w:rsidRDefault="00575D15" w:rsidP="00FE6C87">
      <w:pPr>
        <w:jc w:val="both"/>
        <w:rPr>
          <w:rFonts w:eastAsia="Times New Roman" w:cs="Arial"/>
          <w:b/>
          <w:bCs/>
          <w:lang w:eastAsia="en-AU"/>
        </w:rPr>
      </w:pPr>
      <w:r w:rsidRPr="009444AE">
        <w:rPr>
          <w:rFonts w:eastAsia="Times New Roman" w:cs="Arial"/>
        </w:rPr>
        <w:t xml:space="preserve">The </w:t>
      </w:r>
      <w:r w:rsidR="00BD5852" w:rsidRPr="009444AE">
        <w:rPr>
          <w:rFonts w:eastAsia="Times New Roman" w:cs="Arial"/>
        </w:rPr>
        <w:t>in</w:t>
      </w:r>
      <w:r w:rsidRPr="009444AE">
        <w:rPr>
          <w:rFonts w:eastAsia="Times New Roman" w:cs="Arial"/>
        </w:rPr>
        <w:t>crease in payments for investing activities represents a</w:t>
      </w:r>
      <w:r w:rsidR="0015202B" w:rsidRPr="009444AE">
        <w:rPr>
          <w:rFonts w:eastAsia="Times New Roman" w:cs="Arial"/>
        </w:rPr>
        <w:t>n</w:t>
      </w:r>
      <w:r w:rsidRPr="009444AE">
        <w:rPr>
          <w:rFonts w:eastAsia="Times New Roman" w:cs="Arial"/>
        </w:rPr>
        <w:t xml:space="preserve"> </w:t>
      </w:r>
      <w:r w:rsidR="00BD5852" w:rsidRPr="009444AE">
        <w:rPr>
          <w:rFonts w:eastAsia="Times New Roman" w:cs="Arial"/>
        </w:rPr>
        <w:t>in</w:t>
      </w:r>
      <w:r w:rsidRPr="009444AE">
        <w:rPr>
          <w:rFonts w:eastAsia="Times New Roman" w:cs="Arial"/>
        </w:rPr>
        <w:t>crease in capital works expenditure between 201</w:t>
      </w:r>
      <w:r w:rsidR="00A83A6F" w:rsidRPr="009444AE">
        <w:rPr>
          <w:rFonts w:eastAsia="Times New Roman" w:cs="Arial"/>
        </w:rPr>
        <w:t>9</w:t>
      </w:r>
      <w:r w:rsidR="00470285" w:rsidRPr="009444AE">
        <w:rPr>
          <w:rFonts w:eastAsia="Times New Roman" w:cs="Arial"/>
        </w:rPr>
        <w:t>/</w:t>
      </w:r>
      <w:r w:rsidR="00A83A6F" w:rsidRPr="009444AE">
        <w:rPr>
          <w:rFonts w:eastAsia="Times New Roman" w:cs="Arial"/>
        </w:rPr>
        <w:t>20</w:t>
      </w:r>
      <w:r w:rsidRPr="009444AE">
        <w:rPr>
          <w:rFonts w:eastAsia="Times New Roman" w:cs="Arial"/>
        </w:rPr>
        <w:t xml:space="preserve"> and 20</w:t>
      </w:r>
      <w:r w:rsidR="00A83A6F" w:rsidRPr="009444AE">
        <w:rPr>
          <w:rFonts w:eastAsia="Times New Roman" w:cs="Arial"/>
        </w:rPr>
        <w:t>20</w:t>
      </w:r>
      <w:r w:rsidRPr="009444AE">
        <w:rPr>
          <w:rFonts w:eastAsia="Times New Roman" w:cs="Arial"/>
        </w:rPr>
        <w:t>/</w:t>
      </w:r>
      <w:r w:rsidR="00F41DC4" w:rsidRPr="009444AE">
        <w:rPr>
          <w:rFonts w:eastAsia="Times New Roman" w:cs="Arial"/>
        </w:rPr>
        <w:t>2</w:t>
      </w:r>
      <w:r w:rsidR="00A83A6F" w:rsidRPr="009444AE">
        <w:rPr>
          <w:rFonts w:eastAsia="Times New Roman" w:cs="Arial"/>
        </w:rPr>
        <w:t>1</w:t>
      </w:r>
      <w:r w:rsidRPr="009444AE">
        <w:rPr>
          <w:rFonts w:eastAsia="Times New Roman" w:cs="Arial"/>
        </w:rPr>
        <w:t>.</w:t>
      </w:r>
    </w:p>
    <w:p w:rsidR="00FC2AB3" w:rsidRDefault="00FC2AB3" w:rsidP="00FE6C87">
      <w:pPr>
        <w:jc w:val="both"/>
        <w:rPr>
          <w:rFonts w:eastAsia="Times New Roman" w:cs="Arial"/>
        </w:rPr>
      </w:pPr>
    </w:p>
    <w:p w:rsidR="00FC2AB3" w:rsidRDefault="001E7276" w:rsidP="00FE6C87">
      <w:pPr>
        <w:jc w:val="both"/>
        <w:rPr>
          <w:rFonts w:cs="Arial"/>
          <w:b/>
          <w:bCs/>
          <w:color w:val="4A66AC" w:themeColor="accent1"/>
          <w:lang w:eastAsia="en-AU"/>
        </w:rPr>
      </w:pPr>
      <w:r w:rsidRPr="006D5E17">
        <w:rPr>
          <w:rFonts w:cs="Arial"/>
          <w:b/>
          <w:bCs/>
          <w:color w:val="4A66AC" w:themeColor="accent1"/>
          <w:lang w:eastAsia="en-AU"/>
        </w:rPr>
        <w:t>6</w:t>
      </w:r>
      <w:r w:rsidR="00FC2AB3" w:rsidRPr="006D5E17">
        <w:rPr>
          <w:rFonts w:cs="Arial"/>
          <w:b/>
          <w:bCs/>
          <w:color w:val="4A66AC" w:themeColor="accent1"/>
          <w:lang w:eastAsia="en-AU"/>
        </w:rPr>
        <w:t>.4.3 Net cash flows provided by</w:t>
      </w:r>
      <w:r w:rsidR="00797270" w:rsidRPr="006D5E17">
        <w:rPr>
          <w:rFonts w:cs="Arial"/>
          <w:b/>
          <w:bCs/>
          <w:color w:val="4A66AC" w:themeColor="accent1"/>
          <w:lang w:eastAsia="en-AU"/>
        </w:rPr>
        <w:t>/ (</w:t>
      </w:r>
      <w:r w:rsidR="00FC2AB3" w:rsidRPr="006D5E17">
        <w:rPr>
          <w:rFonts w:cs="Arial"/>
          <w:b/>
          <w:bCs/>
          <w:color w:val="4A66AC" w:themeColor="accent1"/>
          <w:lang w:eastAsia="en-AU"/>
        </w:rPr>
        <w:t>used in) financing activities</w:t>
      </w:r>
    </w:p>
    <w:p w:rsidR="00D728BA" w:rsidRPr="0029462D" w:rsidRDefault="00D728BA" w:rsidP="00FE6C87">
      <w:pPr>
        <w:jc w:val="both"/>
        <w:rPr>
          <w:rFonts w:eastAsia="Times New Roman" w:cs="Arial"/>
        </w:rPr>
      </w:pPr>
    </w:p>
    <w:p w:rsidR="00470285" w:rsidRPr="009444AE" w:rsidRDefault="00470285" w:rsidP="00470285">
      <w:pPr>
        <w:jc w:val="both"/>
        <w:rPr>
          <w:rFonts w:eastAsia="Times New Roman" w:cs="Arial"/>
          <w:b/>
          <w:bCs/>
          <w:lang w:eastAsia="en-AU"/>
        </w:rPr>
      </w:pPr>
      <w:r w:rsidRPr="009444AE">
        <w:rPr>
          <w:rFonts w:eastAsia="Times New Roman" w:cs="Arial"/>
        </w:rPr>
        <w:t xml:space="preserve">The payments for </w:t>
      </w:r>
      <w:r w:rsidR="0015202B" w:rsidRPr="009444AE">
        <w:rPr>
          <w:rFonts w:eastAsia="Times New Roman" w:cs="Arial"/>
        </w:rPr>
        <w:t>financing</w:t>
      </w:r>
      <w:r w:rsidRPr="009444AE">
        <w:rPr>
          <w:rFonts w:eastAsia="Times New Roman" w:cs="Arial"/>
        </w:rPr>
        <w:t xml:space="preserve"> activities represents repayment of borrowings both principal and interest for </w:t>
      </w:r>
      <w:r w:rsidRPr="002F3448">
        <w:rPr>
          <w:rFonts w:eastAsia="Times New Roman" w:cs="Arial"/>
        </w:rPr>
        <w:t>the loan for Aquanation (</w:t>
      </w:r>
      <w:r w:rsidRPr="009444AE">
        <w:rPr>
          <w:rFonts w:eastAsia="Times New Roman" w:cs="Arial"/>
        </w:rPr>
        <w:t xml:space="preserve">refer </w:t>
      </w:r>
      <w:r w:rsidR="00EA51B3" w:rsidRPr="009444AE">
        <w:rPr>
          <w:rFonts w:eastAsia="Times New Roman" w:cs="Arial"/>
        </w:rPr>
        <w:t>6</w:t>
      </w:r>
      <w:r w:rsidRPr="009444AE">
        <w:rPr>
          <w:rFonts w:eastAsia="Times New Roman" w:cs="Arial"/>
        </w:rPr>
        <w:t>.2.</w:t>
      </w:r>
      <w:r w:rsidR="008B1241" w:rsidRPr="009444AE">
        <w:rPr>
          <w:rFonts w:eastAsia="Times New Roman" w:cs="Arial"/>
        </w:rPr>
        <w:t>2</w:t>
      </w:r>
      <w:r w:rsidRPr="009444AE">
        <w:rPr>
          <w:rFonts w:eastAsia="Times New Roman" w:cs="Arial"/>
        </w:rPr>
        <w:t>).</w:t>
      </w:r>
    </w:p>
    <w:p w:rsidR="00FC2AB3" w:rsidRPr="0029462D" w:rsidRDefault="00FC2AB3" w:rsidP="00FC2AB3">
      <w:pPr>
        <w:jc w:val="both"/>
        <w:rPr>
          <w:rFonts w:eastAsia="Times New Roman" w:cs="Arial"/>
        </w:rPr>
      </w:pPr>
      <w:r w:rsidRPr="0029462D">
        <w:rPr>
          <w:rFonts w:eastAsia="Times New Roman" w:cs="Arial"/>
        </w:rPr>
        <w:t xml:space="preserve"> </w:t>
      </w:r>
    </w:p>
    <w:p w:rsidR="00FC2AB3" w:rsidRDefault="001E7276" w:rsidP="00FC2AB3">
      <w:pPr>
        <w:jc w:val="both"/>
        <w:rPr>
          <w:rFonts w:eastAsia="Times New Roman" w:cs="Arial"/>
          <w:b/>
          <w:bCs/>
          <w:color w:val="4A66AC" w:themeColor="accent1"/>
          <w:lang w:eastAsia="en-AU"/>
        </w:rPr>
      </w:pPr>
      <w:r w:rsidRPr="006D5E17">
        <w:rPr>
          <w:rFonts w:eastAsia="Times New Roman" w:cs="Arial"/>
          <w:b/>
          <w:bCs/>
          <w:color w:val="4A66AC" w:themeColor="accent1"/>
          <w:lang w:eastAsia="en-AU"/>
        </w:rPr>
        <w:t>6</w:t>
      </w:r>
      <w:r w:rsidR="00D12F41" w:rsidRPr="006D5E17">
        <w:rPr>
          <w:rFonts w:eastAsia="Times New Roman" w:cs="Arial"/>
          <w:b/>
          <w:bCs/>
          <w:color w:val="4A66AC" w:themeColor="accent1"/>
          <w:lang w:eastAsia="en-AU"/>
        </w:rPr>
        <w:t>.4.4</w:t>
      </w:r>
      <w:r w:rsidR="00FC2AB3" w:rsidRPr="006D5E17">
        <w:rPr>
          <w:rFonts w:eastAsia="Times New Roman" w:cs="Arial"/>
          <w:b/>
          <w:bCs/>
          <w:color w:val="4A66AC" w:themeColor="accent1"/>
          <w:lang w:eastAsia="en-AU"/>
        </w:rPr>
        <w:t xml:space="preserve"> Cash and cash</w:t>
      </w:r>
      <w:r w:rsidR="00D12F41" w:rsidRPr="006D5E17">
        <w:rPr>
          <w:rFonts w:eastAsia="Times New Roman" w:cs="Arial"/>
          <w:b/>
          <w:bCs/>
          <w:color w:val="4A66AC" w:themeColor="accent1"/>
          <w:lang w:eastAsia="en-AU"/>
        </w:rPr>
        <w:t xml:space="preserve"> equivalents at end of the year</w:t>
      </w:r>
    </w:p>
    <w:p w:rsidR="00D728BA" w:rsidRPr="005661A5" w:rsidRDefault="00D728BA" w:rsidP="00FC2AB3">
      <w:pPr>
        <w:jc w:val="both"/>
        <w:rPr>
          <w:rFonts w:eastAsia="Times New Roman" w:cs="Arial"/>
          <w:color w:val="4A66AC" w:themeColor="accent1"/>
        </w:rPr>
      </w:pPr>
    </w:p>
    <w:p w:rsidR="00FC2AB3" w:rsidRPr="00F86F60" w:rsidRDefault="00FC2AB3" w:rsidP="00FC2AB3">
      <w:pPr>
        <w:jc w:val="both"/>
        <w:rPr>
          <w:rFonts w:eastAsia="Times New Roman" w:cs="Arial"/>
        </w:rPr>
      </w:pPr>
      <w:r w:rsidRPr="00E0254D">
        <w:rPr>
          <w:rFonts w:eastAsia="Times New Roman" w:cs="Arial"/>
        </w:rPr>
        <w:t xml:space="preserve">Overall, total cash and investments are forecast to </w:t>
      </w:r>
      <w:r w:rsidR="00E0254D" w:rsidRPr="00E0254D">
        <w:rPr>
          <w:rFonts w:eastAsia="Times New Roman" w:cs="Arial"/>
        </w:rPr>
        <w:t>in</w:t>
      </w:r>
      <w:r w:rsidRPr="00E0254D">
        <w:rPr>
          <w:rFonts w:eastAsia="Times New Roman" w:cs="Arial"/>
        </w:rPr>
        <w:t>crease by $</w:t>
      </w:r>
      <w:r w:rsidR="00E0254D" w:rsidRPr="00E0254D">
        <w:rPr>
          <w:rFonts w:eastAsia="Times New Roman" w:cs="Arial"/>
        </w:rPr>
        <w:t>4.7</w:t>
      </w:r>
      <w:r w:rsidR="00CC3D9F" w:rsidRPr="00E0254D">
        <w:rPr>
          <w:rFonts w:eastAsia="Times New Roman" w:cs="Arial"/>
        </w:rPr>
        <w:t xml:space="preserve"> </w:t>
      </w:r>
      <w:r w:rsidRPr="00E0254D">
        <w:rPr>
          <w:rFonts w:eastAsia="Times New Roman" w:cs="Arial"/>
        </w:rPr>
        <w:t>million to $</w:t>
      </w:r>
      <w:r w:rsidR="00CC3D9F" w:rsidRPr="00E0254D">
        <w:rPr>
          <w:rFonts w:eastAsia="Times New Roman" w:cs="Arial"/>
        </w:rPr>
        <w:t>16.6</w:t>
      </w:r>
      <w:r w:rsidRPr="00E0254D">
        <w:rPr>
          <w:rFonts w:eastAsia="Times New Roman" w:cs="Arial"/>
        </w:rPr>
        <w:t xml:space="preserve"> million as at 30 June 20</w:t>
      </w:r>
      <w:r w:rsidR="00CC3D9F" w:rsidRPr="00E0254D">
        <w:rPr>
          <w:rFonts w:eastAsia="Times New Roman" w:cs="Arial"/>
        </w:rPr>
        <w:t>2</w:t>
      </w:r>
      <w:r w:rsidR="00680BA2" w:rsidRPr="00E0254D">
        <w:rPr>
          <w:rFonts w:eastAsia="Times New Roman" w:cs="Arial"/>
        </w:rPr>
        <w:t>1</w:t>
      </w:r>
      <w:r w:rsidRPr="00E0254D">
        <w:rPr>
          <w:rFonts w:eastAsia="Times New Roman" w:cs="Arial"/>
        </w:rPr>
        <w:t xml:space="preserve">.  </w:t>
      </w:r>
      <w:r w:rsidRPr="00F86F60">
        <w:rPr>
          <w:rFonts w:eastAsia="Times New Roman" w:cs="Arial"/>
        </w:rPr>
        <w:t>This is consistent with Council’s Long Term Financial Strategy.</w:t>
      </w:r>
    </w:p>
    <w:p w:rsidR="00FC2AB3" w:rsidRPr="0029462D" w:rsidRDefault="00FC2AB3" w:rsidP="00FC2AB3">
      <w:pPr>
        <w:jc w:val="both"/>
        <w:rPr>
          <w:rFonts w:eastAsia="Times New Roman" w:cs="Arial"/>
          <w:color w:val="FF0000"/>
          <w:sz w:val="20"/>
          <w:szCs w:val="20"/>
        </w:rPr>
      </w:pPr>
    </w:p>
    <w:p w:rsidR="00FC2AB3" w:rsidRDefault="001E7276" w:rsidP="00FC2AB3">
      <w:pPr>
        <w:jc w:val="both"/>
        <w:rPr>
          <w:rFonts w:eastAsia="Times New Roman" w:cs="Arial"/>
          <w:b/>
          <w:bCs/>
          <w:color w:val="4A66AC" w:themeColor="accent1"/>
          <w:lang w:eastAsia="en-AU"/>
        </w:rPr>
      </w:pPr>
      <w:r w:rsidRPr="006D5E17">
        <w:rPr>
          <w:rFonts w:eastAsia="Times New Roman" w:cs="Arial"/>
          <w:b/>
          <w:bCs/>
          <w:color w:val="4A66AC" w:themeColor="accent1"/>
          <w:lang w:eastAsia="en-AU"/>
        </w:rPr>
        <w:t>6</w:t>
      </w:r>
      <w:r w:rsidR="001728BF" w:rsidRPr="006D5E17">
        <w:rPr>
          <w:rFonts w:eastAsia="Times New Roman" w:cs="Arial"/>
          <w:b/>
          <w:bCs/>
          <w:color w:val="4A66AC" w:themeColor="accent1"/>
          <w:lang w:eastAsia="en-AU"/>
        </w:rPr>
        <w:t>.4.5</w:t>
      </w:r>
      <w:r w:rsidR="00FC2AB3" w:rsidRPr="006D5E17">
        <w:rPr>
          <w:rFonts w:eastAsia="Times New Roman" w:cs="Arial"/>
          <w:b/>
          <w:bCs/>
          <w:color w:val="4A66AC" w:themeColor="accent1"/>
          <w:lang w:eastAsia="en-AU"/>
        </w:rPr>
        <w:t xml:space="preserve"> Restricted and unrestricted cash and investments</w:t>
      </w:r>
    </w:p>
    <w:p w:rsidR="00D728BA" w:rsidRPr="005661A5" w:rsidRDefault="00D728BA" w:rsidP="00FC2AB3">
      <w:pPr>
        <w:jc w:val="both"/>
        <w:rPr>
          <w:rFonts w:eastAsia="Times New Roman" w:cs="Arial"/>
          <w:b/>
          <w:bCs/>
          <w:color w:val="4A66AC" w:themeColor="accent1"/>
          <w:lang w:eastAsia="en-AU"/>
        </w:rPr>
      </w:pPr>
    </w:p>
    <w:p w:rsidR="00FC2AB3" w:rsidRPr="0029462D" w:rsidRDefault="00FC2AB3" w:rsidP="00FC2AB3">
      <w:pPr>
        <w:jc w:val="both"/>
        <w:rPr>
          <w:rFonts w:eastAsia="Times New Roman" w:cs="Arial"/>
        </w:rPr>
      </w:pPr>
      <w:r w:rsidRPr="0029462D">
        <w:rPr>
          <w:rFonts w:eastAsia="Times New Roman" w:cs="Arial"/>
        </w:rPr>
        <w:t xml:space="preserve">Cash and cash equivalents held by Council are restricted in part and not fully available for Council’s operations. The budgeted </w:t>
      </w:r>
      <w:r w:rsidR="00423921">
        <w:rPr>
          <w:rFonts w:eastAsia="Times New Roman" w:cs="Arial"/>
        </w:rPr>
        <w:t>balance sheet</w:t>
      </w:r>
      <w:r w:rsidRPr="0029462D">
        <w:rPr>
          <w:rFonts w:eastAsia="Times New Roman" w:cs="Arial"/>
        </w:rPr>
        <w:t xml:space="preserve"> indicates that Council is estimating at 30 June 20</w:t>
      </w:r>
      <w:r w:rsidR="000F0ACF">
        <w:rPr>
          <w:rFonts w:eastAsia="Times New Roman" w:cs="Arial"/>
        </w:rPr>
        <w:t>2</w:t>
      </w:r>
      <w:r w:rsidR="00B23883">
        <w:rPr>
          <w:rFonts w:eastAsia="Times New Roman" w:cs="Arial"/>
        </w:rPr>
        <w:t>1</w:t>
      </w:r>
      <w:r w:rsidRPr="0029462D">
        <w:rPr>
          <w:rFonts w:eastAsia="Times New Roman" w:cs="Arial"/>
        </w:rPr>
        <w:t xml:space="preserve"> it will have cash and </w:t>
      </w:r>
      <w:r w:rsidRPr="0023576F">
        <w:rPr>
          <w:rFonts w:eastAsia="Times New Roman" w:cs="Arial"/>
        </w:rPr>
        <w:t>investments of $</w:t>
      </w:r>
      <w:r w:rsidR="0023576F" w:rsidRPr="0023576F">
        <w:rPr>
          <w:rFonts w:eastAsia="Times New Roman" w:cs="Arial"/>
        </w:rPr>
        <w:t>33.1</w:t>
      </w:r>
      <w:r w:rsidRPr="0023576F">
        <w:rPr>
          <w:rFonts w:eastAsia="Times New Roman" w:cs="Arial"/>
        </w:rPr>
        <w:t xml:space="preserve"> million, </w:t>
      </w:r>
      <w:r w:rsidRPr="00173717">
        <w:rPr>
          <w:rFonts w:eastAsia="Times New Roman" w:cs="Arial"/>
        </w:rPr>
        <w:t xml:space="preserve">which </w:t>
      </w:r>
      <w:r w:rsidRPr="0029462D">
        <w:rPr>
          <w:rFonts w:eastAsia="Times New Roman" w:cs="Arial"/>
        </w:rPr>
        <w:t>are partly restricted as shown in the following table.</w:t>
      </w:r>
    </w:p>
    <w:p w:rsidR="00FC2AB3" w:rsidRPr="0029462D" w:rsidRDefault="00FC2AB3" w:rsidP="00FC2AB3">
      <w:pPr>
        <w:jc w:val="both"/>
        <w:rPr>
          <w:rFonts w:eastAsia="Times New Roman" w:cs="Arial"/>
          <w:sz w:val="20"/>
          <w:szCs w:val="20"/>
        </w:rPr>
      </w:pPr>
    </w:p>
    <w:tbl>
      <w:tblPr>
        <w:tblW w:w="5000" w:type="pct"/>
        <w:tblLook w:val="04A0" w:firstRow="1" w:lastRow="0" w:firstColumn="1" w:lastColumn="0" w:noHBand="0" w:noVBand="1"/>
      </w:tblPr>
      <w:tblGrid>
        <w:gridCol w:w="4199"/>
        <w:gridCol w:w="828"/>
        <w:gridCol w:w="1334"/>
        <w:gridCol w:w="1334"/>
        <w:gridCol w:w="1332"/>
      </w:tblGrid>
      <w:tr w:rsidR="0023576F" w:rsidRPr="0023576F" w:rsidTr="0023576F">
        <w:trPr>
          <w:trHeight w:val="290"/>
        </w:trPr>
        <w:tc>
          <w:tcPr>
            <w:tcW w:w="2326"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458"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color w:val="FFFFFF"/>
                <w:sz w:val="20"/>
                <w:szCs w:val="20"/>
                <w:lang w:eastAsia="en-AU"/>
              </w:rPr>
            </w:pPr>
            <w:r w:rsidRPr="0023576F">
              <w:rPr>
                <w:rFonts w:eastAsia="Times New Roman" w:cs="Arial"/>
                <w:color w:val="FFFFFF"/>
                <w:sz w:val="20"/>
                <w:szCs w:val="20"/>
                <w:lang w:eastAsia="en-AU"/>
              </w:rPr>
              <w:t> </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Forecast</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 </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 </w:t>
            </w:r>
          </w:p>
        </w:tc>
      </w:tr>
      <w:tr w:rsidR="0023576F" w:rsidRPr="0023576F" w:rsidTr="0023576F">
        <w:trPr>
          <w:trHeight w:val="290"/>
        </w:trPr>
        <w:tc>
          <w:tcPr>
            <w:tcW w:w="2326"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458"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b/>
                <w:bCs/>
                <w:color w:val="FFFFFF"/>
                <w:sz w:val="20"/>
                <w:szCs w:val="20"/>
                <w:lang w:eastAsia="en-AU"/>
              </w:rPr>
            </w:pPr>
            <w:r w:rsidRPr="0023576F">
              <w:rPr>
                <w:rFonts w:eastAsia="Times New Roman" w:cs="Arial"/>
                <w:b/>
                <w:bCs/>
                <w:color w:val="FFFFFF"/>
                <w:sz w:val="20"/>
                <w:szCs w:val="20"/>
                <w:lang w:eastAsia="en-AU"/>
              </w:rPr>
              <w:t> </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Actual</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Budget</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Variance</w:t>
            </w:r>
          </w:p>
        </w:tc>
      </w:tr>
      <w:tr w:rsidR="0023576F" w:rsidRPr="0023576F" w:rsidTr="0023576F">
        <w:trPr>
          <w:trHeight w:val="290"/>
        </w:trPr>
        <w:tc>
          <w:tcPr>
            <w:tcW w:w="2326"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458" w:type="pct"/>
            <w:tcBorders>
              <w:top w:val="nil"/>
              <w:left w:val="nil"/>
              <w:bottom w:val="nil"/>
              <w:right w:val="nil"/>
            </w:tcBorders>
            <w:shd w:val="clear" w:color="000000" w:fill="629DD1"/>
            <w:vAlign w:val="center"/>
            <w:hideMark/>
          </w:tcPr>
          <w:p w:rsidR="0023576F" w:rsidRPr="0023576F" w:rsidRDefault="0023576F" w:rsidP="0023576F">
            <w:pPr>
              <w:jc w:val="center"/>
              <w:rPr>
                <w:rFonts w:eastAsia="Times New Roman" w:cs="Arial"/>
                <w:b/>
                <w:bCs/>
                <w:color w:val="FFFFFF"/>
                <w:sz w:val="20"/>
                <w:szCs w:val="20"/>
                <w:lang w:eastAsia="en-AU"/>
              </w:rPr>
            </w:pPr>
            <w:r w:rsidRPr="0023576F">
              <w:rPr>
                <w:rFonts w:eastAsia="Times New Roman" w:cs="Arial"/>
                <w:b/>
                <w:bCs/>
                <w:color w:val="FFFFFF"/>
                <w:sz w:val="20"/>
                <w:szCs w:val="20"/>
                <w:lang w:eastAsia="en-AU"/>
              </w:rPr>
              <w:t>Ref</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2020</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2021</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 </w:t>
            </w:r>
          </w:p>
        </w:tc>
      </w:tr>
      <w:tr w:rsidR="0023576F" w:rsidRPr="0023576F" w:rsidTr="0023576F">
        <w:trPr>
          <w:trHeight w:val="290"/>
        </w:trPr>
        <w:tc>
          <w:tcPr>
            <w:tcW w:w="2326"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458" w:type="pct"/>
            <w:tcBorders>
              <w:top w:val="nil"/>
              <w:left w:val="nil"/>
              <w:bottom w:val="nil"/>
              <w:right w:val="nil"/>
            </w:tcBorders>
            <w:shd w:val="clear" w:color="000000" w:fill="629DD1"/>
            <w:vAlign w:val="center"/>
            <w:hideMark/>
          </w:tcPr>
          <w:p w:rsidR="0023576F" w:rsidRPr="0023576F" w:rsidRDefault="0023576F" w:rsidP="0023576F">
            <w:pPr>
              <w:rPr>
                <w:rFonts w:eastAsia="Times New Roman" w:cs="Arial"/>
                <w:b/>
                <w:bCs/>
                <w:i/>
                <w:iCs/>
                <w:color w:val="FFFFFF"/>
                <w:sz w:val="20"/>
                <w:szCs w:val="20"/>
                <w:lang w:eastAsia="en-AU"/>
              </w:rPr>
            </w:pPr>
            <w:r w:rsidRPr="0023576F">
              <w:rPr>
                <w:rFonts w:eastAsia="Times New Roman" w:cs="Arial"/>
                <w:b/>
                <w:bCs/>
                <w:i/>
                <w:iCs/>
                <w:color w:val="FFFFFF"/>
                <w:sz w:val="20"/>
                <w:szCs w:val="20"/>
                <w:lang w:eastAsia="en-AU"/>
              </w:rPr>
              <w:t> </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$’000</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$’000</w:t>
            </w:r>
          </w:p>
        </w:tc>
        <w:tc>
          <w:tcPr>
            <w:tcW w:w="739" w:type="pct"/>
            <w:tcBorders>
              <w:top w:val="nil"/>
              <w:left w:val="nil"/>
              <w:bottom w:val="nil"/>
              <w:right w:val="nil"/>
            </w:tcBorders>
            <w:shd w:val="clear" w:color="000000" w:fill="629DD1"/>
            <w:vAlign w:val="center"/>
            <w:hideMark/>
          </w:tcPr>
          <w:p w:rsidR="0023576F" w:rsidRPr="0023576F" w:rsidRDefault="0023576F" w:rsidP="0023576F">
            <w:pPr>
              <w:jc w:val="right"/>
              <w:rPr>
                <w:rFonts w:eastAsia="Times New Roman" w:cs="Arial"/>
                <w:b/>
                <w:bCs/>
                <w:color w:val="FFFFFF"/>
                <w:sz w:val="20"/>
                <w:szCs w:val="20"/>
                <w:lang w:eastAsia="en-AU"/>
              </w:rPr>
            </w:pPr>
            <w:r w:rsidRPr="0023576F">
              <w:rPr>
                <w:rFonts w:eastAsia="Times New Roman" w:cs="Arial"/>
                <w:b/>
                <w:bCs/>
                <w:color w:val="FFFFFF"/>
                <w:sz w:val="20"/>
                <w:szCs w:val="20"/>
                <w:lang w:eastAsia="en-AU"/>
              </w:rPr>
              <w:t>$’000</w:t>
            </w:r>
          </w:p>
        </w:tc>
      </w:tr>
      <w:tr w:rsidR="0023576F" w:rsidRPr="0023576F" w:rsidTr="0023576F">
        <w:trPr>
          <w:trHeight w:val="29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b/>
                <w:bCs/>
                <w:color w:val="000000"/>
                <w:sz w:val="20"/>
                <w:szCs w:val="20"/>
                <w:lang w:eastAsia="en-AU"/>
              </w:rPr>
            </w:pPr>
            <w:r w:rsidRPr="0023576F">
              <w:rPr>
                <w:rFonts w:eastAsia="Times New Roman" w:cs="Arial"/>
                <w:b/>
                <w:bCs/>
                <w:color w:val="000000"/>
                <w:sz w:val="20"/>
                <w:szCs w:val="20"/>
                <w:lang w:eastAsia="en-AU"/>
              </w:rPr>
              <w:t>Total cash and investments including financial assets</w:t>
            </w:r>
          </w:p>
        </w:tc>
        <w:tc>
          <w:tcPr>
            <w:tcW w:w="458"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41,643</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33,100</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(8,544)</w:t>
            </w:r>
          </w:p>
        </w:tc>
      </w:tr>
      <w:tr w:rsidR="0023576F" w:rsidRPr="0023576F" w:rsidTr="0023576F">
        <w:trPr>
          <w:trHeight w:val="29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Restricted cash and investments</w:t>
            </w:r>
          </w:p>
        </w:tc>
        <w:tc>
          <w:tcPr>
            <w:tcW w:w="458"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6.4.5.1</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color w:val="FF0000"/>
                <w:sz w:val="20"/>
                <w:szCs w:val="20"/>
                <w:lang w:eastAsia="en-AU"/>
              </w:rPr>
            </w:pPr>
            <w:r w:rsidRPr="0023576F">
              <w:rPr>
                <w:rFonts w:eastAsia="Times New Roman" w:cs="Arial"/>
                <w:color w:val="FF0000"/>
                <w:sz w:val="20"/>
                <w:szCs w:val="20"/>
                <w:lang w:eastAsia="en-AU"/>
              </w:rPr>
              <w:t> </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color w:val="FF0000"/>
                <w:sz w:val="20"/>
                <w:szCs w:val="20"/>
                <w:lang w:eastAsia="en-AU"/>
              </w:rPr>
            </w:pPr>
            <w:r w:rsidRPr="0023576F">
              <w:rPr>
                <w:rFonts w:eastAsia="Times New Roman" w:cs="Arial"/>
                <w:b/>
                <w:bCs/>
                <w:color w:val="FF0000"/>
                <w:sz w:val="20"/>
                <w:szCs w:val="20"/>
                <w:lang w:eastAsia="en-AU"/>
              </w:rPr>
              <w:t> </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color w:val="FF0000"/>
                <w:sz w:val="20"/>
                <w:szCs w:val="20"/>
                <w:lang w:eastAsia="en-AU"/>
              </w:rPr>
            </w:pPr>
            <w:r w:rsidRPr="0023576F">
              <w:rPr>
                <w:rFonts w:eastAsia="Times New Roman" w:cs="Arial"/>
                <w:color w:val="FF0000"/>
                <w:sz w:val="20"/>
                <w:szCs w:val="20"/>
                <w:lang w:eastAsia="en-AU"/>
              </w:rPr>
              <w:t> </w:t>
            </w:r>
          </w:p>
        </w:tc>
      </w:tr>
      <w:tr w:rsidR="0023576F" w:rsidRPr="0023576F" w:rsidTr="0023576F">
        <w:trPr>
          <w:trHeight w:val="29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Trust funds and deposits</w:t>
            </w:r>
          </w:p>
        </w:tc>
        <w:tc>
          <w:tcPr>
            <w:tcW w:w="458" w:type="pct"/>
            <w:tcBorders>
              <w:top w:val="nil"/>
              <w:left w:val="nil"/>
              <w:bottom w:val="nil"/>
              <w:right w:val="nil"/>
            </w:tcBorders>
            <w:shd w:val="clear" w:color="auto" w:fill="auto"/>
            <w:vAlign w:val="center"/>
            <w:hideMark/>
          </w:tcPr>
          <w:p w:rsidR="0023576F" w:rsidRPr="0023576F" w:rsidRDefault="0023576F" w:rsidP="0023576F">
            <w:pPr>
              <w:rPr>
                <w:rFonts w:eastAsia="Times New Roman" w:cs="Arial"/>
                <w:color w:val="000000"/>
                <w:sz w:val="20"/>
                <w:szCs w:val="20"/>
                <w:lang w:eastAsia="en-AU"/>
              </w:rPr>
            </w:pP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(4,828)</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(4,828)</w:t>
            </w: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0</w:t>
            </w:r>
          </w:p>
        </w:tc>
      </w:tr>
      <w:tr w:rsidR="0023576F" w:rsidRPr="0023576F" w:rsidTr="0023576F">
        <w:trPr>
          <w:trHeight w:val="29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Unexpended grants and contributions</w:t>
            </w:r>
          </w:p>
        </w:tc>
        <w:tc>
          <w:tcPr>
            <w:tcW w:w="458" w:type="pct"/>
            <w:tcBorders>
              <w:top w:val="nil"/>
              <w:left w:val="nil"/>
              <w:bottom w:val="nil"/>
              <w:right w:val="nil"/>
            </w:tcBorders>
            <w:shd w:val="clear" w:color="auto" w:fill="auto"/>
            <w:vAlign w:val="center"/>
            <w:hideMark/>
          </w:tcPr>
          <w:p w:rsidR="0023576F" w:rsidRPr="0023576F" w:rsidRDefault="0023576F" w:rsidP="0023576F">
            <w:pPr>
              <w:rPr>
                <w:rFonts w:eastAsia="Times New Roman" w:cs="Arial"/>
                <w:color w:val="000000"/>
                <w:sz w:val="20"/>
                <w:szCs w:val="20"/>
                <w:lang w:eastAsia="en-AU"/>
              </w:rPr>
            </w:pP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(2,500)</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(2,500)</w:t>
            </w: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0</w:t>
            </w:r>
          </w:p>
        </w:tc>
      </w:tr>
      <w:tr w:rsidR="0023576F" w:rsidRPr="0023576F" w:rsidTr="0023576F">
        <w:trPr>
          <w:trHeight w:val="29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Unexpended specific purpose investments other</w:t>
            </w:r>
          </w:p>
        </w:tc>
        <w:tc>
          <w:tcPr>
            <w:tcW w:w="458" w:type="pct"/>
            <w:tcBorders>
              <w:top w:val="nil"/>
              <w:left w:val="nil"/>
              <w:bottom w:val="nil"/>
              <w:right w:val="nil"/>
            </w:tcBorders>
            <w:shd w:val="clear" w:color="auto" w:fill="auto"/>
            <w:vAlign w:val="center"/>
            <w:hideMark/>
          </w:tcPr>
          <w:p w:rsidR="0023576F" w:rsidRPr="0023576F" w:rsidRDefault="0023576F" w:rsidP="0023576F">
            <w:pPr>
              <w:rPr>
                <w:rFonts w:eastAsia="Times New Roman" w:cs="Arial"/>
                <w:color w:val="000000"/>
                <w:sz w:val="20"/>
                <w:szCs w:val="20"/>
                <w:lang w:eastAsia="en-AU"/>
              </w:rPr>
            </w:pP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(13,090)</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(7,183)</w:t>
            </w:r>
          </w:p>
        </w:tc>
        <w:tc>
          <w:tcPr>
            <w:tcW w:w="739" w:type="pct"/>
            <w:tcBorders>
              <w:top w:val="nil"/>
              <w:left w:val="nil"/>
              <w:bottom w:val="nil"/>
              <w:right w:val="nil"/>
            </w:tcBorders>
            <w:shd w:val="clear" w:color="auto" w:fill="auto"/>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5,907</w:t>
            </w:r>
          </w:p>
        </w:tc>
      </w:tr>
      <w:tr w:rsidR="0023576F" w:rsidRPr="0023576F" w:rsidTr="0023576F">
        <w:trPr>
          <w:trHeight w:val="300"/>
        </w:trPr>
        <w:tc>
          <w:tcPr>
            <w:tcW w:w="2326" w:type="pct"/>
            <w:tcBorders>
              <w:top w:val="nil"/>
              <w:left w:val="nil"/>
              <w:bottom w:val="nil"/>
              <w:right w:val="nil"/>
            </w:tcBorders>
            <w:shd w:val="clear" w:color="000000" w:fill="FFFFFF"/>
            <w:vAlign w:val="center"/>
            <w:hideMark/>
          </w:tcPr>
          <w:p w:rsidR="0023576F" w:rsidRPr="0023576F" w:rsidRDefault="0023576F" w:rsidP="0023576F">
            <w:pPr>
              <w:rPr>
                <w:rFonts w:eastAsia="Times New Roman" w:cs="Arial"/>
                <w:color w:val="000000"/>
                <w:sz w:val="20"/>
                <w:szCs w:val="20"/>
                <w:lang w:eastAsia="en-AU"/>
              </w:rPr>
            </w:pPr>
            <w:r w:rsidRPr="0023576F">
              <w:rPr>
                <w:rFonts w:eastAsia="Times New Roman" w:cs="Arial"/>
                <w:color w:val="000000"/>
                <w:sz w:val="20"/>
                <w:szCs w:val="20"/>
                <w:lang w:eastAsia="en-AU"/>
              </w:rPr>
              <w:t>- Cash backed reserve</w:t>
            </w:r>
          </w:p>
        </w:tc>
        <w:tc>
          <w:tcPr>
            <w:tcW w:w="458"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 </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(11,000)</w:t>
            </w:r>
          </w:p>
        </w:tc>
        <w:tc>
          <w:tcPr>
            <w:tcW w:w="739" w:type="pct"/>
            <w:tcBorders>
              <w:top w:val="nil"/>
              <w:left w:val="nil"/>
              <w:bottom w:val="nil"/>
              <w:right w:val="nil"/>
            </w:tcBorders>
            <w:shd w:val="clear" w:color="000000" w:fill="ACCBF9"/>
            <w:vAlign w:val="center"/>
            <w:hideMark/>
          </w:tcPr>
          <w:p w:rsidR="0023576F" w:rsidRPr="0023576F" w:rsidRDefault="0023576F" w:rsidP="0023576F">
            <w:pPr>
              <w:jc w:val="right"/>
              <w:rPr>
                <w:rFonts w:eastAsia="Times New Roman" w:cs="Arial"/>
                <w:b/>
                <w:bCs/>
                <w:sz w:val="20"/>
                <w:szCs w:val="20"/>
                <w:lang w:eastAsia="en-AU"/>
              </w:rPr>
            </w:pPr>
            <w:r w:rsidRPr="0023576F">
              <w:rPr>
                <w:rFonts w:eastAsia="Times New Roman" w:cs="Arial"/>
                <w:b/>
                <w:bCs/>
                <w:sz w:val="20"/>
                <w:szCs w:val="20"/>
                <w:lang w:eastAsia="en-AU"/>
              </w:rPr>
              <w:t>(8,250)</w:t>
            </w:r>
          </w:p>
        </w:tc>
        <w:tc>
          <w:tcPr>
            <w:tcW w:w="739" w:type="pct"/>
            <w:tcBorders>
              <w:top w:val="nil"/>
              <w:left w:val="nil"/>
              <w:bottom w:val="nil"/>
              <w:right w:val="nil"/>
            </w:tcBorders>
            <w:shd w:val="clear" w:color="000000" w:fill="FFFFFF"/>
            <w:vAlign w:val="center"/>
            <w:hideMark/>
          </w:tcPr>
          <w:p w:rsidR="0023576F" w:rsidRPr="0023576F" w:rsidRDefault="0023576F" w:rsidP="0023576F">
            <w:pPr>
              <w:jc w:val="right"/>
              <w:rPr>
                <w:rFonts w:eastAsia="Times New Roman" w:cs="Arial"/>
                <w:color w:val="000000"/>
                <w:sz w:val="20"/>
                <w:szCs w:val="20"/>
                <w:lang w:eastAsia="en-AU"/>
              </w:rPr>
            </w:pPr>
            <w:r w:rsidRPr="0023576F">
              <w:rPr>
                <w:rFonts w:eastAsia="Times New Roman" w:cs="Arial"/>
                <w:color w:val="000000"/>
                <w:sz w:val="20"/>
                <w:szCs w:val="20"/>
                <w:lang w:eastAsia="en-AU"/>
              </w:rPr>
              <w:t>2,750</w:t>
            </w:r>
          </w:p>
        </w:tc>
      </w:tr>
      <w:tr w:rsidR="0023576F" w:rsidRPr="0023576F" w:rsidTr="0023576F">
        <w:trPr>
          <w:trHeight w:val="300"/>
        </w:trPr>
        <w:tc>
          <w:tcPr>
            <w:tcW w:w="2326" w:type="pct"/>
            <w:tcBorders>
              <w:top w:val="nil"/>
              <w:left w:val="nil"/>
              <w:bottom w:val="single" w:sz="8" w:space="0" w:color="auto"/>
              <w:right w:val="nil"/>
            </w:tcBorders>
            <w:shd w:val="clear" w:color="000000" w:fill="FFFFFF"/>
            <w:vAlign w:val="center"/>
            <w:hideMark/>
          </w:tcPr>
          <w:p w:rsidR="0023576F" w:rsidRPr="0023576F" w:rsidRDefault="0023576F" w:rsidP="0023576F">
            <w:pPr>
              <w:rPr>
                <w:rFonts w:eastAsia="Times New Roman" w:cs="Arial"/>
                <w:b/>
                <w:bCs/>
                <w:color w:val="000000"/>
                <w:sz w:val="20"/>
                <w:szCs w:val="20"/>
                <w:lang w:eastAsia="en-AU"/>
              </w:rPr>
            </w:pPr>
            <w:r w:rsidRPr="0023576F">
              <w:rPr>
                <w:rFonts w:eastAsia="Times New Roman" w:cs="Arial"/>
                <w:b/>
                <w:bCs/>
                <w:color w:val="000000"/>
                <w:sz w:val="20"/>
                <w:szCs w:val="20"/>
                <w:lang w:eastAsia="en-AU"/>
              </w:rPr>
              <w:t>Unrestricted cash and investments</w:t>
            </w:r>
          </w:p>
        </w:tc>
        <w:tc>
          <w:tcPr>
            <w:tcW w:w="458" w:type="pct"/>
            <w:tcBorders>
              <w:top w:val="nil"/>
              <w:left w:val="nil"/>
              <w:bottom w:val="single" w:sz="8" w:space="0" w:color="auto"/>
              <w:right w:val="nil"/>
            </w:tcBorders>
            <w:shd w:val="clear" w:color="000000" w:fill="FFFFFF"/>
            <w:vAlign w:val="center"/>
            <w:hideMark/>
          </w:tcPr>
          <w:p w:rsidR="0023576F" w:rsidRPr="0023576F" w:rsidRDefault="0023576F" w:rsidP="0023576F">
            <w:pPr>
              <w:jc w:val="right"/>
              <w:rPr>
                <w:rFonts w:eastAsia="Times New Roman" w:cs="Arial"/>
                <w:sz w:val="20"/>
                <w:szCs w:val="20"/>
                <w:lang w:eastAsia="en-AU"/>
              </w:rPr>
            </w:pPr>
            <w:r w:rsidRPr="0023576F">
              <w:rPr>
                <w:rFonts w:eastAsia="Times New Roman" w:cs="Arial"/>
                <w:sz w:val="20"/>
                <w:szCs w:val="20"/>
                <w:lang w:eastAsia="en-AU"/>
              </w:rPr>
              <w:t>6.4.5.2</w:t>
            </w:r>
          </w:p>
        </w:tc>
        <w:tc>
          <w:tcPr>
            <w:tcW w:w="739" w:type="pct"/>
            <w:tcBorders>
              <w:top w:val="single" w:sz="8" w:space="0" w:color="auto"/>
              <w:left w:val="nil"/>
              <w:bottom w:val="single" w:sz="8" w:space="0" w:color="auto"/>
              <w:right w:val="nil"/>
            </w:tcBorders>
            <w:shd w:val="clear" w:color="000000" w:fill="FFFFFF"/>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10,225</w:t>
            </w:r>
          </w:p>
        </w:tc>
        <w:tc>
          <w:tcPr>
            <w:tcW w:w="739" w:type="pct"/>
            <w:tcBorders>
              <w:top w:val="single" w:sz="8" w:space="0" w:color="auto"/>
              <w:left w:val="nil"/>
              <w:bottom w:val="single" w:sz="8" w:space="0" w:color="auto"/>
              <w:right w:val="nil"/>
            </w:tcBorders>
            <w:shd w:val="clear" w:color="000000" w:fill="ACCBF9"/>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10,339</w:t>
            </w:r>
          </w:p>
        </w:tc>
        <w:tc>
          <w:tcPr>
            <w:tcW w:w="739" w:type="pct"/>
            <w:tcBorders>
              <w:top w:val="single" w:sz="8" w:space="0" w:color="auto"/>
              <w:left w:val="nil"/>
              <w:bottom w:val="single" w:sz="8" w:space="0" w:color="auto"/>
              <w:right w:val="nil"/>
            </w:tcBorders>
            <w:shd w:val="clear" w:color="000000" w:fill="FFFFFF"/>
            <w:vAlign w:val="center"/>
            <w:hideMark/>
          </w:tcPr>
          <w:p w:rsidR="0023576F" w:rsidRPr="0023576F" w:rsidRDefault="0023576F" w:rsidP="0023576F">
            <w:pPr>
              <w:jc w:val="right"/>
              <w:rPr>
                <w:rFonts w:eastAsia="Times New Roman" w:cs="Arial"/>
                <w:b/>
                <w:bCs/>
                <w:color w:val="000000"/>
                <w:sz w:val="20"/>
                <w:szCs w:val="20"/>
                <w:lang w:eastAsia="en-AU"/>
              </w:rPr>
            </w:pPr>
            <w:r w:rsidRPr="0023576F">
              <w:rPr>
                <w:rFonts w:eastAsia="Times New Roman" w:cs="Arial"/>
                <w:b/>
                <w:bCs/>
                <w:color w:val="000000"/>
                <w:sz w:val="20"/>
                <w:szCs w:val="20"/>
                <w:lang w:eastAsia="en-AU"/>
              </w:rPr>
              <w:t>113</w:t>
            </w:r>
          </w:p>
        </w:tc>
      </w:tr>
    </w:tbl>
    <w:p w:rsidR="00FC2AB3" w:rsidRPr="0029462D" w:rsidRDefault="00FC2AB3" w:rsidP="00FC2AB3">
      <w:pPr>
        <w:rPr>
          <w:rFonts w:eastAsia="Times New Roman" w:cs="Arial"/>
          <w:b/>
          <w:bCs/>
          <w:color w:val="CC0000"/>
          <w:lang w:eastAsia="en-AU"/>
        </w:rPr>
      </w:pPr>
    </w:p>
    <w:p w:rsidR="00D728BA" w:rsidRDefault="001E7276" w:rsidP="001728BF">
      <w:pPr>
        <w:rPr>
          <w:rFonts w:eastAsia="Times New Roman" w:cs="Arial"/>
          <w:b/>
          <w:bCs/>
          <w:color w:val="4A66AC" w:themeColor="accent1"/>
          <w:lang w:eastAsia="en-AU"/>
        </w:rPr>
      </w:pPr>
      <w:r w:rsidRPr="006D5E17">
        <w:rPr>
          <w:rFonts w:eastAsia="Times New Roman" w:cs="Arial"/>
          <w:b/>
          <w:bCs/>
          <w:color w:val="4A66AC" w:themeColor="accent1"/>
          <w:lang w:eastAsia="en-AU"/>
        </w:rPr>
        <w:t>6</w:t>
      </w:r>
      <w:r w:rsidR="001728BF" w:rsidRPr="006D5E17">
        <w:rPr>
          <w:rFonts w:eastAsia="Times New Roman" w:cs="Arial"/>
          <w:b/>
          <w:bCs/>
          <w:color w:val="4A66AC" w:themeColor="accent1"/>
          <w:lang w:eastAsia="en-AU"/>
        </w:rPr>
        <w:t>.4.5.1</w:t>
      </w:r>
      <w:r w:rsidR="00FC2AB3" w:rsidRPr="006D5E17">
        <w:rPr>
          <w:rFonts w:eastAsia="Times New Roman" w:cs="Arial"/>
          <w:b/>
          <w:bCs/>
          <w:color w:val="4A66AC" w:themeColor="accent1"/>
          <w:lang w:eastAsia="en-AU"/>
        </w:rPr>
        <w:t xml:space="preserve"> Restricted cash and investments</w:t>
      </w:r>
    </w:p>
    <w:p w:rsidR="001728BF" w:rsidRDefault="00FC2AB3" w:rsidP="001728BF">
      <w:pPr>
        <w:rPr>
          <w:rFonts w:eastAsia="Times New Roman" w:cs="Arial"/>
          <w:b/>
          <w:bCs/>
          <w:color w:val="4A66AC" w:themeColor="accent1"/>
          <w:lang w:eastAsia="en-AU"/>
        </w:rPr>
      </w:pPr>
      <w:r w:rsidRPr="005661A5">
        <w:rPr>
          <w:rFonts w:eastAsia="Times New Roman" w:cs="Arial"/>
          <w:b/>
          <w:bCs/>
          <w:color w:val="4A66AC" w:themeColor="accent1"/>
          <w:lang w:eastAsia="en-AU"/>
        </w:rPr>
        <w:t xml:space="preserve"> </w:t>
      </w:r>
    </w:p>
    <w:p w:rsidR="00FC2AB3" w:rsidRPr="0029462D" w:rsidRDefault="00FC2AB3" w:rsidP="000B6E5F">
      <w:pPr>
        <w:jc w:val="both"/>
        <w:rPr>
          <w:rFonts w:eastAsia="Times New Roman" w:cs="Arial"/>
        </w:rPr>
      </w:pPr>
      <w:r w:rsidRPr="0029462D">
        <w:rPr>
          <w:rFonts w:eastAsia="Times New Roman" w:cs="Arial"/>
        </w:rPr>
        <w:t>Council has cash and cash equivalents that are subject to restrictions, Council has restrictions in relation to unexpended specific purpose investments other which relate mainly to monies received by Council for Public Open Space and Waste</w:t>
      </w:r>
      <w:r w:rsidR="00074856">
        <w:rPr>
          <w:rFonts w:eastAsia="Times New Roman" w:cs="Arial"/>
        </w:rPr>
        <w:t>;</w:t>
      </w:r>
      <w:r w:rsidRPr="0029462D">
        <w:rPr>
          <w:rFonts w:eastAsia="Times New Roman" w:cs="Arial"/>
        </w:rPr>
        <w:t xml:space="preserve"> trust funds and deposits</w:t>
      </w:r>
      <w:r w:rsidR="00074856">
        <w:rPr>
          <w:rFonts w:eastAsia="Times New Roman" w:cs="Arial"/>
        </w:rPr>
        <w:t xml:space="preserve">; </w:t>
      </w:r>
      <w:r w:rsidRPr="0029462D">
        <w:rPr>
          <w:rFonts w:eastAsia="Times New Roman" w:cs="Arial"/>
        </w:rPr>
        <w:t>unexpended grants and contributions and cash backed reserves.</w:t>
      </w:r>
    </w:p>
    <w:p w:rsidR="00FC2AB3" w:rsidRPr="0029462D" w:rsidRDefault="00FC2AB3" w:rsidP="00FC2AB3">
      <w:pPr>
        <w:jc w:val="both"/>
        <w:rPr>
          <w:rFonts w:eastAsia="Times New Roman" w:cs="Arial"/>
          <w:b/>
          <w:color w:val="FF0000"/>
        </w:rPr>
      </w:pPr>
    </w:p>
    <w:p w:rsidR="004C45A1" w:rsidRDefault="001E7276" w:rsidP="00FC2AB3">
      <w:pPr>
        <w:jc w:val="both"/>
        <w:rPr>
          <w:rFonts w:eastAsia="Times New Roman" w:cs="Arial"/>
          <w:b/>
          <w:bCs/>
          <w:color w:val="4A66AC" w:themeColor="accent1"/>
          <w:lang w:eastAsia="en-AU"/>
        </w:rPr>
      </w:pPr>
      <w:r w:rsidRPr="006D5E17">
        <w:rPr>
          <w:rFonts w:eastAsia="Times New Roman" w:cs="Arial"/>
          <w:b/>
          <w:bCs/>
          <w:color w:val="4A66AC" w:themeColor="accent1"/>
          <w:lang w:eastAsia="en-AU"/>
        </w:rPr>
        <w:t>6</w:t>
      </w:r>
      <w:r w:rsidR="001728BF" w:rsidRPr="006D5E17">
        <w:rPr>
          <w:rFonts w:eastAsia="Times New Roman" w:cs="Arial"/>
          <w:b/>
          <w:bCs/>
          <w:color w:val="4A66AC" w:themeColor="accent1"/>
          <w:lang w:eastAsia="en-AU"/>
        </w:rPr>
        <w:t>.4.5.2</w:t>
      </w:r>
      <w:r w:rsidR="00FC2AB3" w:rsidRPr="006D5E17">
        <w:rPr>
          <w:rFonts w:eastAsia="Times New Roman" w:cs="Arial"/>
          <w:b/>
          <w:bCs/>
          <w:color w:val="4A66AC" w:themeColor="accent1"/>
          <w:lang w:eastAsia="en-AU"/>
        </w:rPr>
        <w:t xml:space="preserve"> Unrestricted cash and investments</w:t>
      </w:r>
    </w:p>
    <w:p w:rsidR="00D728BA" w:rsidRDefault="00D728BA" w:rsidP="00FC2AB3">
      <w:pPr>
        <w:jc w:val="both"/>
        <w:rPr>
          <w:rFonts w:eastAsia="Times New Roman" w:cs="Arial"/>
          <w:b/>
          <w:bCs/>
          <w:color w:val="4A66AC" w:themeColor="accent1"/>
          <w:lang w:eastAsia="en-AU"/>
        </w:rPr>
      </w:pPr>
    </w:p>
    <w:p w:rsidR="00FC2AB3" w:rsidRPr="0029462D" w:rsidRDefault="00FC2AB3" w:rsidP="00FC2AB3">
      <w:pPr>
        <w:jc w:val="both"/>
        <w:rPr>
          <w:rFonts w:eastAsia="Times New Roman" w:cs="Arial"/>
        </w:rPr>
      </w:pPr>
      <w:r w:rsidRPr="0029462D">
        <w:rPr>
          <w:rFonts w:eastAsia="Times New Roman" w:cs="Arial"/>
        </w:rPr>
        <w:t>These funds are free of all specific Council commitments and represent funds available to meet daily cash flow requirements, unexpected short term needs and any budget commitments which will be expended in the following year such as grants and contributions.  Council regards these funds as the minimum necessary to ensure that it can meet its commitments as and when they fall due without borrowing further funds.</w:t>
      </w:r>
    </w:p>
    <w:p w:rsidR="00FC2AB3" w:rsidRPr="0029462D" w:rsidRDefault="00FC2AB3" w:rsidP="00FC2AB3">
      <w:pPr>
        <w:jc w:val="both"/>
        <w:rPr>
          <w:rFonts w:eastAsia="Times New Roman" w:cs="Arial"/>
        </w:rPr>
      </w:pPr>
    </w:p>
    <w:p w:rsidR="00E92F9F" w:rsidRDefault="00E92F9F">
      <w:pPr>
        <w:rPr>
          <w:rFonts w:eastAsia="Times New Roman" w:cs="Arial"/>
        </w:rPr>
        <w:sectPr w:rsidR="00E92F9F" w:rsidSect="00CA2DC0">
          <w:pgSz w:w="11907" w:h="16840" w:code="9"/>
          <w:pgMar w:top="993" w:right="1440" w:bottom="993" w:left="1440" w:header="567" w:footer="567" w:gutter="0"/>
          <w:cols w:space="720"/>
        </w:sectPr>
      </w:pPr>
    </w:p>
    <w:p w:rsidR="0029462D" w:rsidRPr="006D5E17" w:rsidRDefault="001E7276" w:rsidP="009646FE">
      <w:pPr>
        <w:spacing w:after="20"/>
        <w:rPr>
          <w:rFonts w:eastAsia="Times New Roman" w:cs="Arial"/>
        </w:rPr>
      </w:pPr>
      <w:r w:rsidRPr="006D5E17">
        <w:rPr>
          <w:rFonts w:eastAsia="Times New Roman" w:cs="Arial"/>
          <w:b/>
          <w:bCs/>
          <w:color w:val="4A66AC" w:themeColor="accent1"/>
          <w:lang w:eastAsia="en-AU"/>
        </w:rPr>
        <w:lastRenderedPageBreak/>
        <w:t>6</w:t>
      </w:r>
      <w:r w:rsidR="009646FE" w:rsidRPr="006D5E17">
        <w:rPr>
          <w:rFonts w:eastAsia="Times New Roman" w:cs="Arial"/>
          <w:b/>
          <w:bCs/>
          <w:color w:val="4A66AC" w:themeColor="accent1"/>
          <w:lang w:eastAsia="en-AU"/>
        </w:rPr>
        <w:t>.</w:t>
      </w:r>
      <w:r w:rsidR="00D95D53" w:rsidRPr="006D5E17">
        <w:rPr>
          <w:rFonts w:eastAsia="Times New Roman" w:cs="Arial"/>
          <w:b/>
          <w:bCs/>
          <w:color w:val="4A66AC" w:themeColor="accent1"/>
          <w:lang w:eastAsia="en-AU"/>
        </w:rPr>
        <w:t>5</w:t>
      </w:r>
      <w:r w:rsidR="009646FE" w:rsidRPr="006D5E17">
        <w:rPr>
          <w:rFonts w:eastAsia="Times New Roman" w:cs="Arial"/>
          <w:b/>
          <w:bCs/>
          <w:color w:val="4A66AC" w:themeColor="accent1"/>
          <w:lang w:eastAsia="en-AU"/>
        </w:rPr>
        <w:t xml:space="preserve"> Capital works program</w:t>
      </w:r>
    </w:p>
    <w:p w:rsidR="0029462D" w:rsidRPr="006D5E17" w:rsidRDefault="0029462D" w:rsidP="0029462D">
      <w:pPr>
        <w:rPr>
          <w:rFonts w:eastAsia="Times New Roman" w:cs="Arial"/>
        </w:rPr>
      </w:pPr>
    </w:p>
    <w:p w:rsidR="00D95D53" w:rsidRPr="005661A5" w:rsidRDefault="001E7276" w:rsidP="00D95D53">
      <w:pPr>
        <w:jc w:val="both"/>
        <w:rPr>
          <w:rFonts w:eastAsia="Times New Roman" w:cs="Arial"/>
          <w:color w:val="4A66AC" w:themeColor="accent1"/>
        </w:rPr>
      </w:pPr>
      <w:r w:rsidRPr="006D5E17">
        <w:rPr>
          <w:rFonts w:eastAsia="Times New Roman" w:cs="Arial"/>
          <w:b/>
          <w:bCs/>
          <w:color w:val="4A66AC" w:themeColor="accent1"/>
          <w:lang w:eastAsia="en-AU"/>
        </w:rPr>
        <w:t>6</w:t>
      </w:r>
      <w:r w:rsidR="00D95D53" w:rsidRPr="006D5E17">
        <w:rPr>
          <w:rFonts w:eastAsia="Times New Roman" w:cs="Arial"/>
          <w:b/>
          <w:bCs/>
          <w:color w:val="4A66AC" w:themeColor="accent1"/>
          <w:lang w:eastAsia="en-AU"/>
        </w:rPr>
        <w:t>.5.1 Summary</w:t>
      </w:r>
    </w:p>
    <w:p w:rsidR="00D95D53" w:rsidRDefault="00D95D53" w:rsidP="0029462D">
      <w:pPr>
        <w:jc w:val="both"/>
        <w:rPr>
          <w:rFonts w:eastAsia="Times New Roman" w:cs="Arial"/>
        </w:rPr>
      </w:pPr>
    </w:p>
    <w:p w:rsidR="00E92F9F" w:rsidRDefault="00E92F9F" w:rsidP="0029462D">
      <w:pPr>
        <w:jc w:val="both"/>
        <w:rPr>
          <w:rFonts w:eastAsia="Times New Roman" w:cs="Arial"/>
        </w:rPr>
      </w:pPr>
      <w:r w:rsidRPr="00E92F9F">
        <w:rPr>
          <w:rFonts w:eastAsia="Times New Roman" w:cs="Arial"/>
        </w:rPr>
        <w:t>This section presents a listing of the capital works projects that will be undertaken for the 20</w:t>
      </w:r>
      <w:r w:rsidR="00CD1DAA">
        <w:rPr>
          <w:rFonts w:eastAsia="Times New Roman" w:cs="Arial"/>
        </w:rPr>
        <w:t>20</w:t>
      </w:r>
      <w:r w:rsidRPr="00E92F9F">
        <w:rPr>
          <w:rFonts w:eastAsia="Times New Roman" w:cs="Arial"/>
        </w:rPr>
        <w:t>/</w:t>
      </w:r>
      <w:r w:rsidR="008F06C6">
        <w:rPr>
          <w:rFonts w:eastAsia="Times New Roman" w:cs="Arial"/>
        </w:rPr>
        <w:t>2</w:t>
      </w:r>
      <w:r w:rsidR="00CD1DAA">
        <w:rPr>
          <w:rFonts w:eastAsia="Times New Roman" w:cs="Arial"/>
        </w:rPr>
        <w:t>1</w:t>
      </w:r>
      <w:r w:rsidRPr="00E92F9F">
        <w:rPr>
          <w:rFonts w:eastAsia="Times New Roman" w:cs="Arial"/>
        </w:rPr>
        <w:t xml:space="preserve"> year, classified by expenditure type and funding source.</w:t>
      </w:r>
    </w:p>
    <w:p w:rsidR="00E92F9F" w:rsidRDefault="00E92F9F" w:rsidP="0029462D">
      <w:pPr>
        <w:jc w:val="both"/>
        <w:rPr>
          <w:rFonts w:eastAsia="Times New Roman" w:cs="Arial"/>
        </w:rPr>
      </w:pPr>
    </w:p>
    <w:tbl>
      <w:tblPr>
        <w:tblW w:w="8880" w:type="dxa"/>
        <w:tblLook w:val="04A0" w:firstRow="1" w:lastRow="0" w:firstColumn="1" w:lastColumn="0" w:noHBand="0" w:noVBand="1"/>
      </w:tblPr>
      <w:tblGrid>
        <w:gridCol w:w="3520"/>
        <w:gridCol w:w="1340"/>
        <w:gridCol w:w="1340"/>
        <w:gridCol w:w="1340"/>
        <w:gridCol w:w="1340"/>
      </w:tblGrid>
      <w:tr w:rsidR="0048742A" w:rsidRPr="0048742A" w:rsidTr="0048742A">
        <w:trPr>
          <w:trHeight w:val="480"/>
        </w:trPr>
        <w:tc>
          <w:tcPr>
            <w:tcW w:w="352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 </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Forecast Actual</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Budget</w:t>
            </w:r>
          </w:p>
        </w:tc>
        <w:tc>
          <w:tcPr>
            <w:tcW w:w="1340" w:type="dxa"/>
            <w:vMerge w:val="restart"/>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Change</w:t>
            </w:r>
          </w:p>
        </w:tc>
        <w:tc>
          <w:tcPr>
            <w:tcW w:w="1340" w:type="dxa"/>
            <w:vMerge w:val="restart"/>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w:t>
            </w:r>
          </w:p>
        </w:tc>
      </w:tr>
      <w:tr w:rsidR="0048742A" w:rsidRPr="0048742A" w:rsidTr="0048742A">
        <w:trPr>
          <w:trHeight w:val="300"/>
        </w:trPr>
        <w:tc>
          <w:tcPr>
            <w:tcW w:w="352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 </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2019/20</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2020/21</w:t>
            </w:r>
          </w:p>
        </w:tc>
        <w:tc>
          <w:tcPr>
            <w:tcW w:w="1340" w:type="dxa"/>
            <w:vMerge/>
            <w:tcBorders>
              <w:top w:val="nil"/>
              <w:left w:val="nil"/>
              <w:bottom w:val="nil"/>
              <w:right w:val="nil"/>
            </w:tcBorders>
            <w:vAlign w:val="center"/>
            <w:hideMark/>
          </w:tcPr>
          <w:p w:rsidR="0048742A" w:rsidRPr="0048742A" w:rsidRDefault="0048742A" w:rsidP="0048742A">
            <w:pPr>
              <w:rPr>
                <w:rFonts w:eastAsia="Times New Roman" w:cs="Arial"/>
                <w:b/>
                <w:bCs/>
                <w:color w:val="FFFFFF"/>
                <w:sz w:val="18"/>
                <w:szCs w:val="18"/>
                <w:lang w:eastAsia="en-AU"/>
              </w:rPr>
            </w:pPr>
          </w:p>
        </w:tc>
        <w:tc>
          <w:tcPr>
            <w:tcW w:w="1340" w:type="dxa"/>
            <w:vMerge/>
            <w:tcBorders>
              <w:top w:val="nil"/>
              <w:left w:val="nil"/>
              <w:bottom w:val="nil"/>
              <w:right w:val="nil"/>
            </w:tcBorders>
            <w:vAlign w:val="center"/>
            <w:hideMark/>
          </w:tcPr>
          <w:p w:rsidR="0048742A" w:rsidRPr="0048742A" w:rsidRDefault="0048742A" w:rsidP="0048742A">
            <w:pPr>
              <w:rPr>
                <w:rFonts w:eastAsia="Times New Roman" w:cs="Arial"/>
                <w:b/>
                <w:bCs/>
                <w:color w:val="FFFFFF"/>
                <w:sz w:val="18"/>
                <w:szCs w:val="18"/>
                <w:lang w:eastAsia="en-AU"/>
              </w:rPr>
            </w:pPr>
          </w:p>
        </w:tc>
      </w:tr>
      <w:tr w:rsidR="0048742A" w:rsidRPr="0048742A" w:rsidTr="0048742A">
        <w:trPr>
          <w:trHeight w:val="300"/>
        </w:trPr>
        <w:tc>
          <w:tcPr>
            <w:tcW w:w="352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 </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$’000</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$’000</w:t>
            </w:r>
          </w:p>
        </w:tc>
        <w:tc>
          <w:tcPr>
            <w:tcW w:w="1340" w:type="dxa"/>
            <w:tcBorders>
              <w:top w:val="nil"/>
              <w:left w:val="nil"/>
              <w:bottom w:val="nil"/>
              <w:right w:val="nil"/>
            </w:tcBorders>
            <w:shd w:val="clear" w:color="000000" w:fill="5B9BD5"/>
            <w:vAlign w:val="center"/>
            <w:hideMark/>
          </w:tcPr>
          <w:p w:rsidR="0048742A" w:rsidRPr="0048742A" w:rsidRDefault="0048742A" w:rsidP="0048742A">
            <w:pPr>
              <w:jc w:val="center"/>
              <w:rPr>
                <w:rFonts w:eastAsia="Times New Roman" w:cs="Arial"/>
                <w:b/>
                <w:bCs/>
                <w:color w:val="FFFFFF"/>
                <w:sz w:val="18"/>
                <w:szCs w:val="18"/>
                <w:lang w:eastAsia="en-AU"/>
              </w:rPr>
            </w:pPr>
            <w:r w:rsidRPr="0048742A">
              <w:rPr>
                <w:rFonts w:eastAsia="Times New Roman" w:cs="Arial"/>
                <w:b/>
                <w:bCs/>
                <w:color w:val="FFFFFF"/>
                <w:sz w:val="18"/>
                <w:szCs w:val="18"/>
                <w:lang w:eastAsia="en-AU"/>
              </w:rPr>
              <w:t>$’000</w:t>
            </w:r>
          </w:p>
        </w:tc>
        <w:tc>
          <w:tcPr>
            <w:tcW w:w="1340" w:type="dxa"/>
            <w:vMerge/>
            <w:tcBorders>
              <w:top w:val="nil"/>
              <w:left w:val="nil"/>
              <w:bottom w:val="nil"/>
              <w:right w:val="nil"/>
            </w:tcBorders>
            <w:vAlign w:val="center"/>
            <w:hideMark/>
          </w:tcPr>
          <w:p w:rsidR="0048742A" w:rsidRPr="0048742A" w:rsidRDefault="0048742A" w:rsidP="0048742A">
            <w:pPr>
              <w:rPr>
                <w:rFonts w:eastAsia="Times New Roman" w:cs="Arial"/>
                <w:b/>
                <w:bCs/>
                <w:color w:val="FFFFFF"/>
                <w:sz w:val="18"/>
                <w:szCs w:val="18"/>
                <w:lang w:eastAsia="en-AU"/>
              </w:rPr>
            </w:pPr>
          </w:p>
        </w:tc>
      </w:tr>
      <w:tr w:rsidR="0048742A" w:rsidRPr="0048742A" w:rsidTr="0048742A">
        <w:trPr>
          <w:trHeight w:val="300"/>
        </w:trPr>
        <w:tc>
          <w:tcPr>
            <w:tcW w:w="3520" w:type="dxa"/>
            <w:tcBorders>
              <w:top w:val="nil"/>
              <w:left w:val="nil"/>
              <w:bottom w:val="nil"/>
              <w:right w:val="nil"/>
            </w:tcBorders>
            <w:shd w:val="clear" w:color="auto" w:fill="auto"/>
            <w:vAlign w:val="center"/>
            <w:hideMark/>
          </w:tcPr>
          <w:p w:rsidR="0048742A" w:rsidRPr="0048742A" w:rsidRDefault="0048742A" w:rsidP="0048742A">
            <w:pPr>
              <w:jc w:val="both"/>
              <w:rPr>
                <w:rFonts w:eastAsia="Times New Roman" w:cs="Arial"/>
                <w:sz w:val="20"/>
                <w:szCs w:val="20"/>
                <w:lang w:eastAsia="en-AU"/>
              </w:rPr>
            </w:pPr>
            <w:r w:rsidRPr="0048742A">
              <w:rPr>
                <w:rFonts w:eastAsia="Times New Roman" w:cs="Arial"/>
                <w:sz w:val="20"/>
                <w:szCs w:val="20"/>
                <w:lang w:eastAsia="en-AU"/>
              </w:rPr>
              <w:t>Property</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 xml:space="preserve">     17,501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 xml:space="preserve">     69,284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51,783</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295.88%</w:t>
            </w:r>
          </w:p>
        </w:tc>
      </w:tr>
      <w:tr w:rsidR="0048742A" w:rsidRPr="0048742A" w:rsidTr="0048742A">
        <w:trPr>
          <w:trHeight w:val="300"/>
        </w:trPr>
        <w:tc>
          <w:tcPr>
            <w:tcW w:w="3520" w:type="dxa"/>
            <w:tcBorders>
              <w:top w:val="nil"/>
              <w:left w:val="nil"/>
              <w:bottom w:val="nil"/>
              <w:right w:val="nil"/>
            </w:tcBorders>
            <w:shd w:val="clear" w:color="auto" w:fill="auto"/>
            <w:vAlign w:val="center"/>
            <w:hideMark/>
          </w:tcPr>
          <w:p w:rsidR="0048742A" w:rsidRPr="0048742A" w:rsidRDefault="0048742A" w:rsidP="0048742A">
            <w:pPr>
              <w:jc w:val="both"/>
              <w:rPr>
                <w:rFonts w:eastAsia="Times New Roman" w:cs="Arial"/>
                <w:sz w:val="20"/>
                <w:szCs w:val="20"/>
                <w:lang w:eastAsia="en-AU"/>
              </w:rPr>
            </w:pPr>
            <w:r w:rsidRPr="0048742A">
              <w:rPr>
                <w:rFonts w:eastAsia="Times New Roman" w:cs="Arial"/>
                <w:sz w:val="20"/>
                <w:szCs w:val="20"/>
                <w:lang w:eastAsia="en-AU"/>
              </w:rPr>
              <w:t xml:space="preserve">Plant and equipment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 xml:space="preserve">       5,193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 xml:space="preserve">       2,695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(2,498)</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(48.1%)</w:t>
            </w:r>
          </w:p>
        </w:tc>
      </w:tr>
      <w:tr w:rsidR="0048742A" w:rsidRPr="0048742A" w:rsidTr="0048742A">
        <w:trPr>
          <w:trHeight w:val="315"/>
        </w:trPr>
        <w:tc>
          <w:tcPr>
            <w:tcW w:w="3520" w:type="dxa"/>
            <w:tcBorders>
              <w:top w:val="nil"/>
              <w:left w:val="nil"/>
              <w:bottom w:val="nil"/>
              <w:right w:val="nil"/>
            </w:tcBorders>
            <w:shd w:val="clear" w:color="auto" w:fill="auto"/>
            <w:vAlign w:val="center"/>
            <w:hideMark/>
          </w:tcPr>
          <w:p w:rsidR="0048742A" w:rsidRPr="0048742A" w:rsidRDefault="0048742A" w:rsidP="0048742A">
            <w:pPr>
              <w:jc w:val="both"/>
              <w:rPr>
                <w:rFonts w:eastAsia="Times New Roman" w:cs="Arial"/>
                <w:sz w:val="20"/>
                <w:szCs w:val="20"/>
                <w:lang w:eastAsia="en-AU"/>
              </w:rPr>
            </w:pPr>
            <w:r w:rsidRPr="0048742A">
              <w:rPr>
                <w:rFonts w:eastAsia="Times New Roman" w:cs="Arial"/>
                <w:sz w:val="20"/>
                <w:szCs w:val="20"/>
                <w:lang w:eastAsia="en-AU"/>
              </w:rPr>
              <w:t>Infrastructure</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 xml:space="preserve">     25,112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 xml:space="preserve">     13,487 </w:t>
            </w:r>
          </w:p>
        </w:tc>
        <w:tc>
          <w:tcPr>
            <w:tcW w:w="1340" w:type="dxa"/>
            <w:tcBorders>
              <w:top w:val="nil"/>
              <w:left w:val="nil"/>
              <w:bottom w:val="nil"/>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(11,625)</w:t>
            </w:r>
          </w:p>
        </w:tc>
        <w:tc>
          <w:tcPr>
            <w:tcW w:w="1340" w:type="dxa"/>
            <w:tcBorders>
              <w:top w:val="nil"/>
              <w:left w:val="nil"/>
              <w:bottom w:val="single" w:sz="8" w:space="0" w:color="auto"/>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(46.3%)</w:t>
            </w:r>
          </w:p>
        </w:tc>
      </w:tr>
      <w:tr w:rsidR="0048742A" w:rsidRPr="0048742A" w:rsidTr="0048742A">
        <w:trPr>
          <w:trHeight w:val="315"/>
        </w:trPr>
        <w:tc>
          <w:tcPr>
            <w:tcW w:w="3520" w:type="dxa"/>
            <w:tcBorders>
              <w:top w:val="nil"/>
              <w:left w:val="nil"/>
              <w:bottom w:val="single" w:sz="8" w:space="0" w:color="auto"/>
              <w:right w:val="nil"/>
            </w:tcBorders>
            <w:shd w:val="clear" w:color="auto" w:fill="auto"/>
            <w:vAlign w:val="center"/>
            <w:hideMark/>
          </w:tcPr>
          <w:p w:rsidR="0048742A" w:rsidRPr="0048742A" w:rsidRDefault="0048742A" w:rsidP="0048742A">
            <w:pPr>
              <w:jc w:val="both"/>
              <w:rPr>
                <w:rFonts w:eastAsia="Times New Roman" w:cs="Arial"/>
                <w:b/>
                <w:bCs/>
                <w:sz w:val="20"/>
                <w:szCs w:val="20"/>
                <w:lang w:eastAsia="en-AU"/>
              </w:rPr>
            </w:pPr>
            <w:r w:rsidRPr="0048742A">
              <w:rPr>
                <w:rFonts w:eastAsia="Times New Roman" w:cs="Arial"/>
                <w:b/>
                <w:bCs/>
                <w:sz w:val="20"/>
                <w:szCs w:val="20"/>
                <w:lang w:eastAsia="en-AU"/>
              </w:rPr>
              <w:t>Total</w:t>
            </w:r>
          </w:p>
        </w:tc>
        <w:tc>
          <w:tcPr>
            <w:tcW w:w="1340" w:type="dxa"/>
            <w:tcBorders>
              <w:top w:val="single" w:sz="8" w:space="0" w:color="auto"/>
              <w:left w:val="nil"/>
              <w:bottom w:val="single" w:sz="8" w:space="0" w:color="auto"/>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 xml:space="preserve">     47,806 </w:t>
            </w:r>
          </w:p>
        </w:tc>
        <w:tc>
          <w:tcPr>
            <w:tcW w:w="1340" w:type="dxa"/>
            <w:tcBorders>
              <w:top w:val="single" w:sz="8" w:space="0" w:color="auto"/>
              <w:left w:val="nil"/>
              <w:bottom w:val="single" w:sz="8" w:space="0" w:color="auto"/>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 xml:space="preserve">     85,466 </w:t>
            </w:r>
          </w:p>
        </w:tc>
        <w:tc>
          <w:tcPr>
            <w:tcW w:w="1340" w:type="dxa"/>
            <w:tcBorders>
              <w:top w:val="single" w:sz="8" w:space="0" w:color="auto"/>
              <w:left w:val="nil"/>
              <w:bottom w:val="single" w:sz="8" w:space="0" w:color="auto"/>
              <w:right w:val="nil"/>
            </w:tcBorders>
            <w:shd w:val="clear" w:color="auto" w:fill="auto"/>
            <w:vAlign w:val="center"/>
            <w:hideMark/>
          </w:tcPr>
          <w:p w:rsidR="0048742A" w:rsidRPr="0048742A" w:rsidRDefault="0048742A" w:rsidP="0048742A">
            <w:pPr>
              <w:jc w:val="right"/>
              <w:rPr>
                <w:rFonts w:eastAsia="Times New Roman" w:cs="Arial"/>
                <w:sz w:val="20"/>
                <w:szCs w:val="20"/>
                <w:lang w:eastAsia="en-AU"/>
              </w:rPr>
            </w:pPr>
            <w:r w:rsidRPr="0048742A">
              <w:rPr>
                <w:rFonts w:eastAsia="Times New Roman" w:cs="Arial"/>
                <w:sz w:val="20"/>
                <w:szCs w:val="20"/>
                <w:lang w:eastAsia="en-AU"/>
              </w:rPr>
              <w:t>37,660</w:t>
            </w:r>
          </w:p>
        </w:tc>
        <w:tc>
          <w:tcPr>
            <w:tcW w:w="1340" w:type="dxa"/>
            <w:tcBorders>
              <w:top w:val="nil"/>
              <w:left w:val="nil"/>
              <w:bottom w:val="single" w:sz="8" w:space="0" w:color="auto"/>
              <w:right w:val="nil"/>
            </w:tcBorders>
            <w:shd w:val="clear" w:color="auto" w:fill="auto"/>
            <w:vAlign w:val="center"/>
            <w:hideMark/>
          </w:tcPr>
          <w:p w:rsidR="0048742A" w:rsidRPr="0048742A" w:rsidRDefault="0048742A" w:rsidP="0048742A">
            <w:pPr>
              <w:jc w:val="right"/>
              <w:rPr>
                <w:rFonts w:eastAsia="Times New Roman" w:cs="Arial"/>
                <w:b/>
                <w:bCs/>
                <w:sz w:val="20"/>
                <w:szCs w:val="20"/>
                <w:lang w:eastAsia="en-AU"/>
              </w:rPr>
            </w:pPr>
            <w:r w:rsidRPr="0048742A">
              <w:rPr>
                <w:rFonts w:eastAsia="Times New Roman" w:cs="Arial"/>
                <w:b/>
                <w:bCs/>
                <w:sz w:val="20"/>
                <w:szCs w:val="20"/>
                <w:lang w:eastAsia="en-AU"/>
              </w:rPr>
              <w:t>78.78%</w:t>
            </w:r>
          </w:p>
        </w:tc>
      </w:tr>
    </w:tbl>
    <w:p w:rsidR="0048742A" w:rsidRDefault="0048742A" w:rsidP="0029462D">
      <w:pPr>
        <w:jc w:val="both"/>
        <w:rPr>
          <w:rFonts w:eastAsia="Times New Roman" w:cs="Arial"/>
        </w:rPr>
      </w:pPr>
    </w:p>
    <w:p w:rsidR="0048742A" w:rsidRDefault="0048742A" w:rsidP="0029462D">
      <w:pPr>
        <w:jc w:val="both"/>
        <w:rPr>
          <w:rFonts w:eastAsia="Times New Roman" w:cs="Arial"/>
        </w:rPr>
      </w:pPr>
    </w:p>
    <w:tbl>
      <w:tblPr>
        <w:tblW w:w="14400" w:type="dxa"/>
        <w:tblLook w:val="04A0" w:firstRow="1" w:lastRow="0" w:firstColumn="1" w:lastColumn="0" w:noHBand="0" w:noVBand="1"/>
      </w:tblPr>
      <w:tblGrid>
        <w:gridCol w:w="3434"/>
        <w:gridCol w:w="1319"/>
        <w:gridCol w:w="1319"/>
        <w:gridCol w:w="1321"/>
        <w:gridCol w:w="1321"/>
        <w:gridCol w:w="1026"/>
        <w:gridCol w:w="1185"/>
        <w:gridCol w:w="1185"/>
        <w:gridCol w:w="1185"/>
        <w:gridCol w:w="1105"/>
      </w:tblGrid>
      <w:tr w:rsidR="00924C2A" w:rsidRPr="00924C2A" w:rsidTr="00924C2A">
        <w:trPr>
          <w:trHeight w:val="300"/>
        </w:trPr>
        <w:tc>
          <w:tcPr>
            <w:tcW w:w="352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 </w:t>
            </w:r>
          </w:p>
        </w:tc>
        <w:tc>
          <w:tcPr>
            <w:tcW w:w="1340" w:type="dxa"/>
            <w:vMerge w:val="restart"/>
            <w:tcBorders>
              <w:top w:val="nil"/>
              <w:left w:val="nil"/>
              <w:bottom w:val="nil"/>
              <w:right w:val="single" w:sz="8" w:space="0" w:color="auto"/>
            </w:tcBorders>
            <w:shd w:val="clear" w:color="000000" w:fill="5B9BD5"/>
            <w:vAlign w:val="center"/>
            <w:hideMark/>
          </w:tcPr>
          <w:p w:rsidR="00924C2A" w:rsidRPr="00924C2A" w:rsidRDefault="00924C2A" w:rsidP="00924C2A">
            <w:pPr>
              <w:jc w:val="center"/>
              <w:rPr>
                <w:rFonts w:eastAsia="Times New Roman" w:cs="Arial"/>
                <w:b/>
                <w:bCs/>
                <w:color w:val="FFFFFF"/>
                <w:sz w:val="18"/>
                <w:szCs w:val="18"/>
                <w:lang w:eastAsia="en-AU"/>
              </w:rPr>
            </w:pPr>
            <w:r w:rsidRPr="00924C2A">
              <w:rPr>
                <w:rFonts w:eastAsia="Times New Roman" w:cs="Arial"/>
                <w:b/>
                <w:bCs/>
                <w:color w:val="FFFFFF"/>
                <w:sz w:val="18"/>
                <w:szCs w:val="18"/>
                <w:lang w:eastAsia="en-AU"/>
              </w:rPr>
              <w:t>Project Cost</w:t>
            </w:r>
          </w:p>
        </w:tc>
        <w:tc>
          <w:tcPr>
            <w:tcW w:w="4980" w:type="dxa"/>
            <w:gridSpan w:val="4"/>
            <w:tcBorders>
              <w:top w:val="nil"/>
              <w:left w:val="nil"/>
              <w:bottom w:val="nil"/>
              <w:right w:val="single" w:sz="8" w:space="0" w:color="000000"/>
            </w:tcBorders>
            <w:shd w:val="clear" w:color="000000" w:fill="5B9BD5"/>
            <w:vAlign w:val="center"/>
            <w:hideMark/>
          </w:tcPr>
          <w:p w:rsidR="00924C2A" w:rsidRPr="00924C2A" w:rsidRDefault="00924C2A" w:rsidP="00924C2A">
            <w:pPr>
              <w:jc w:val="center"/>
              <w:rPr>
                <w:rFonts w:eastAsia="Times New Roman" w:cs="Arial"/>
                <w:b/>
                <w:bCs/>
                <w:color w:val="FFFFFF"/>
                <w:sz w:val="18"/>
                <w:szCs w:val="18"/>
                <w:lang w:eastAsia="en-AU"/>
              </w:rPr>
            </w:pPr>
            <w:r w:rsidRPr="00924C2A">
              <w:rPr>
                <w:rFonts w:eastAsia="Times New Roman" w:cs="Arial"/>
                <w:b/>
                <w:bCs/>
                <w:color w:val="FFFFFF"/>
                <w:sz w:val="18"/>
                <w:szCs w:val="18"/>
                <w:lang w:eastAsia="en-AU"/>
              </w:rPr>
              <w:t>Asset expenditure types</w:t>
            </w:r>
          </w:p>
        </w:tc>
        <w:tc>
          <w:tcPr>
            <w:tcW w:w="4560" w:type="dxa"/>
            <w:gridSpan w:val="4"/>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8"/>
                <w:szCs w:val="18"/>
                <w:lang w:eastAsia="en-AU"/>
              </w:rPr>
            </w:pPr>
            <w:r w:rsidRPr="00924C2A">
              <w:rPr>
                <w:rFonts w:eastAsia="Times New Roman" w:cs="Arial"/>
                <w:b/>
                <w:bCs/>
                <w:color w:val="FFFFFF"/>
                <w:sz w:val="18"/>
                <w:szCs w:val="18"/>
                <w:lang w:eastAsia="en-AU"/>
              </w:rPr>
              <w:t>Summary of Funding Sources</w:t>
            </w:r>
          </w:p>
        </w:tc>
      </w:tr>
      <w:tr w:rsidR="00924C2A" w:rsidRPr="00924C2A" w:rsidTr="00924C2A">
        <w:trPr>
          <w:trHeight w:val="450"/>
        </w:trPr>
        <w:tc>
          <w:tcPr>
            <w:tcW w:w="352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 </w:t>
            </w:r>
          </w:p>
        </w:tc>
        <w:tc>
          <w:tcPr>
            <w:tcW w:w="1340" w:type="dxa"/>
            <w:vMerge/>
            <w:tcBorders>
              <w:top w:val="nil"/>
              <w:left w:val="nil"/>
              <w:bottom w:val="nil"/>
              <w:right w:val="single" w:sz="8" w:space="0" w:color="auto"/>
            </w:tcBorders>
            <w:vAlign w:val="center"/>
            <w:hideMark/>
          </w:tcPr>
          <w:p w:rsidR="00924C2A" w:rsidRPr="00924C2A" w:rsidRDefault="00924C2A" w:rsidP="00924C2A">
            <w:pPr>
              <w:rPr>
                <w:rFonts w:eastAsia="Times New Roman" w:cs="Arial"/>
                <w:b/>
                <w:bCs/>
                <w:color w:val="FFFFFF"/>
                <w:sz w:val="18"/>
                <w:szCs w:val="18"/>
                <w:lang w:eastAsia="en-AU"/>
              </w:rPr>
            </w:pP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New</w:t>
            </w: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Renewal</w:t>
            </w: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Upgrade</w:t>
            </w:r>
          </w:p>
        </w:tc>
        <w:tc>
          <w:tcPr>
            <w:tcW w:w="960" w:type="dxa"/>
            <w:tcBorders>
              <w:top w:val="nil"/>
              <w:left w:val="nil"/>
              <w:bottom w:val="nil"/>
              <w:right w:val="single" w:sz="8" w:space="0" w:color="auto"/>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Expansion</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Grants</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Contrib.</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Council cash</w:t>
            </w:r>
          </w:p>
        </w:tc>
        <w:tc>
          <w:tcPr>
            <w:tcW w:w="96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Borrowings</w:t>
            </w:r>
          </w:p>
        </w:tc>
      </w:tr>
      <w:tr w:rsidR="00924C2A" w:rsidRPr="00924C2A" w:rsidTr="00924C2A">
        <w:trPr>
          <w:trHeight w:val="300"/>
        </w:trPr>
        <w:tc>
          <w:tcPr>
            <w:tcW w:w="352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color w:val="FFFFFF"/>
                <w:sz w:val="16"/>
                <w:szCs w:val="16"/>
                <w:lang w:eastAsia="en-AU"/>
              </w:rPr>
            </w:pPr>
            <w:r w:rsidRPr="00924C2A">
              <w:rPr>
                <w:rFonts w:eastAsia="Times New Roman" w:cs="Arial"/>
                <w:color w:val="FFFFFF"/>
                <w:sz w:val="16"/>
                <w:szCs w:val="16"/>
                <w:lang w:eastAsia="en-AU"/>
              </w:rPr>
              <w:t> </w:t>
            </w:r>
          </w:p>
        </w:tc>
        <w:tc>
          <w:tcPr>
            <w:tcW w:w="1340" w:type="dxa"/>
            <w:tcBorders>
              <w:top w:val="nil"/>
              <w:left w:val="nil"/>
              <w:bottom w:val="nil"/>
              <w:right w:val="single" w:sz="8" w:space="0" w:color="auto"/>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960" w:type="dxa"/>
            <w:tcBorders>
              <w:top w:val="nil"/>
              <w:left w:val="nil"/>
              <w:bottom w:val="nil"/>
              <w:right w:val="single" w:sz="8" w:space="0" w:color="auto"/>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c>
          <w:tcPr>
            <w:tcW w:w="960" w:type="dxa"/>
            <w:tcBorders>
              <w:top w:val="nil"/>
              <w:left w:val="nil"/>
              <w:bottom w:val="nil"/>
              <w:right w:val="nil"/>
            </w:tcBorders>
            <w:shd w:val="clear" w:color="000000" w:fill="5B9BD5"/>
            <w:vAlign w:val="center"/>
            <w:hideMark/>
          </w:tcPr>
          <w:p w:rsidR="00924C2A" w:rsidRPr="00924C2A" w:rsidRDefault="00924C2A" w:rsidP="00924C2A">
            <w:pPr>
              <w:jc w:val="center"/>
              <w:rPr>
                <w:rFonts w:eastAsia="Times New Roman" w:cs="Arial"/>
                <w:b/>
                <w:bCs/>
                <w:color w:val="FFFFFF"/>
                <w:sz w:val="16"/>
                <w:szCs w:val="16"/>
                <w:lang w:eastAsia="en-AU"/>
              </w:rPr>
            </w:pPr>
            <w:r w:rsidRPr="00924C2A">
              <w:rPr>
                <w:rFonts w:eastAsia="Times New Roman" w:cs="Arial"/>
                <w:b/>
                <w:bCs/>
                <w:color w:val="FFFFFF"/>
                <w:sz w:val="16"/>
                <w:szCs w:val="16"/>
                <w:lang w:eastAsia="en-AU"/>
              </w:rPr>
              <w:t>$'000</w:t>
            </w:r>
          </w:p>
        </w:tc>
      </w:tr>
      <w:tr w:rsidR="00924C2A" w:rsidRPr="00924C2A" w:rsidTr="00924C2A">
        <w:trPr>
          <w:trHeight w:val="300"/>
        </w:trPr>
        <w:tc>
          <w:tcPr>
            <w:tcW w:w="3520" w:type="dxa"/>
            <w:tcBorders>
              <w:top w:val="nil"/>
              <w:left w:val="nil"/>
              <w:bottom w:val="nil"/>
              <w:right w:val="nil"/>
            </w:tcBorders>
            <w:shd w:val="clear" w:color="auto" w:fill="auto"/>
            <w:vAlign w:val="center"/>
            <w:hideMark/>
          </w:tcPr>
          <w:p w:rsidR="00924C2A" w:rsidRPr="00924C2A" w:rsidRDefault="00924C2A" w:rsidP="00924C2A">
            <w:pPr>
              <w:jc w:val="center"/>
              <w:rPr>
                <w:rFonts w:eastAsia="Times New Roman" w:cs="Arial"/>
                <w:b/>
                <w:bCs/>
                <w:color w:val="FFFFFF"/>
                <w:sz w:val="16"/>
                <w:szCs w:val="16"/>
                <w:lang w:eastAsia="en-AU"/>
              </w:rPr>
            </w:pPr>
          </w:p>
        </w:tc>
        <w:tc>
          <w:tcPr>
            <w:tcW w:w="134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ascii="Times New Roman" w:eastAsia="Times New Roman" w:hAnsi="Times New Roman"/>
                <w:sz w:val="20"/>
                <w:szCs w:val="20"/>
                <w:lang w:eastAsia="en-AU"/>
              </w:rPr>
            </w:pP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ascii="Times New Roman" w:eastAsia="Times New Roman" w:hAnsi="Times New Roman"/>
                <w:sz w:val="20"/>
                <w:szCs w:val="20"/>
                <w:lang w:eastAsia="en-AU"/>
              </w:rPr>
            </w:pPr>
          </w:p>
        </w:tc>
        <w:tc>
          <w:tcPr>
            <w:tcW w:w="96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ascii="Times New Roman" w:eastAsia="Times New Roman" w:hAnsi="Times New Roman"/>
                <w:sz w:val="20"/>
                <w:szCs w:val="20"/>
                <w:lang w:eastAsia="en-AU"/>
              </w:rPr>
            </w:pP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rsidR="00924C2A" w:rsidRPr="00924C2A" w:rsidRDefault="00924C2A" w:rsidP="00924C2A">
            <w:pPr>
              <w:jc w:val="right"/>
              <w:rPr>
                <w:rFonts w:ascii="Times New Roman" w:eastAsia="Times New Roman" w:hAnsi="Times New Roman"/>
                <w:sz w:val="20"/>
                <w:szCs w:val="20"/>
                <w:lang w:eastAsia="en-AU"/>
              </w:rPr>
            </w:pPr>
          </w:p>
        </w:tc>
      </w:tr>
      <w:tr w:rsidR="00924C2A" w:rsidRPr="00924C2A" w:rsidTr="00924C2A">
        <w:trPr>
          <w:trHeight w:val="300"/>
        </w:trPr>
        <w:tc>
          <w:tcPr>
            <w:tcW w:w="3520" w:type="dxa"/>
            <w:tcBorders>
              <w:top w:val="nil"/>
              <w:left w:val="nil"/>
              <w:bottom w:val="nil"/>
              <w:right w:val="nil"/>
            </w:tcBorders>
            <w:shd w:val="clear" w:color="auto" w:fill="auto"/>
            <w:vAlign w:val="center"/>
            <w:hideMark/>
          </w:tcPr>
          <w:p w:rsidR="00924C2A" w:rsidRPr="00924C2A" w:rsidRDefault="00924C2A" w:rsidP="00924C2A">
            <w:pPr>
              <w:jc w:val="both"/>
              <w:rPr>
                <w:rFonts w:eastAsia="Times New Roman" w:cs="Arial"/>
                <w:sz w:val="20"/>
                <w:szCs w:val="20"/>
                <w:lang w:eastAsia="en-AU"/>
              </w:rPr>
            </w:pPr>
            <w:r w:rsidRPr="00924C2A">
              <w:rPr>
                <w:rFonts w:eastAsia="Times New Roman" w:cs="Arial"/>
                <w:sz w:val="20"/>
                <w:szCs w:val="20"/>
                <w:lang w:eastAsia="en-AU"/>
              </w:rPr>
              <w:t>Property</w:t>
            </w:r>
          </w:p>
        </w:tc>
        <w:tc>
          <w:tcPr>
            <w:tcW w:w="134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b/>
                <w:bCs/>
                <w:sz w:val="20"/>
                <w:szCs w:val="20"/>
                <w:lang w:eastAsia="en-AU"/>
              </w:rPr>
            </w:pPr>
            <w:r w:rsidRPr="00924C2A">
              <w:rPr>
                <w:rFonts w:eastAsia="Times New Roman" w:cs="Arial"/>
                <w:b/>
                <w:bCs/>
                <w:sz w:val="20"/>
                <w:szCs w:val="20"/>
                <w:lang w:eastAsia="en-AU"/>
              </w:rPr>
              <w:t xml:space="preserve">     69,284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52,750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13,357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3,177 </w:t>
            </w:r>
          </w:p>
        </w:tc>
        <w:tc>
          <w:tcPr>
            <w:tcW w:w="96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26,150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20,162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22,972 </w:t>
            </w:r>
          </w:p>
        </w:tc>
        <w:tc>
          <w:tcPr>
            <w:tcW w:w="96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r>
      <w:tr w:rsidR="00924C2A" w:rsidRPr="00924C2A" w:rsidTr="00924C2A">
        <w:trPr>
          <w:trHeight w:val="300"/>
        </w:trPr>
        <w:tc>
          <w:tcPr>
            <w:tcW w:w="3520" w:type="dxa"/>
            <w:tcBorders>
              <w:top w:val="nil"/>
              <w:left w:val="nil"/>
              <w:bottom w:val="nil"/>
              <w:right w:val="nil"/>
            </w:tcBorders>
            <w:shd w:val="clear" w:color="auto" w:fill="auto"/>
            <w:vAlign w:val="center"/>
            <w:hideMark/>
          </w:tcPr>
          <w:p w:rsidR="00924C2A" w:rsidRPr="00924C2A" w:rsidRDefault="00924C2A" w:rsidP="00924C2A">
            <w:pPr>
              <w:jc w:val="both"/>
              <w:rPr>
                <w:rFonts w:eastAsia="Times New Roman" w:cs="Arial"/>
                <w:sz w:val="20"/>
                <w:szCs w:val="20"/>
                <w:lang w:eastAsia="en-AU"/>
              </w:rPr>
            </w:pPr>
            <w:r w:rsidRPr="00924C2A">
              <w:rPr>
                <w:rFonts w:eastAsia="Times New Roman" w:cs="Arial"/>
                <w:sz w:val="20"/>
                <w:szCs w:val="20"/>
                <w:lang w:eastAsia="en-AU"/>
              </w:rPr>
              <w:t xml:space="preserve">Plant and equipment </w:t>
            </w:r>
          </w:p>
        </w:tc>
        <w:tc>
          <w:tcPr>
            <w:tcW w:w="134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b/>
                <w:bCs/>
                <w:sz w:val="20"/>
                <w:szCs w:val="20"/>
                <w:lang w:eastAsia="en-AU"/>
              </w:rPr>
            </w:pPr>
            <w:r w:rsidRPr="00924C2A">
              <w:rPr>
                <w:rFonts w:eastAsia="Times New Roman" w:cs="Arial"/>
                <w:b/>
                <w:bCs/>
                <w:sz w:val="20"/>
                <w:szCs w:val="20"/>
                <w:lang w:eastAsia="en-AU"/>
              </w:rPr>
              <w:t xml:space="preserve">       2,695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285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2,066 </w:t>
            </w:r>
          </w:p>
        </w:tc>
        <w:tc>
          <w:tcPr>
            <w:tcW w:w="134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344 </w:t>
            </w:r>
          </w:p>
        </w:tc>
        <w:tc>
          <w:tcPr>
            <w:tcW w:w="960" w:type="dxa"/>
            <w:tcBorders>
              <w:top w:val="nil"/>
              <w:left w:val="nil"/>
              <w:bottom w:val="nil"/>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652 </w:t>
            </w:r>
          </w:p>
        </w:tc>
        <w:tc>
          <w:tcPr>
            <w:tcW w:w="120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2,043 </w:t>
            </w:r>
          </w:p>
        </w:tc>
        <w:tc>
          <w:tcPr>
            <w:tcW w:w="960" w:type="dxa"/>
            <w:tcBorders>
              <w:top w:val="nil"/>
              <w:left w:val="nil"/>
              <w:bottom w:val="nil"/>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r>
      <w:tr w:rsidR="00924C2A" w:rsidRPr="00924C2A" w:rsidTr="00924C2A">
        <w:trPr>
          <w:trHeight w:val="315"/>
        </w:trPr>
        <w:tc>
          <w:tcPr>
            <w:tcW w:w="3520" w:type="dxa"/>
            <w:tcBorders>
              <w:top w:val="nil"/>
              <w:left w:val="nil"/>
              <w:bottom w:val="single" w:sz="8" w:space="0" w:color="auto"/>
              <w:right w:val="nil"/>
            </w:tcBorders>
            <w:shd w:val="clear" w:color="auto" w:fill="auto"/>
            <w:vAlign w:val="center"/>
            <w:hideMark/>
          </w:tcPr>
          <w:p w:rsidR="00924C2A" w:rsidRPr="00924C2A" w:rsidRDefault="00924C2A" w:rsidP="00924C2A">
            <w:pPr>
              <w:jc w:val="both"/>
              <w:rPr>
                <w:rFonts w:eastAsia="Times New Roman" w:cs="Arial"/>
                <w:sz w:val="20"/>
                <w:szCs w:val="20"/>
                <w:lang w:eastAsia="en-AU"/>
              </w:rPr>
            </w:pPr>
            <w:r w:rsidRPr="00924C2A">
              <w:rPr>
                <w:rFonts w:eastAsia="Times New Roman" w:cs="Arial"/>
                <w:sz w:val="20"/>
                <w:szCs w:val="20"/>
                <w:lang w:eastAsia="en-AU"/>
              </w:rPr>
              <w:t>Infrastructure</w:t>
            </w:r>
          </w:p>
        </w:tc>
        <w:tc>
          <w:tcPr>
            <w:tcW w:w="1340" w:type="dxa"/>
            <w:tcBorders>
              <w:top w:val="nil"/>
              <w:left w:val="nil"/>
              <w:bottom w:val="single" w:sz="8" w:space="0" w:color="auto"/>
              <w:right w:val="single" w:sz="8" w:space="0" w:color="auto"/>
            </w:tcBorders>
            <w:shd w:val="clear" w:color="auto" w:fill="auto"/>
            <w:vAlign w:val="center"/>
            <w:hideMark/>
          </w:tcPr>
          <w:p w:rsidR="00924C2A" w:rsidRPr="00924C2A" w:rsidRDefault="00924C2A" w:rsidP="00924C2A">
            <w:pPr>
              <w:jc w:val="right"/>
              <w:rPr>
                <w:rFonts w:eastAsia="Times New Roman" w:cs="Arial"/>
                <w:b/>
                <w:bCs/>
                <w:sz w:val="20"/>
                <w:szCs w:val="20"/>
                <w:lang w:eastAsia="en-AU"/>
              </w:rPr>
            </w:pPr>
            <w:r w:rsidRPr="00924C2A">
              <w:rPr>
                <w:rFonts w:eastAsia="Times New Roman" w:cs="Arial"/>
                <w:b/>
                <w:bCs/>
                <w:sz w:val="20"/>
                <w:szCs w:val="20"/>
                <w:lang w:eastAsia="en-AU"/>
              </w:rPr>
              <w:t xml:space="preserve">     13,487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1,782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10,334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1,371 </w:t>
            </w:r>
          </w:p>
        </w:tc>
        <w:tc>
          <w:tcPr>
            <w:tcW w:w="960" w:type="dxa"/>
            <w:tcBorders>
              <w:top w:val="nil"/>
              <w:left w:val="nil"/>
              <w:bottom w:val="single" w:sz="8" w:space="0" w:color="auto"/>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407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36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13,044 </w:t>
            </w:r>
          </w:p>
        </w:tc>
        <w:tc>
          <w:tcPr>
            <w:tcW w:w="96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r>
      <w:tr w:rsidR="00924C2A" w:rsidRPr="00924C2A" w:rsidTr="00924C2A">
        <w:trPr>
          <w:trHeight w:val="315"/>
        </w:trPr>
        <w:tc>
          <w:tcPr>
            <w:tcW w:w="3520" w:type="dxa"/>
            <w:tcBorders>
              <w:top w:val="nil"/>
              <w:left w:val="nil"/>
              <w:bottom w:val="single" w:sz="8" w:space="0" w:color="auto"/>
              <w:right w:val="nil"/>
            </w:tcBorders>
            <w:shd w:val="clear" w:color="auto" w:fill="auto"/>
            <w:vAlign w:val="center"/>
            <w:hideMark/>
          </w:tcPr>
          <w:p w:rsidR="00924C2A" w:rsidRPr="00924C2A" w:rsidRDefault="00924C2A" w:rsidP="00924C2A">
            <w:pPr>
              <w:jc w:val="both"/>
              <w:rPr>
                <w:rFonts w:eastAsia="Times New Roman" w:cs="Arial"/>
                <w:b/>
                <w:bCs/>
                <w:sz w:val="20"/>
                <w:szCs w:val="20"/>
                <w:lang w:eastAsia="en-AU"/>
              </w:rPr>
            </w:pPr>
            <w:r w:rsidRPr="00924C2A">
              <w:rPr>
                <w:rFonts w:eastAsia="Times New Roman" w:cs="Arial"/>
                <w:b/>
                <w:bCs/>
                <w:sz w:val="20"/>
                <w:szCs w:val="20"/>
                <w:lang w:eastAsia="en-AU"/>
              </w:rPr>
              <w:t>Total</w:t>
            </w:r>
          </w:p>
        </w:tc>
        <w:tc>
          <w:tcPr>
            <w:tcW w:w="1340" w:type="dxa"/>
            <w:tcBorders>
              <w:top w:val="nil"/>
              <w:left w:val="nil"/>
              <w:bottom w:val="single" w:sz="8" w:space="0" w:color="auto"/>
              <w:right w:val="single" w:sz="8" w:space="0" w:color="auto"/>
            </w:tcBorders>
            <w:shd w:val="clear" w:color="auto" w:fill="auto"/>
            <w:vAlign w:val="center"/>
            <w:hideMark/>
          </w:tcPr>
          <w:p w:rsidR="00924C2A" w:rsidRPr="00924C2A" w:rsidRDefault="00924C2A" w:rsidP="00924C2A">
            <w:pPr>
              <w:jc w:val="right"/>
              <w:rPr>
                <w:rFonts w:eastAsia="Times New Roman" w:cs="Arial"/>
                <w:b/>
                <w:bCs/>
                <w:sz w:val="20"/>
                <w:szCs w:val="20"/>
                <w:lang w:eastAsia="en-AU"/>
              </w:rPr>
            </w:pPr>
            <w:r w:rsidRPr="00924C2A">
              <w:rPr>
                <w:rFonts w:eastAsia="Times New Roman" w:cs="Arial"/>
                <w:b/>
                <w:bCs/>
                <w:sz w:val="20"/>
                <w:szCs w:val="20"/>
                <w:lang w:eastAsia="en-AU"/>
              </w:rPr>
              <w:t xml:space="preserve">     85,466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54,817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25,757 </w:t>
            </w:r>
          </w:p>
        </w:tc>
        <w:tc>
          <w:tcPr>
            <w:tcW w:w="134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4,892 </w:t>
            </w:r>
          </w:p>
        </w:tc>
        <w:tc>
          <w:tcPr>
            <w:tcW w:w="960" w:type="dxa"/>
            <w:tcBorders>
              <w:top w:val="nil"/>
              <w:left w:val="nil"/>
              <w:bottom w:val="single" w:sz="8" w:space="0" w:color="auto"/>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26,557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20,850 </w:t>
            </w:r>
          </w:p>
        </w:tc>
        <w:tc>
          <w:tcPr>
            <w:tcW w:w="1200" w:type="dxa"/>
            <w:tcBorders>
              <w:top w:val="nil"/>
              <w:left w:val="nil"/>
              <w:bottom w:val="single" w:sz="8" w:space="0" w:color="auto"/>
              <w:right w:val="nil"/>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38,059 </w:t>
            </w:r>
          </w:p>
        </w:tc>
        <w:tc>
          <w:tcPr>
            <w:tcW w:w="960" w:type="dxa"/>
            <w:tcBorders>
              <w:top w:val="nil"/>
              <w:left w:val="nil"/>
              <w:bottom w:val="single" w:sz="8" w:space="0" w:color="auto"/>
              <w:right w:val="single" w:sz="8" w:space="0" w:color="auto"/>
            </w:tcBorders>
            <w:shd w:val="clear" w:color="auto" w:fill="auto"/>
            <w:vAlign w:val="center"/>
            <w:hideMark/>
          </w:tcPr>
          <w:p w:rsidR="00924C2A" w:rsidRPr="00924C2A" w:rsidRDefault="00924C2A" w:rsidP="00924C2A">
            <w:pPr>
              <w:jc w:val="right"/>
              <w:rPr>
                <w:rFonts w:eastAsia="Times New Roman" w:cs="Arial"/>
                <w:sz w:val="20"/>
                <w:szCs w:val="20"/>
                <w:lang w:eastAsia="en-AU"/>
              </w:rPr>
            </w:pPr>
            <w:r w:rsidRPr="00924C2A">
              <w:rPr>
                <w:rFonts w:eastAsia="Times New Roman" w:cs="Arial"/>
                <w:sz w:val="20"/>
                <w:szCs w:val="20"/>
                <w:lang w:eastAsia="en-AU"/>
              </w:rPr>
              <w:t xml:space="preserve">       -   </w:t>
            </w:r>
          </w:p>
        </w:tc>
      </w:tr>
    </w:tbl>
    <w:p w:rsidR="0048742A" w:rsidRDefault="0048742A" w:rsidP="0029462D">
      <w:pPr>
        <w:jc w:val="both"/>
        <w:rPr>
          <w:rFonts w:eastAsia="Times New Roman" w:cs="Arial"/>
        </w:rPr>
      </w:pPr>
    </w:p>
    <w:p w:rsidR="00967D4C" w:rsidRDefault="00967D4C" w:rsidP="0029462D">
      <w:pPr>
        <w:jc w:val="both"/>
        <w:rPr>
          <w:rFonts w:eastAsia="Times New Roman" w:cs="Arial"/>
        </w:rPr>
      </w:pPr>
    </w:p>
    <w:p w:rsidR="005E48DC" w:rsidRDefault="0029462D" w:rsidP="0029462D">
      <w:pPr>
        <w:jc w:val="both"/>
        <w:rPr>
          <w:rFonts w:eastAsia="Times New Roman" w:cs="Arial"/>
        </w:rPr>
      </w:pPr>
      <w:r w:rsidRPr="0029462D">
        <w:rPr>
          <w:rFonts w:eastAsia="Times New Roman" w:cs="Arial"/>
        </w:rPr>
        <w:t xml:space="preserve">This </w:t>
      </w:r>
      <w:r w:rsidR="00A75746">
        <w:rPr>
          <w:rFonts w:eastAsia="Times New Roman" w:cs="Arial"/>
        </w:rPr>
        <w:t xml:space="preserve">following </w:t>
      </w:r>
      <w:r w:rsidRPr="0029462D">
        <w:rPr>
          <w:rFonts w:eastAsia="Times New Roman" w:cs="Arial"/>
        </w:rPr>
        <w:t xml:space="preserve">section presents the </w:t>
      </w:r>
      <w:r w:rsidR="00F9501A" w:rsidRPr="00955864">
        <w:rPr>
          <w:rFonts w:eastAsia="Times New Roman" w:cs="Arial"/>
        </w:rPr>
        <w:t>four</w:t>
      </w:r>
      <w:r w:rsidRPr="00955864">
        <w:rPr>
          <w:rFonts w:eastAsia="Times New Roman" w:cs="Arial"/>
        </w:rPr>
        <w:t>-year capital</w:t>
      </w:r>
      <w:r w:rsidRPr="0029462D">
        <w:rPr>
          <w:rFonts w:eastAsia="Times New Roman" w:cs="Arial"/>
        </w:rPr>
        <w:t xml:space="preserve"> expenditure program for the period 20</w:t>
      </w:r>
      <w:r w:rsidR="00CD1DAA">
        <w:rPr>
          <w:rFonts w:eastAsia="Times New Roman" w:cs="Arial"/>
        </w:rPr>
        <w:t>20</w:t>
      </w:r>
      <w:r w:rsidRPr="0029462D">
        <w:rPr>
          <w:rFonts w:eastAsia="Times New Roman" w:cs="Arial"/>
        </w:rPr>
        <w:t>/</w:t>
      </w:r>
      <w:r w:rsidR="00967D4C">
        <w:rPr>
          <w:rFonts w:eastAsia="Times New Roman" w:cs="Arial"/>
        </w:rPr>
        <w:t>2</w:t>
      </w:r>
      <w:r w:rsidR="00CD1DAA">
        <w:rPr>
          <w:rFonts w:eastAsia="Times New Roman" w:cs="Arial"/>
        </w:rPr>
        <w:t>1</w:t>
      </w:r>
      <w:r w:rsidRPr="0029462D">
        <w:rPr>
          <w:rFonts w:eastAsia="Times New Roman" w:cs="Arial"/>
        </w:rPr>
        <w:t xml:space="preserve"> to </w:t>
      </w:r>
      <w:r w:rsidRPr="00955864">
        <w:rPr>
          <w:rFonts w:eastAsia="Times New Roman" w:cs="Arial"/>
        </w:rPr>
        <w:t>20</w:t>
      </w:r>
      <w:r w:rsidR="00F9501A" w:rsidRPr="00955864">
        <w:rPr>
          <w:rFonts w:eastAsia="Times New Roman" w:cs="Arial"/>
        </w:rPr>
        <w:t>2</w:t>
      </w:r>
      <w:r w:rsidR="00CD1DAA">
        <w:rPr>
          <w:rFonts w:eastAsia="Times New Roman" w:cs="Arial"/>
        </w:rPr>
        <w:t>3</w:t>
      </w:r>
      <w:r w:rsidRPr="00955864">
        <w:rPr>
          <w:rFonts w:eastAsia="Times New Roman" w:cs="Arial"/>
        </w:rPr>
        <w:t>/</w:t>
      </w:r>
      <w:r w:rsidR="00B96253" w:rsidRPr="00955864">
        <w:rPr>
          <w:rFonts w:eastAsia="Times New Roman" w:cs="Arial"/>
        </w:rPr>
        <w:t>2</w:t>
      </w:r>
      <w:r w:rsidR="00CD1DAA">
        <w:rPr>
          <w:rFonts w:eastAsia="Times New Roman" w:cs="Arial"/>
        </w:rPr>
        <w:t>4</w:t>
      </w:r>
      <w:r w:rsidRPr="00955864">
        <w:rPr>
          <w:rFonts w:eastAsia="Times New Roman" w:cs="Arial"/>
        </w:rPr>
        <w:t>.</w:t>
      </w:r>
      <w:r w:rsidRPr="0029462D">
        <w:rPr>
          <w:rFonts w:eastAsia="Times New Roman" w:cs="Arial"/>
        </w:rPr>
        <w:t xml:space="preserve"> </w:t>
      </w:r>
      <w:r w:rsidRPr="00AD2556">
        <w:rPr>
          <w:rFonts w:eastAsia="Times New Roman" w:cs="Arial"/>
        </w:rPr>
        <w:t xml:space="preserve">Council has already </w:t>
      </w:r>
      <w:r w:rsidR="005E48DC">
        <w:rPr>
          <w:rFonts w:eastAsia="Times New Roman" w:cs="Arial"/>
        </w:rPr>
        <w:t>made prior budget commitments to a number of projects to ensure timely completion consistent with expectations.</w:t>
      </w:r>
    </w:p>
    <w:p w:rsidR="0029462D" w:rsidRDefault="0029462D" w:rsidP="0029462D">
      <w:pPr>
        <w:jc w:val="both"/>
        <w:rPr>
          <w:rFonts w:eastAsia="Times New Roman" w:cs="Arial"/>
        </w:rPr>
      </w:pPr>
      <w:r w:rsidRPr="0029462D">
        <w:rPr>
          <w:rFonts w:eastAsia="Times New Roman" w:cs="Arial"/>
        </w:rPr>
        <w:t>The capital projects are grouped by class and include detail of both Council and Other contributions to individual projects. Further detail is also provided on asset renewal, new assets, asset upgrade and asset expansion projects.</w:t>
      </w:r>
    </w:p>
    <w:p w:rsidR="000812B6" w:rsidRDefault="000812B6" w:rsidP="0029462D">
      <w:pPr>
        <w:rPr>
          <w:rFonts w:eastAsia="Times New Roman" w:cs="Arial"/>
        </w:rPr>
      </w:pPr>
    </w:p>
    <w:p w:rsidR="00774D3E" w:rsidRDefault="00774D3E" w:rsidP="0029462D">
      <w:pPr>
        <w:rPr>
          <w:rFonts w:eastAsia="Times New Roman" w:cs="Arial"/>
        </w:rPr>
      </w:pPr>
    </w:p>
    <w:p w:rsidR="0022569F" w:rsidRDefault="0022569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Document 2020  21 - CWP Section 6.5 Capital Works Program ~ COVID.XLSX" "Budget Doc!R1C1:R20C11" \a \f 4 \h </w:instrText>
      </w:r>
      <w:r>
        <w:fldChar w:fldCharType="separate"/>
      </w:r>
    </w:p>
    <w:tbl>
      <w:tblPr>
        <w:tblW w:w="14400" w:type="dxa"/>
        <w:tblLook w:val="04A0" w:firstRow="1" w:lastRow="0" w:firstColumn="1" w:lastColumn="0" w:noHBand="0" w:noVBand="1"/>
      </w:tblPr>
      <w:tblGrid>
        <w:gridCol w:w="3760"/>
        <w:gridCol w:w="1160"/>
        <w:gridCol w:w="980"/>
        <w:gridCol w:w="980"/>
        <w:gridCol w:w="980"/>
        <w:gridCol w:w="980"/>
        <w:gridCol w:w="980"/>
        <w:gridCol w:w="980"/>
        <w:gridCol w:w="1200"/>
        <w:gridCol w:w="1200"/>
        <w:gridCol w:w="1200"/>
      </w:tblGrid>
      <w:tr w:rsidR="0022569F" w:rsidRPr="0022569F" w:rsidTr="0022569F">
        <w:trPr>
          <w:trHeight w:val="540"/>
        </w:trPr>
        <w:tc>
          <w:tcPr>
            <w:tcW w:w="1440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8"/>
                <w:szCs w:val="28"/>
                <w:lang w:eastAsia="en-AU"/>
              </w:rPr>
            </w:pPr>
            <w:r w:rsidRPr="0022569F">
              <w:rPr>
                <w:rFonts w:eastAsia="Times New Roman" w:cs="Arial"/>
                <w:b/>
                <w:bCs/>
                <w:color w:val="FFFFFF"/>
                <w:sz w:val="28"/>
                <w:szCs w:val="28"/>
                <w:lang w:eastAsia="en-AU"/>
              </w:rPr>
              <w:t>CAPITAL EXPENDITURE PROGRAM 2020/21 TO 2023/24</w:t>
            </w:r>
          </w:p>
        </w:tc>
      </w:tr>
      <w:tr w:rsidR="0022569F" w:rsidRPr="0022569F" w:rsidTr="0022569F">
        <w:trPr>
          <w:trHeight w:val="58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rPr>
                <w:rFonts w:eastAsia="Times New Roman" w:cs="Arial"/>
                <w:b/>
                <w:bCs/>
                <w:color w:val="FFFFFF"/>
                <w:sz w:val="20"/>
                <w:szCs w:val="20"/>
                <w:lang w:eastAsia="en-AU"/>
              </w:rPr>
            </w:pPr>
            <w:r w:rsidRPr="0022569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2023/24</w:t>
            </w:r>
          </w:p>
        </w:tc>
      </w:tr>
      <w:tr w:rsidR="0022569F" w:rsidRPr="0022569F" w:rsidTr="0022569F">
        <w:trPr>
          <w:trHeight w:val="690"/>
        </w:trPr>
        <w:tc>
          <w:tcPr>
            <w:tcW w:w="3760" w:type="dxa"/>
            <w:tcBorders>
              <w:top w:val="nil"/>
              <w:left w:val="single" w:sz="12" w:space="0" w:color="auto"/>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xml:space="preserve">Others </w:t>
            </w:r>
            <w:proofErr w:type="spellStart"/>
            <w:r w:rsidRPr="0022569F">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r>
      <w:tr w:rsidR="0022569F" w:rsidRPr="0022569F" w:rsidTr="0022569F">
        <w:trPr>
          <w:trHeight w:val="31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jc w:val="right"/>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r>
      <w:tr w:rsidR="0022569F" w:rsidRPr="0022569F" w:rsidTr="0022569F">
        <w:trPr>
          <w:trHeight w:val="375"/>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b/>
                <w:bCs/>
                <w:sz w:val="28"/>
                <w:szCs w:val="28"/>
                <w:lang w:eastAsia="en-AU"/>
              </w:rPr>
            </w:pPr>
            <w:r w:rsidRPr="0022569F">
              <w:rPr>
                <w:rFonts w:eastAsia="Times New Roman" w:cs="Arial"/>
                <w:b/>
                <w:bCs/>
                <w:sz w:val="28"/>
                <w:szCs w:val="28"/>
                <w:lang w:eastAsia="en-AU"/>
              </w:rPr>
              <w:t>BUILDINGS</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BUILDINGS </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FF0000"/>
                <w:sz w:val="18"/>
                <w:szCs w:val="18"/>
                <w:lang w:eastAsia="en-AU"/>
              </w:rPr>
            </w:pPr>
            <w:r w:rsidRPr="0022569F">
              <w:rPr>
                <w:rFonts w:eastAsia="Times New Roman" w:cs="Arial"/>
                <w:color w:val="FF0000"/>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Capital Funding for Community Groups </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324</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162</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162</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162</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162</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360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Community Facilities - Access &amp; Inclusion</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176</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44</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220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220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Public Toilet Improvement Program</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270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270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270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Community Facilities Major Plant Renewal</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outlineLvl w:val="0"/>
              <w:rPr>
                <w:rFonts w:eastAsia="Times New Roman" w:cs="Arial"/>
                <w:sz w:val="18"/>
                <w:szCs w:val="18"/>
                <w:lang w:eastAsia="en-AU"/>
              </w:rPr>
            </w:pPr>
            <w:r w:rsidRPr="0022569F">
              <w:rPr>
                <w:rFonts w:eastAsia="Times New Roman" w:cs="Arial"/>
                <w:sz w:val="18"/>
                <w:szCs w:val="18"/>
                <w:lang w:eastAsia="en-AU"/>
              </w:rPr>
              <w:t>Community Facilities Replacement Program</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176</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44</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780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outlineLvl w:val="0"/>
              <w:rPr>
                <w:rFonts w:eastAsia="Times New Roman" w:cs="Arial"/>
                <w:sz w:val="18"/>
                <w:szCs w:val="18"/>
                <w:lang w:eastAsia="en-AU"/>
              </w:rPr>
            </w:pPr>
            <w:r w:rsidRPr="0022569F">
              <w:rPr>
                <w:rFonts w:eastAsia="Times New Roman" w:cs="Arial"/>
                <w:sz w:val="18"/>
                <w:szCs w:val="18"/>
                <w:lang w:eastAsia="en-AU"/>
              </w:rPr>
              <w:t>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Carbon Neutral-Energy Revolving Fund</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Community Facilities Improvement Program</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985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535</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4,605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3,711</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Ainslie Multipurpose Pavilion Redevelopment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2,500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48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Cheong Multipurpose Pavilion Redevelopment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1,208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302</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1,165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Silcock Sporting Pavilion Redevelopment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1,840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1,840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1,472</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368</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Springfield Sporting Pavilion Redevelopment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3,790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Dorset Multipurpose Pavilion Redevelopment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400</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72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Jubilee Park Sporting Pavilion Redevelopment and Indoor Cricket Facility Development</w:t>
            </w:r>
            <w:r w:rsidRPr="0022569F">
              <w:rPr>
                <w:rFonts w:eastAsia="Times New Roman" w:cs="Arial"/>
                <w:color w:val="FFFFFF"/>
                <w:sz w:val="18"/>
                <w:szCs w:val="18"/>
                <w:lang w:eastAsia="en-AU"/>
              </w:rPr>
              <w:t xml:space="preserve"> (Subject to Funding)</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568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142</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72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Proclamation Park Sporting Pavilion Redevelopment and Carpark Construction Works</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2,900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2,900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2,320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580</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bl>
    <w:p w:rsidR="0022569F" w:rsidRDefault="0022569F" w:rsidP="0029462D">
      <w:pPr>
        <w:rPr>
          <w:rFonts w:eastAsia="Times New Roman" w:cs="Arial"/>
        </w:rPr>
      </w:pPr>
      <w:r>
        <w:rPr>
          <w:rFonts w:eastAsia="Times New Roman" w:cs="Arial"/>
        </w:rPr>
        <w:fldChar w:fldCharType="end"/>
      </w:r>
    </w:p>
    <w:p w:rsidR="0022569F" w:rsidRDefault="0022569F" w:rsidP="0029462D">
      <w:pPr>
        <w:rPr>
          <w:rFonts w:eastAsia="Times New Roman" w:cs="Arial"/>
        </w:rPr>
      </w:pPr>
    </w:p>
    <w:p w:rsidR="0022569F" w:rsidRDefault="0022569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Document 2020  21 - CWP Section 6.5 Capital Works Program ~ COVID.XLSX" "Budget Doc!R22C1:R38C11" \a \f 4 \h </w:instrText>
      </w:r>
      <w:r>
        <w:fldChar w:fldCharType="separate"/>
      </w:r>
    </w:p>
    <w:tbl>
      <w:tblPr>
        <w:tblW w:w="14400" w:type="dxa"/>
        <w:tblLook w:val="04A0" w:firstRow="1" w:lastRow="0" w:firstColumn="1" w:lastColumn="0" w:noHBand="0" w:noVBand="1"/>
      </w:tblPr>
      <w:tblGrid>
        <w:gridCol w:w="3760"/>
        <w:gridCol w:w="1160"/>
        <w:gridCol w:w="980"/>
        <w:gridCol w:w="980"/>
        <w:gridCol w:w="980"/>
        <w:gridCol w:w="980"/>
        <w:gridCol w:w="980"/>
        <w:gridCol w:w="980"/>
        <w:gridCol w:w="1200"/>
        <w:gridCol w:w="1200"/>
        <w:gridCol w:w="1200"/>
      </w:tblGrid>
      <w:tr w:rsidR="0022569F" w:rsidRPr="0022569F" w:rsidTr="0022569F">
        <w:trPr>
          <w:trHeight w:val="540"/>
        </w:trPr>
        <w:tc>
          <w:tcPr>
            <w:tcW w:w="1440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8"/>
                <w:szCs w:val="28"/>
                <w:lang w:eastAsia="en-AU"/>
              </w:rPr>
            </w:pPr>
            <w:r w:rsidRPr="0022569F">
              <w:rPr>
                <w:rFonts w:eastAsia="Times New Roman" w:cs="Arial"/>
                <w:b/>
                <w:bCs/>
                <w:color w:val="FFFFFF"/>
                <w:sz w:val="28"/>
                <w:szCs w:val="28"/>
                <w:lang w:eastAsia="en-AU"/>
              </w:rPr>
              <w:t>CAPITAL EXPENDITURE PROGRAM 2020/21 TO 2023/24</w:t>
            </w:r>
          </w:p>
        </w:tc>
      </w:tr>
      <w:tr w:rsidR="0022569F" w:rsidRPr="0022569F" w:rsidTr="0022569F">
        <w:trPr>
          <w:trHeight w:val="58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rPr>
                <w:rFonts w:eastAsia="Times New Roman" w:cs="Arial"/>
                <w:b/>
                <w:bCs/>
                <w:color w:val="FFFFFF"/>
                <w:sz w:val="20"/>
                <w:szCs w:val="20"/>
                <w:lang w:eastAsia="en-AU"/>
              </w:rPr>
            </w:pPr>
            <w:r w:rsidRPr="0022569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2023/24</w:t>
            </w:r>
          </w:p>
        </w:tc>
      </w:tr>
      <w:tr w:rsidR="0022569F" w:rsidRPr="0022569F" w:rsidTr="0022569F">
        <w:trPr>
          <w:trHeight w:val="690"/>
        </w:trPr>
        <w:tc>
          <w:tcPr>
            <w:tcW w:w="3760" w:type="dxa"/>
            <w:tcBorders>
              <w:top w:val="nil"/>
              <w:left w:val="single" w:sz="12" w:space="0" w:color="auto"/>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xml:space="preserve">Others </w:t>
            </w:r>
            <w:proofErr w:type="spellStart"/>
            <w:r w:rsidRPr="0022569F">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r>
      <w:tr w:rsidR="0022569F" w:rsidRPr="0022569F" w:rsidTr="0022569F">
        <w:trPr>
          <w:trHeight w:val="31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jc w:val="right"/>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r>
      <w:tr w:rsidR="0022569F" w:rsidRPr="0022569F" w:rsidTr="0022569F">
        <w:trPr>
          <w:trHeight w:val="735"/>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sz w:val="28"/>
                <w:szCs w:val="28"/>
                <w:lang w:eastAsia="en-AU"/>
              </w:rPr>
            </w:pPr>
            <w:r w:rsidRPr="0022569F">
              <w:rPr>
                <w:rFonts w:eastAsia="Times New Roman" w:cs="Arial"/>
                <w:b/>
                <w:bCs/>
                <w:sz w:val="28"/>
                <w:szCs w:val="28"/>
                <w:lang w:eastAsia="en-AU"/>
              </w:rPr>
              <w:t>BUILDINGS Continuation…</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22569F">
        <w:trPr>
          <w:trHeight w:val="72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Croydon Community Precinct Redevelopment - Community Hub A (Subject to Funding) </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10,635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4,401</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4,100</w:t>
            </w:r>
          </w:p>
        </w:tc>
      </w:tr>
      <w:tr w:rsidR="0022569F" w:rsidRPr="0022569F" w:rsidTr="0022569F">
        <w:trPr>
          <w:trHeight w:val="72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Croydon Community Precinct Redevelopment - Open Space Improvements (Subject to Funding)</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2,500</w:t>
            </w:r>
          </w:p>
        </w:tc>
      </w:tr>
      <w:tr w:rsidR="0022569F" w:rsidRPr="0022569F" w:rsidTr="0022569F">
        <w:trPr>
          <w:trHeight w:val="72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Croydon Community Precinct Redevelopment - Roads and Other Carpark Improvements</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r>
      <w:tr w:rsidR="0022569F" w:rsidRPr="0022569F" w:rsidTr="0022569F">
        <w:trPr>
          <w:trHeight w:val="30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Land Acquisition</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1080"/>
        </w:trPr>
        <w:tc>
          <w:tcPr>
            <w:tcW w:w="3760" w:type="dxa"/>
            <w:tcBorders>
              <w:top w:val="nil"/>
              <w:left w:val="single" w:sz="12" w:space="0" w:color="auto"/>
              <w:bottom w:val="dashed" w:sz="4" w:space="0" w:color="auto"/>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Multilevel Carpark Development Program:</w:t>
            </w:r>
            <w:r w:rsidRPr="0022569F">
              <w:rPr>
                <w:rFonts w:eastAsia="Times New Roman" w:cs="Arial"/>
                <w:sz w:val="18"/>
                <w:szCs w:val="18"/>
                <w:lang w:eastAsia="en-AU"/>
              </w:rPr>
              <w:br/>
              <w:t>- Croydon Multilevel Carpark Development</w:t>
            </w:r>
            <w:r w:rsidRPr="0022569F">
              <w:rPr>
                <w:rFonts w:eastAsia="Times New Roman" w:cs="Arial"/>
                <w:sz w:val="18"/>
                <w:szCs w:val="18"/>
                <w:lang w:eastAsia="en-AU"/>
              </w:rPr>
              <w:br/>
              <w:t>- Heathmont Multilevel Carpark Development</w:t>
            </w:r>
            <w:r w:rsidRPr="0022569F">
              <w:rPr>
                <w:rFonts w:eastAsia="Times New Roman" w:cs="Arial"/>
                <w:sz w:val="18"/>
                <w:szCs w:val="18"/>
                <w:lang w:eastAsia="en-AU"/>
              </w:rPr>
              <w:br/>
              <w:t>- Ringwood Multilevel Carpark Development</w:t>
            </w:r>
          </w:p>
        </w:tc>
        <w:tc>
          <w:tcPr>
            <w:tcW w:w="116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29,750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6,600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23,150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29,750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18,000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nil"/>
              <w:left w:val="single" w:sz="12" w:space="0" w:color="auto"/>
              <w:bottom w:val="nil"/>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Realm Extension Base Build</w:t>
            </w:r>
          </w:p>
        </w:tc>
        <w:tc>
          <w:tcPr>
            <w:tcW w:w="116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20,000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dashed" w:sz="4" w:space="0" w:color="auto"/>
              <w:left w:val="single" w:sz="12" w:space="0" w:color="auto"/>
              <w:bottom w:val="nil"/>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Realm Extension </w:t>
            </w:r>
            <w:proofErr w:type="spellStart"/>
            <w:r w:rsidRPr="0022569F">
              <w:rPr>
                <w:rFonts w:eastAsia="Times New Roman" w:cs="Arial"/>
                <w:sz w:val="18"/>
                <w:szCs w:val="18"/>
                <w:lang w:eastAsia="en-AU"/>
              </w:rPr>
              <w:t>Fitout</w:t>
            </w:r>
            <w:proofErr w:type="spellEnd"/>
          </w:p>
        </w:tc>
        <w:tc>
          <w:tcPr>
            <w:tcW w:w="116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3,000</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3,000</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dashed" w:sz="4" w:space="0" w:color="auto"/>
              <w:left w:val="single" w:sz="12" w:space="0" w:color="auto"/>
              <w:bottom w:val="nil"/>
              <w:right w:val="single" w:sz="12"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Karralyka Centre Redevelopment </w:t>
            </w:r>
          </w:p>
        </w:tc>
        <w:tc>
          <w:tcPr>
            <w:tcW w:w="116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1,500</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1,500</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1,500</w:t>
            </w:r>
          </w:p>
        </w:tc>
        <w:tc>
          <w:tcPr>
            <w:tcW w:w="980" w:type="dxa"/>
            <w:tcBorders>
              <w:top w:val="dashed" w:sz="4" w:space="0" w:color="auto"/>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dashed" w:sz="4" w:space="0" w:color="auto"/>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15"/>
        </w:trPr>
        <w:tc>
          <w:tcPr>
            <w:tcW w:w="3760" w:type="dxa"/>
            <w:tcBorders>
              <w:top w:val="dashed" w:sz="4" w:space="0" w:color="auto"/>
              <w:left w:val="single" w:sz="12" w:space="0" w:color="auto"/>
              <w:bottom w:val="single" w:sz="12" w:space="0" w:color="auto"/>
              <w:right w:val="single" w:sz="12"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BUILDINGS</w:t>
            </w:r>
          </w:p>
        </w:tc>
        <w:tc>
          <w:tcPr>
            <w:tcW w:w="116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69,284</w:t>
            </w:r>
          </w:p>
        </w:tc>
        <w:tc>
          <w:tcPr>
            <w:tcW w:w="98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22,972</w:t>
            </w:r>
          </w:p>
        </w:tc>
        <w:tc>
          <w:tcPr>
            <w:tcW w:w="98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26,150</w:t>
            </w:r>
          </w:p>
        </w:tc>
        <w:tc>
          <w:tcPr>
            <w:tcW w:w="98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20,162</w:t>
            </w:r>
          </w:p>
        </w:tc>
        <w:tc>
          <w:tcPr>
            <w:tcW w:w="98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13,357</w:t>
            </w:r>
          </w:p>
        </w:tc>
        <w:tc>
          <w:tcPr>
            <w:tcW w:w="980" w:type="dxa"/>
            <w:tcBorders>
              <w:top w:val="dashed" w:sz="4"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3,177</w:t>
            </w:r>
          </w:p>
        </w:tc>
        <w:tc>
          <w:tcPr>
            <w:tcW w:w="980" w:type="dxa"/>
            <w:tcBorders>
              <w:top w:val="dashed" w:sz="4" w:space="0" w:color="auto"/>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52,750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45,850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11,606</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12,801</w:t>
            </w:r>
          </w:p>
        </w:tc>
      </w:tr>
      <w:tr w:rsidR="0022569F" w:rsidRPr="0022569F" w:rsidTr="0022569F">
        <w:trPr>
          <w:trHeight w:val="390"/>
        </w:trPr>
        <w:tc>
          <w:tcPr>
            <w:tcW w:w="3760" w:type="dxa"/>
            <w:tcBorders>
              <w:top w:val="nil"/>
              <w:left w:val="single" w:sz="12" w:space="0" w:color="auto"/>
              <w:bottom w:val="single" w:sz="12" w:space="0" w:color="auto"/>
              <w:right w:val="single" w:sz="12" w:space="0" w:color="auto"/>
            </w:tcBorders>
            <w:shd w:val="clear" w:color="auto" w:fill="auto"/>
            <w:vAlign w:val="center"/>
            <w:hideMark/>
          </w:tcPr>
          <w:p w:rsidR="0022569F" w:rsidRPr="0022569F" w:rsidRDefault="0022569F" w:rsidP="0022569F">
            <w:pPr>
              <w:rPr>
                <w:rFonts w:eastAsia="Times New Roman" w:cs="Arial"/>
                <w:b/>
                <w:bCs/>
                <w:sz w:val="28"/>
                <w:szCs w:val="28"/>
                <w:lang w:eastAsia="en-AU"/>
              </w:rPr>
            </w:pPr>
            <w:r w:rsidRPr="0022569F">
              <w:rPr>
                <w:rFonts w:eastAsia="Times New Roman" w:cs="Arial"/>
                <w:b/>
                <w:bCs/>
                <w:sz w:val="28"/>
                <w:szCs w:val="28"/>
                <w:lang w:eastAsia="en-AU"/>
              </w:rPr>
              <w:t>TOTAL BUILDINGS</w:t>
            </w:r>
          </w:p>
        </w:tc>
        <w:tc>
          <w:tcPr>
            <w:tcW w:w="116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69,284</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22,972</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26,150</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20,162</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13,357</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3,177</w:t>
            </w:r>
          </w:p>
        </w:tc>
        <w:tc>
          <w:tcPr>
            <w:tcW w:w="98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52,750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45,850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11,606</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12,801</w:t>
            </w:r>
          </w:p>
        </w:tc>
      </w:tr>
    </w:tbl>
    <w:p w:rsidR="0022569F" w:rsidRDefault="0022569F" w:rsidP="0029462D">
      <w:pPr>
        <w:rPr>
          <w:rFonts w:eastAsia="Times New Roman" w:cs="Arial"/>
        </w:rPr>
      </w:pPr>
      <w:r>
        <w:rPr>
          <w:rFonts w:eastAsia="Times New Roman" w:cs="Arial"/>
        </w:rPr>
        <w:fldChar w:fldCharType="end"/>
      </w:r>
    </w:p>
    <w:p w:rsidR="0022569F" w:rsidRDefault="0022569F" w:rsidP="0029462D">
      <w:pPr>
        <w:rPr>
          <w:rFonts w:eastAsia="Times New Roman" w:cs="Arial"/>
        </w:rPr>
      </w:pPr>
    </w:p>
    <w:p w:rsidR="0022569F" w:rsidRDefault="0022569F" w:rsidP="0029462D">
      <w:pPr>
        <w:rPr>
          <w:rFonts w:eastAsia="Times New Roman" w:cs="Arial"/>
        </w:rPr>
      </w:pPr>
    </w:p>
    <w:p w:rsidR="0022569F" w:rsidRDefault="0022569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Document 2020  21 - CWP Section 6.5 Capital Works Program ~ COVID.XLSX" "Budget Doc!R41C1:R64C11" \a \f 4 \h </w:instrText>
      </w:r>
      <w:r>
        <w:fldChar w:fldCharType="separate"/>
      </w:r>
    </w:p>
    <w:tbl>
      <w:tblPr>
        <w:tblW w:w="14400" w:type="dxa"/>
        <w:tblLook w:val="04A0" w:firstRow="1" w:lastRow="0" w:firstColumn="1" w:lastColumn="0" w:noHBand="0" w:noVBand="1"/>
      </w:tblPr>
      <w:tblGrid>
        <w:gridCol w:w="3760"/>
        <w:gridCol w:w="1160"/>
        <w:gridCol w:w="980"/>
        <w:gridCol w:w="980"/>
        <w:gridCol w:w="980"/>
        <w:gridCol w:w="980"/>
        <w:gridCol w:w="980"/>
        <w:gridCol w:w="980"/>
        <w:gridCol w:w="1200"/>
        <w:gridCol w:w="1200"/>
        <w:gridCol w:w="1200"/>
      </w:tblGrid>
      <w:tr w:rsidR="0022569F" w:rsidRPr="0022569F" w:rsidTr="0022569F">
        <w:trPr>
          <w:trHeight w:val="540"/>
        </w:trPr>
        <w:tc>
          <w:tcPr>
            <w:tcW w:w="1440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8"/>
                <w:szCs w:val="28"/>
                <w:lang w:eastAsia="en-AU"/>
              </w:rPr>
            </w:pPr>
            <w:r w:rsidRPr="0022569F">
              <w:rPr>
                <w:rFonts w:eastAsia="Times New Roman" w:cs="Arial"/>
                <w:b/>
                <w:bCs/>
                <w:color w:val="FFFFFF"/>
                <w:sz w:val="28"/>
                <w:szCs w:val="28"/>
                <w:lang w:eastAsia="en-AU"/>
              </w:rPr>
              <w:t>CAPITAL EXPENDITURE PROGRAM 2020/21 TO 2023/24</w:t>
            </w:r>
          </w:p>
        </w:tc>
      </w:tr>
      <w:tr w:rsidR="0022569F" w:rsidRPr="0022569F" w:rsidTr="0022569F">
        <w:trPr>
          <w:trHeight w:val="58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rPr>
                <w:rFonts w:eastAsia="Times New Roman" w:cs="Arial"/>
                <w:b/>
                <w:bCs/>
                <w:color w:val="FFFFFF"/>
                <w:sz w:val="20"/>
                <w:szCs w:val="20"/>
                <w:lang w:eastAsia="en-AU"/>
              </w:rPr>
            </w:pPr>
            <w:r w:rsidRPr="0022569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2023/24</w:t>
            </w:r>
          </w:p>
        </w:tc>
      </w:tr>
      <w:tr w:rsidR="0022569F" w:rsidRPr="0022569F" w:rsidTr="0022569F">
        <w:trPr>
          <w:trHeight w:val="690"/>
        </w:trPr>
        <w:tc>
          <w:tcPr>
            <w:tcW w:w="3760" w:type="dxa"/>
            <w:tcBorders>
              <w:top w:val="nil"/>
              <w:left w:val="single" w:sz="12" w:space="0" w:color="auto"/>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xml:space="preserve">Others </w:t>
            </w:r>
            <w:proofErr w:type="spellStart"/>
            <w:r w:rsidRPr="0022569F">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r>
      <w:tr w:rsidR="0022569F" w:rsidRPr="0022569F" w:rsidTr="0022569F">
        <w:trPr>
          <w:trHeight w:val="31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jc w:val="right"/>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r>
      <w:tr w:rsidR="0022569F" w:rsidRPr="0022569F" w:rsidTr="0022569F">
        <w:trPr>
          <w:trHeight w:val="375"/>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sz w:val="28"/>
                <w:szCs w:val="28"/>
                <w:lang w:eastAsia="en-AU"/>
              </w:rPr>
            </w:pPr>
            <w:r w:rsidRPr="0022569F">
              <w:rPr>
                <w:rFonts w:eastAsia="Times New Roman" w:cs="Arial"/>
                <w:b/>
                <w:bCs/>
                <w:sz w:val="28"/>
                <w:szCs w:val="28"/>
                <w:lang w:eastAsia="en-AU"/>
              </w:rPr>
              <w:t>ROADS AND DRAINAGE</w:t>
            </w:r>
          </w:p>
        </w:tc>
        <w:tc>
          <w:tcPr>
            <w:tcW w:w="1160" w:type="dxa"/>
            <w:tcBorders>
              <w:top w:val="single" w:sz="8" w:space="0" w:color="auto"/>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nil"/>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ROADS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r>
      <w:tr w:rsidR="0022569F" w:rsidRPr="0022569F" w:rsidTr="0022569F">
        <w:trPr>
          <w:trHeight w:val="48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Roads to Recovery Funding of Local Road Improvements by the Federal Government</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326</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81</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407</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Local Road Reconstruction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383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383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383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Local Area Traffic Management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94</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94</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240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Local Area Traffic Management - Renewal</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90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90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Traffic Lights and Pedestrian Crossings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Local Road Renewal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1,267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1,267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1,267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1,600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Kerb and Channel Replacement Works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578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578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578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750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ROADS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2,890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2,483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407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2,715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175</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3,507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3,507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3,677</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FOOTPATHS AND CYCLEWAYS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center"/>
              <w:rPr>
                <w:rFonts w:eastAsia="Times New Roman" w:cs="Arial"/>
                <w:b/>
                <w:bCs/>
                <w:sz w:val="18"/>
                <w:szCs w:val="18"/>
                <w:lang w:eastAsia="en-AU"/>
              </w:rPr>
            </w:pPr>
            <w:r w:rsidRPr="0022569F">
              <w:rPr>
                <w:rFonts w:eastAsia="Times New Roman" w:cs="Arial"/>
                <w:b/>
                <w:bCs/>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Shared (Bike) Path Improvement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434</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434</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128</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640</w:t>
            </w:r>
          </w:p>
        </w:tc>
      </w:tr>
      <w:tr w:rsidR="0022569F" w:rsidRPr="0022569F" w:rsidTr="0022569F">
        <w:trPr>
          <w:trHeight w:val="48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proofErr w:type="spellStart"/>
            <w:r w:rsidRPr="0022569F">
              <w:rPr>
                <w:rFonts w:eastAsia="Times New Roman" w:cs="Arial"/>
                <w:sz w:val="18"/>
                <w:szCs w:val="18"/>
                <w:lang w:eastAsia="en-AU"/>
              </w:rPr>
              <w:t>Taralla</w:t>
            </w:r>
            <w:proofErr w:type="spellEnd"/>
            <w:r w:rsidRPr="0022569F">
              <w:rPr>
                <w:rFonts w:eastAsia="Times New Roman" w:cs="Arial"/>
                <w:sz w:val="18"/>
                <w:szCs w:val="18"/>
                <w:lang w:eastAsia="en-AU"/>
              </w:rPr>
              <w:t xml:space="preserve"> Creek Trail Improvement Works (Public Open Space)</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Footpath Replacement Works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840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840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840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1,250</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Footpath Construction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1,167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1,167</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1,167</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1,284</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1,327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1,447</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Disability Footpath Access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310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248</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62</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320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320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330</w:t>
            </w:r>
          </w:p>
        </w:tc>
      </w:tr>
      <w:tr w:rsidR="0022569F" w:rsidRPr="0022569F" w:rsidTr="0022569F">
        <w:trPr>
          <w:trHeight w:val="6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FOOTPATHS AND CYCLEWAYS</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3,051</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3,051</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1,695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190</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1,167</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3,454</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3,497</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3,667</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CARPARKS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22569F">
        <w:trPr>
          <w:trHeight w:val="300"/>
        </w:trPr>
        <w:tc>
          <w:tcPr>
            <w:tcW w:w="3760"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Car Park Improvement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125</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520</w:t>
            </w:r>
          </w:p>
        </w:tc>
      </w:tr>
      <w:tr w:rsidR="0022569F" w:rsidRPr="0022569F" w:rsidTr="0022569F">
        <w:trPr>
          <w:trHeight w:val="315"/>
        </w:trPr>
        <w:tc>
          <w:tcPr>
            <w:tcW w:w="3760" w:type="dxa"/>
            <w:tcBorders>
              <w:top w:val="nil"/>
              <w:left w:val="single" w:sz="12" w:space="0" w:color="auto"/>
              <w:bottom w:val="single" w:sz="12" w:space="0" w:color="auto"/>
              <w:right w:val="single" w:sz="8" w:space="0" w:color="auto"/>
            </w:tcBorders>
            <w:shd w:val="clear" w:color="auto" w:fill="auto"/>
            <w:vAlign w:val="bottom"/>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CARPARKS</w:t>
            </w:r>
          </w:p>
        </w:tc>
        <w:tc>
          <w:tcPr>
            <w:tcW w:w="1160" w:type="dxa"/>
            <w:tcBorders>
              <w:top w:val="nil"/>
              <w:left w:val="single" w:sz="8" w:space="0" w:color="auto"/>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250</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250</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125</w:t>
            </w:r>
          </w:p>
        </w:tc>
        <w:tc>
          <w:tcPr>
            <w:tcW w:w="980" w:type="dxa"/>
            <w:tcBorders>
              <w:top w:val="nil"/>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125</w:t>
            </w:r>
          </w:p>
        </w:tc>
        <w:tc>
          <w:tcPr>
            <w:tcW w:w="980" w:type="dxa"/>
            <w:tcBorders>
              <w:top w:val="nil"/>
              <w:left w:val="nil"/>
              <w:bottom w:val="single" w:sz="12" w:space="0" w:color="auto"/>
              <w:right w:val="nil"/>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1200" w:type="dxa"/>
            <w:tcBorders>
              <w:top w:val="nil"/>
              <w:left w:val="single" w:sz="12" w:space="0" w:color="auto"/>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500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500</w:t>
            </w:r>
          </w:p>
        </w:tc>
        <w:tc>
          <w:tcPr>
            <w:tcW w:w="1200" w:type="dxa"/>
            <w:tcBorders>
              <w:top w:val="nil"/>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520</w:t>
            </w:r>
          </w:p>
        </w:tc>
      </w:tr>
    </w:tbl>
    <w:p w:rsidR="0022569F" w:rsidRDefault="0022569F" w:rsidP="0029462D">
      <w:pPr>
        <w:rPr>
          <w:rFonts w:ascii="Calibri" w:hAnsi="Calibri"/>
          <w:sz w:val="20"/>
          <w:szCs w:val="20"/>
          <w:lang w:eastAsia="en-AU"/>
        </w:rPr>
      </w:pPr>
      <w:r>
        <w:rPr>
          <w:rFonts w:eastAsia="Times New Roman" w:cs="Arial"/>
        </w:rPr>
        <w:lastRenderedPageBreak/>
        <w:fldChar w:fldCharType="end"/>
      </w:r>
      <w:r>
        <w:rPr>
          <w:rFonts w:eastAsia="Times New Roman" w:cs="Arial"/>
        </w:rPr>
        <w:fldChar w:fldCharType="begin"/>
      </w:r>
      <w:r>
        <w:rPr>
          <w:rFonts w:eastAsia="Times New Roman" w:cs="Arial"/>
        </w:rPr>
        <w:instrText xml:space="preserve"> LINK Excel.Sheet.12 "C:\\Users\\clim\\AppData\\Local\\Micro Focus\\Content Manager\\Offline Records (MP)\\Budget Document ~ Finance   Financial - Budgeting\\Budget Document 2020  21 - CWP Section 6.5 Capital Works Program ~ COVID.XLSX" "Budget Doc!R68C1:R91C11" \a \f 4 \h </w:instrText>
      </w:r>
      <w:r w:rsidR="000A3457">
        <w:rPr>
          <w:rFonts w:eastAsia="Times New Roman" w:cs="Arial"/>
        </w:rPr>
        <w:instrText xml:space="preserve"> \* MERGEFORMAT </w:instrText>
      </w:r>
      <w:r>
        <w:rPr>
          <w:rFonts w:eastAsia="Times New Roman" w:cs="Arial"/>
        </w:rPr>
        <w:fldChar w:fldCharType="separate"/>
      </w:r>
    </w:p>
    <w:tbl>
      <w:tblPr>
        <w:tblW w:w="14597" w:type="dxa"/>
        <w:tblLook w:val="04A0" w:firstRow="1" w:lastRow="0" w:firstColumn="1" w:lastColumn="0" w:noHBand="0" w:noVBand="1"/>
      </w:tblPr>
      <w:tblGrid>
        <w:gridCol w:w="3954"/>
        <w:gridCol w:w="1160"/>
        <w:gridCol w:w="980"/>
        <w:gridCol w:w="980"/>
        <w:gridCol w:w="980"/>
        <w:gridCol w:w="980"/>
        <w:gridCol w:w="980"/>
        <w:gridCol w:w="980"/>
        <w:gridCol w:w="1200"/>
        <w:gridCol w:w="1200"/>
        <w:gridCol w:w="1203"/>
      </w:tblGrid>
      <w:tr w:rsidR="0022569F" w:rsidRPr="0022569F" w:rsidTr="000A3457">
        <w:trPr>
          <w:trHeight w:val="441"/>
        </w:trPr>
        <w:tc>
          <w:tcPr>
            <w:tcW w:w="14597"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22569F" w:rsidRPr="0022569F" w:rsidRDefault="0022569F">
            <w:pPr>
              <w:jc w:val="center"/>
              <w:rPr>
                <w:rFonts w:eastAsia="Times New Roman" w:cs="Arial"/>
                <w:b/>
                <w:bCs/>
                <w:color w:val="FFFFFF"/>
                <w:sz w:val="28"/>
                <w:szCs w:val="28"/>
                <w:lang w:eastAsia="en-AU"/>
              </w:rPr>
            </w:pPr>
            <w:r w:rsidRPr="0022569F">
              <w:rPr>
                <w:rFonts w:eastAsia="Times New Roman" w:cs="Arial"/>
                <w:b/>
                <w:bCs/>
                <w:color w:val="FFFFFF"/>
                <w:sz w:val="28"/>
                <w:szCs w:val="28"/>
                <w:lang w:eastAsia="en-AU"/>
              </w:rPr>
              <w:t>CAPITAL EXPENDITURE PROGRAM 2020/21 TO 2023/24</w:t>
            </w:r>
          </w:p>
        </w:tc>
      </w:tr>
      <w:tr w:rsidR="0022569F" w:rsidRPr="0022569F" w:rsidTr="000A3457">
        <w:trPr>
          <w:trHeight w:val="547"/>
        </w:trPr>
        <w:tc>
          <w:tcPr>
            <w:tcW w:w="3954"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rPr>
                <w:rFonts w:eastAsia="Times New Roman" w:cs="Arial"/>
                <w:b/>
                <w:bCs/>
                <w:color w:val="FFFFFF"/>
                <w:sz w:val="20"/>
                <w:szCs w:val="20"/>
                <w:lang w:eastAsia="en-AU"/>
              </w:rPr>
            </w:pPr>
            <w:r w:rsidRPr="0022569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20"/>
                <w:szCs w:val="20"/>
                <w:lang w:eastAsia="en-AU"/>
              </w:rPr>
            </w:pPr>
            <w:r w:rsidRPr="0022569F">
              <w:rPr>
                <w:rFonts w:eastAsia="Times New Roman" w:cs="Arial"/>
                <w:b/>
                <w:bCs/>
                <w:color w:val="FFFFFF"/>
                <w:sz w:val="20"/>
                <w:szCs w:val="20"/>
                <w:lang w:eastAsia="en-AU"/>
              </w:rPr>
              <w:t>Budget 2023/24</w:t>
            </w:r>
          </w:p>
        </w:tc>
      </w:tr>
      <w:tr w:rsidR="0022569F" w:rsidRPr="0022569F" w:rsidTr="000A3457">
        <w:trPr>
          <w:trHeight w:val="498"/>
        </w:trPr>
        <w:tc>
          <w:tcPr>
            <w:tcW w:w="3954" w:type="dxa"/>
            <w:tcBorders>
              <w:top w:val="nil"/>
              <w:left w:val="single" w:sz="12" w:space="0" w:color="auto"/>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 xml:space="preserve">Others </w:t>
            </w:r>
            <w:proofErr w:type="spellStart"/>
            <w:r w:rsidRPr="0022569F">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Total Expenditure</w:t>
            </w:r>
          </w:p>
        </w:tc>
      </w:tr>
      <w:tr w:rsidR="0022569F" w:rsidRPr="0022569F" w:rsidTr="000A3457">
        <w:trPr>
          <w:trHeight w:val="285"/>
        </w:trPr>
        <w:tc>
          <w:tcPr>
            <w:tcW w:w="3954" w:type="dxa"/>
            <w:tcBorders>
              <w:top w:val="nil"/>
              <w:left w:val="single" w:sz="12" w:space="0" w:color="auto"/>
              <w:bottom w:val="single" w:sz="12" w:space="0" w:color="auto"/>
              <w:right w:val="single" w:sz="12" w:space="0" w:color="auto"/>
            </w:tcBorders>
            <w:shd w:val="clear" w:color="000000" w:fill="629DD1"/>
            <w:noWrap/>
            <w:vAlign w:val="center"/>
            <w:hideMark/>
          </w:tcPr>
          <w:p w:rsidR="0022569F" w:rsidRPr="0022569F" w:rsidRDefault="0022569F" w:rsidP="0022569F">
            <w:pPr>
              <w:jc w:val="right"/>
              <w:rPr>
                <w:rFonts w:eastAsia="Times New Roman" w:cs="Arial"/>
                <w:b/>
                <w:bCs/>
                <w:color w:val="FFFFFF"/>
                <w:sz w:val="16"/>
                <w:szCs w:val="16"/>
                <w:lang w:eastAsia="en-AU"/>
              </w:rPr>
            </w:pPr>
            <w:r w:rsidRPr="0022569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22569F" w:rsidRPr="0022569F" w:rsidRDefault="0022569F" w:rsidP="0022569F">
            <w:pPr>
              <w:jc w:val="center"/>
              <w:rPr>
                <w:rFonts w:eastAsia="Times New Roman" w:cs="Arial"/>
                <w:b/>
                <w:bCs/>
                <w:color w:val="FFFFFF"/>
                <w:sz w:val="16"/>
                <w:szCs w:val="16"/>
                <w:lang w:eastAsia="en-AU"/>
              </w:rPr>
            </w:pPr>
            <w:r w:rsidRPr="0022569F">
              <w:rPr>
                <w:rFonts w:eastAsia="Times New Roman" w:cs="Arial"/>
                <w:b/>
                <w:bCs/>
                <w:color w:val="FFFFFF"/>
                <w:sz w:val="16"/>
                <w:szCs w:val="16"/>
                <w:lang w:eastAsia="en-AU"/>
              </w:rPr>
              <w:t>$000</w:t>
            </w:r>
          </w:p>
        </w:tc>
      </w:tr>
      <w:tr w:rsidR="0022569F" w:rsidRPr="0022569F" w:rsidTr="000A3457">
        <w:trPr>
          <w:trHeight w:val="566"/>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sz w:val="27"/>
                <w:szCs w:val="27"/>
                <w:lang w:eastAsia="en-AU"/>
              </w:rPr>
            </w:pPr>
            <w:r w:rsidRPr="0022569F">
              <w:rPr>
                <w:rFonts w:eastAsia="Times New Roman" w:cs="Arial"/>
                <w:b/>
                <w:bCs/>
                <w:sz w:val="27"/>
                <w:szCs w:val="27"/>
                <w:lang w:eastAsia="en-AU"/>
              </w:rPr>
              <w:t>ROADS AND DRAINAGE Continuation…</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DRAINAGE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0A3457">
        <w:trPr>
          <w:trHeight w:val="48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 xml:space="preserve">Ringwood Metropolitan Activities Centre -Drainage Infrastructure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595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595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595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700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Waterway Improvement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111</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111</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111</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140</w:t>
            </w:r>
          </w:p>
        </w:tc>
      </w:tr>
      <w:tr w:rsidR="0022569F" w:rsidRPr="0022569F" w:rsidTr="000A3457">
        <w:trPr>
          <w:trHeight w:val="300"/>
        </w:trPr>
        <w:tc>
          <w:tcPr>
            <w:tcW w:w="3954" w:type="dxa"/>
            <w:tcBorders>
              <w:top w:val="nil"/>
              <w:left w:val="single" w:sz="12" w:space="0" w:color="auto"/>
              <w:bottom w:val="nil"/>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Stormwater Drainage Renewal Program</w:t>
            </w:r>
          </w:p>
        </w:tc>
        <w:tc>
          <w:tcPr>
            <w:tcW w:w="1160" w:type="dxa"/>
            <w:tcBorders>
              <w:top w:val="nil"/>
              <w:left w:val="single" w:sz="8" w:space="0" w:color="auto"/>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1,870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1,870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1,496</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374</w:t>
            </w:r>
          </w:p>
        </w:tc>
        <w:tc>
          <w:tcPr>
            <w:tcW w:w="980" w:type="dxa"/>
            <w:tcBorders>
              <w:top w:val="nil"/>
              <w:left w:val="nil"/>
              <w:bottom w:val="nil"/>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3,172</w:t>
            </w:r>
          </w:p>
        </w:tc>
        <w:tc>
          <w:tcPr>
            <w:tcW w:w="1200" w:type="dxa"/>
            <w:tcBorders>
              <w:top w:val="nil"/>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3,555</w:t>
            </w:r>
          </w:p>
        </w:tc>
        <w:tc>
          <w:tcPr>
            <w:tcW w:w="1200" w:type="dxa"/>
            <w:tcBorders>
              <w:top w:val="nil"/>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4,185</w:t>
            </w:r>
          </w:p>
        </w:tc>
      </w:tr>
      <w:tr w:rsidR="0022569F" w:rsidRPr="0022569F" w:rsidTr="000A3457">
        <w:trPr>
          <w:trHeight w:val="235"/>
        </w:trPr>
        <w:tc>
          <w:tcPr>
            <w:tcW w:w="3954" w:type="dxa"/>
            <w:tcBorders>
              <w:top w:val="dashed" w:sz="4" w:space="0" w:color="auto"/>
              <w:left w:val="single" w:sz="12" w:space="0" w:color="auto"/>
              <w:bottom w:val="single" w:sz="8" w:space="0" w:color="auto"/>
              <w:right w:val="single" w:sz="8" w:space="0" w:color="auto"/>
            </w:tcBorders>
            <w:shd w:val="clear" w:color="auto" w:fill="auto"/>
            <w:vAlign w:val="bottom"/>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DRAINAGE</w:t>
            </w:r>
          </w:p>
        </w:tc>
        <w:tc>
          <w:tcPr>
            <w:tcW w:w="1160" w:type="dxa"/>
            <w:tcBorders>
              <w:top w:val="dashed" w:sz="4" w:space="0" w:color="auto"/>
              <w:left w:val="single" w:sz="8" w:space="0" w:color="auto"/>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2,576</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2,576</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2,202</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374</w:t>
            </w:r>
          </w:p>
        </w:tc>
        <w:tc>
          <w:tcPr>
            <w:tcW w:w="980" w:type="dxa"/>
            <w:tcBorders>
              <w:top w:val="dashed" w:sz="4" w:space="0" w:color="auto"/>
              <w:left w:val="nil"/>
              <w:bottom w:val="single" w:sz="8" w:space="0" w:color="auto"/>
              <w:right w:val="nil"/>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1200" w:type="dxa"/>
            <w:tcBorders>
              <w:top w:val="dashed" w:sz="4" w:space="0" w:color="auto"/>
              <w:left w:val="single" w:sz="12" w:space="0" w:color="auto"/>
              <w:bottom w:val="single" w:sz="8"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4,012</w:t>
            </w:r>
          </w:p>
        </w:tc>
        <w:tc>
          <w:tcPr>
            <w:tcW w:w="1200" w:type="dxa"/>
            <w:tcBorders>
              <w:top w:val="dashed" w:sz="4" w:space="0" w:color="auto"/>
              <w:left w:val="nil"/>
              <w:bottom w:val="single" w:sz="8"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4,395</w:t>
            </w:r>
          </w:p>
        </w:tc>
        <w:tc>
          <w:tcPr>
            <w:tcW w:w="1200" w:type="dxa"/>
            <w:tcBorders>
              <w:top w:val="dashed" w:sz="4" w:space="0" w:color="auto"/>
              <w:left w:val="nil"/>
              <w:bottom w:val="single" w:sz="8"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5,025</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WASTE MANAGEMENT </w:t>
            </w:r>
          </w:p>
        </w:tc>
        <w:tc>
          <w:tcPr>
            <w:tcW w:w="1160" w:type="dxa"/>
            <w:tcBorders>
              <w:top w:val="single" w:sz="8" w:space="0" w:color="auto"/>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single" w:sz="8" w:space="0" w:color="auto"/>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single" w:sz="8" w:space="0" w:color="auto"/>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Waste Vehicles Turning Points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Recycling Victoria Project (Subject to Funding)</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4,700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bottom"/>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WASTE MANAGEMENT</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2,350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4,750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 xml:space="preserve">OTHER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b/>
                <w:bCs/>
                <w:sz w:val="18"/>
                <w:szCs w:val="18"/>
                <w:lang w:eastAsia="en-AU"/>
              </w:rPr>
            </w:pPr>
            <w:r w:rsidRPr="0022569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FF0000"/>
                <w:sz w:val="18"/>
                <w:szCs w:val="18"/>
                <w:lang w:eastAsia="en-AU"/>
              </w:rPr>
            </w:pPr>
            <w:r w:rsidRPr="0022569F">
              <w:rPr>
                <w:rFonts w:eastAsia="Times New Roman" w:cs="Arial"/>
                <w:b/>
                <w:bCs/>
                <w:color w:val="FF0000"/>
                <w:sz w:val="18"/>
                <w:szCs w:val="18"/>
                <w:lang w:eastAsia="en-AU"/>
              </w:rPr>
              <w:t> </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Commercial Centres Improvement Program</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220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230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Ringwood Metropolitan Activity Centre</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85</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100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Bus Shelters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30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Carbon Neutral - Greenpower</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75</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Sustainable Maroondah Fund</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43</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43</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60</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70</w:t>
            </w:r>
          </w:p>
        </w:tc>
      </w:tr>
      <w:tr w:rsidR="0022569F" w:rsidRPr="0022569F" w:rsidTr="000A3457">
        <w:trPr>
          <w:trHeight w:val="30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Street Furniture Works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color w:val="000000"/>
                <w:sz w:val="18"/>
                <w:szCs w:val="18"/>
                <w:lang w:eastAsia="en-AU"/>
              </w:rPr>
            </w:pPr>
            <w:r w:rsidRPr="0022569F">
              <w:rPr>
                <w:rFonts w:eastAsia="Times New Roman" w:cs="Arial"/>
                <w:color w:val="000000"/>
                <w:sz w:val="18"/>
                <w:szCs w:val="18"/>
                <w:lang w:eastAsia="en-AU"/>
              </w:rPr>
              <w:t>75</w:t>
            </w:r>
          </w:p>
        </w:tc>
      </w:tr>
      <w:tr w:rsidR="0022569F" w:rsidRPr="0022569F" w:rsidTr="000A3457">
        <w:trPr>
          <w:trHeight w:val="480"/>
        </w:trPr>
        <w:tc>
          <w:tcPr>
            <w:tcW w:w="3954" w:type="dxa"/>
            <w:tcBorders>
              <w:top w:val="nil"/>
              <w:left w:val="single" w:sz="12" w:space="0" w:color="auto"/>
              <w:bottom w:val="dashed" w:sz="4" w:space="0" w:color="auto"/>
              <w:right w:val="single" w:sz="8" w:space="0" w:color="auto"/>
            </w:tcBorders>
            <w:shd w:val="clear" w:color="auto" w:fill="auto"/>
            <w:vAlign w:val="center"/>
            <w:hideMark/>
          </w:tcPr>
          <w:p w:rsidR="0022569F" w:rsidRPr="0022569F" w:rsidRDefault="0022569F" w:rsidP="0022569F">
            <w:pPr>
              <w:rPr>
                <w:rFonts w:eastAsia="Times New Roman" w:cs="Arial"/>
                <w:sz w:val="18"/>
                <w:szCs w:val="18"/>
                <w:lang w:eastAsia="en-AU"/>
              </w:rPr>
            </w:pPr>
            <w:r w:rsidRPr="0022569F">
              <w:rPr>
                <w:rFonts w:eastAsia="Times New Roman" w:cs="Arial"/>
                <w:sz w:val="18"/>
                <w:szCs w:val="18"/>
                <w:lang w:eastAsia="en-AU"/>
              </w:rPr>
              <w:t>Street Lighting Improvements - Energy Efficiency</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475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475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475</w:t>
            </w:r>
          </w:p>
        </w:tc>
        <w:tc>
          <w:tcPr>
            <w:tcW w:w="980" w:type="dxa"/>
            <w:tcBorders>
              <w:top w:val="nil"/>
              <w:left w:val="nil"/>
              <w:bottom w:val="dashed" w:sz="4"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525</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sz w:val="18"/>
                <w:szCs w:val="18"/>
                <w:lang w:eastAsia="en-AU"/>
              </w:rPr>
            </w:pPr>
            <w:r w:rsidRPr="0022569F">
              <w:rPr>
                <w:rFonts w:eastAsia="Times New Roman" w:cs="Arial"/>
                <w:sz w:val="18"/>
                <w:szCs w:val="18"/>
                <w:lang w:eastAsia="en-AU"/>
              </w:rPr>
              <w:t> </w:t>
            </w:r>
          </w:p>
        </w:tc>
      </w:tr>
      <w:tr w:rsidR="0022569F" w:rsidRPr="0022569F" w:rsidTr="000A3457">
        <w:trPr>
          <w:trHeight w:val="315"/>
        </w:trPr>
        <w:tc>
          <w:tcPr>
            <w:tcW w:w="3954" w:type="dxa"/>
            <w:tcBorders>
              <w:top w:val="nil"/>
              <w:left w:val="single" w:sz="12" w:space="0" w:color="auto"/>
              <w:bottom w:val="nil"/>
              <w:right w:val="single" w:sz="8" w:space="0" w:color="auto"/>
            </w:tcBorders>
            <w:shd w:val="clear" w:color="auto" w:fill="auto"/>
            <w:vAlign w:val="bottom"/>
            <w:hideMark/>
          </w:tcPr>
          <w:p w:rsidR="0022569F" w:rsidRPr="0022569F" w:rsidRDefault="0022569F" w:rsidP="0022569F">
            <w:pPr>
              <w:rPr>
                <w:rFonts w:eastAsia="Times New Roman" w:cs="Arial"/>
                <w:b/>
                <w:bCs/>
                <w:lang w:eastAsia="en-AU"/>
              </w:rPr>
            </w:pPr>
            <w:r w:rsidRPr="0022569F">
              <w:rPr>
                <w:rFonts w:eastAsia="Times New Roman" w:cs="Arial"/>
                <w:b/>
                <w:bCs/>
                <w:lang w:eastAsia="en-AU"/>
              </w:rPr>
              <w:t>TOTAL OTHER</w:t>
            </w:r>
          </w:p>
        </w:tc>
        <w:tc>
          <w:tcPr>
            <w:tcW w:w="1160" w:type="dxa"/>
            <w:tcBorders>
              <w:top w:val="nil"/>
              <w:left w:val="single" w:sz="8" w:space="0" w:color="auto"/>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603</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603</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475</w:t>
            </w:r>
          </w:p>
        </w:tc>
        <w:tc>
          <w:tcPr>
            <w:tcW w:w="980" w:type="dxa"/>
            <w:tcBorders>
              <w:top w:val="nil"/>
              <w:left w:val="nil"/>
              <w:bottom w:val="nil"/>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85</w:t>
            </w:r>
          </w:p>
        </w:tc>
        <w:tc>
          <w:tcPr>
            <w:tcW w:w="980" w:type="dxa"/>
            <w:tcBorders>
              <w:top w:val="nil"/>
              <w:left w:val="nil"/>
              <w:bottom w:val="nil"/>
              <w:right w:val="nil"/>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43</w:t>
            </w:r>
          </w:p>
        </w:tc>
        <w:tc>
          <w:tcPr>
            <w:tcW w:w="1200" w:type="dxa"/>
            <w:tcBorders>
              <w:top w:val="nil"/>
              <w:left w:val="single" w:sz="12" w:space="0" w:color="auto"/>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1,390</w:t>
            </w:r>
          </w:p>
        </w:tc>
        <w:tc>
          <w:tcPr>
            <w:tcW w:w="1200" w:type="dxa"/>
            <w:tcBorders>
              <w:top w:val="nil"/>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560</w:t>
            </w:r>
          </w:p>
        </w:tc>
        <w:tc>
          <w:tcPr>
            <w:tcW w:w="1200" w:type="dxa"/>
            <w:tcBorders>
              <w:top w:val="nil"/>
              <w:left w:val="nil"/>
              <w:bottom w:val="nil"/>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580</w:t>
            </w:r>
          </w:p>
        </w:tc>
      </w:tr>
      <w:tr w:rsidR="0022569F" w:rsidRPr="0022569F" w:rsidTr="000A3457">
        <w:trPr>
          <w:trHeight w:val="645"/>
        </w:trPr>
        <w:tc>
          <w:tcPr>
            <w:tcW w:w="3954"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22569F" w:rsidRPr="0022569F" w:rsidRDefault="0022569F" w:rsidP="0022569F">
            <w:pPr>
              <w:rPr>
                <w:rFonts w:eastAsia="Times New Roman" w:cs="Arial"/>
                <w:b/>
                <w:bCs/>
                <w:sz w:val="28"/>
                <w:szCs w:val="28"/>
                <w:lang w:eastAsia="en-AU"/>
              </w:rPr>
            </w:pPr>
            <w:r w:rsidRPr="0022569F">
              <w:rPr>
                <w:rFonts w:eastAsia="Times New Roman" w:cs="Arial"/>
                <w:b/>
                <w:bCs/>
                <w:sz w:val="28"/>
                <w:szCs w:val="28"/>
                <w:lang w:eastAsia="en-AU"/>
              </w:rPr>
              <w:t>TOTAL ROADS AND DRAINAGE</w:t>
            </w:r>
          </w:p>
        </w:tc>
        <w:tc>
          <w:tcPr>
            <w:tcW w:w="1160" w:type="dxa"/>
            <w:tcBorders>
              <w:top w:val="single" w:sz="8" w:space="0" w:color="auto"/>
              <w:left w:val="single" w:sz="8" w:space="0" w:color="auto"/>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9,370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8,963</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407</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7,212</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948</w:t>
            </w:r>
          </w:p>
        </w:tc>
        <w:tc>
          <w:tcPr>
            <w:tcW w:w="980" w:type="dxa"/>
            <w:tcBorders>
              <w:top w:val="single" w:sz="8" w:space="0" w:color="auto"/>
              <w:left w:val="nil"/>
              <w:bottom w:val="single" w:sz="12" w:space="0" w:color="auto"/>
              <w:right w:val="nil"/>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1,210</w:t>
            </w:r>
          </w:p>
        </w:tc>
        <w:tc>
          <w:tcPr>
            <w:tcW w:w="120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12,913</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14,809</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rsidR="0022569F" w:rsidRPr="0022569F" w:rsidRDefault="0022569F" w:rsidP="0022569F">
            <w:pPr>
              <w:jc w:val="right"/>
              <w:rPr>
                <w:rFonts w:eastAsia="Times New Roman" w:cs="Arial"/>
                <w:b/>
                <w:bCs/>
                <w:color w:val="000000"/>
                <w:sz w:val="18"/>
                <w:szCs w:val="18"/>
                <w:lang w:eastAsia="en-AU"/>
              </w:rPr>
            </w:pPr>
            <w:r w:rsidRPr="0022569F">
              <w:rPr>
                <w:rFonts w:eastAsia="Times New Roman" w:cs="Arial"/>
                <w:b/>
                <w:bCs/>
                <w:color w:val="000000"/>
                <w:sz w:val="18"/>
                <w:szCs w:val="18"/>
                <w:lang w:eastAsia="en-AU"/>
              </w:rPr>
              <w:t>18,219</w:t>
            </w:r>
          </w:p>
        </w:tc>
      </w:tr>
    </w:tbl>
    <w:p w:rsidR="00EA4C19" w:rsidRDefault="0022569F" w:rsidP="0029462D">
      <w:pPr>
        <w:rPr>
          <w:rFonts w:ascii="Calibri" w:hAnsi="Calibri"/>
          <w:sz w:val="20"/>
          <w:szCs w:val="20"/>
          <w:lang w:eastAsia="en-AU"/>
        </w:rPr>
      </w:pPr>
      <w:r>
        <w:rPr>
          <w:rFonts w:eastAsia="Times New Roman" w:cs="Arial"/>
        </w:rPr>
        <w:lastRenderedPageBreak/>
        <w:fldChar w:fldCharType="end"/>
      </w:r>
      <w:r w:rsidR="00EA4C19">
        <w:rPr>
          <w:rFonts w:eastAsia="Times New Roman" w:cs="Arial"/>
        </w:rPr>
        <w:fldChar w:fldCharType="begin"/>
      </w:r>
      <w:r w:rsidR="00EA4C19">
        <w:rPr>
          <w:rFonts w:eastAsia="Times New Roman" w:cs="Arial"/>
        </w:rPr>
        <w:instrText xml:space="preserve"> LINK Excel.Sheet.12 "C:\\Users\\clim\\AppData\\Local\\Micro Focus\\Content Manager\\Offline Records (MP)\\Budget Document ~ Finance   Financial - Budgeting\\Budget Document 2020  21 - CWP Section 6.5 Capital Works Program ~ COVID.XLSX" "Budget Doc!R96C1:R110C11" \a \f 4 \h </w:instrText>
      </w:r>
      <w:r w:rsidR="00EA4C19">
        <w:rPr>
          <w:rFonts w:eastAsia="Times New Roman" w:cs="Arial"/>
        </w:rPr>
        <w:fldChar w:fldCharType="separate"/>
      </w:r>
    </w:p>
    <w:tbl>
      <w:tblPr>
        <w:tblW w:w="14400" w:type="dxa"/>
        <w:tblLook w:val="04A0" w:firstRow="1" w:lastRow="0" w:firstColumn="1" w:lastColumn="0" w:noHBand="0" w:noVBand="1"/>
      </w:tblPr>
      <w:tblGrid>
        <w:gridCol w:w="3760"/>
        <w:gridCol w:w="1160"/>
        <w:gridCol w:w="980"/>
        <w:gridCol w:w="980"/>
        <w:gridCol w:w="980"/>
        <w:gridCol w:w="980"/>
        <w:gridCol w:w="980"/>
        <w:gridCol w:w="980"/>
        <w:gridCol w:w="1200"/>
        <w:gridCol w:w="1200"/>
        <w:gridCol w:w="1200"/>
      </w:tblGrid>
      <w:tr w:rsidR="00EA4C19" w:rsidRPr="00EA4C19" w:rsidTr="00EA4C19">
        <w:trPr>
          <w:trHeight w:val="540"/>
        </w:trPr>
        <w:tc>
          <w:tcPr>
            <w:tcW w:w="1440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EA4C19" w:rsidRPr="00EA4C19" w:rsidRDefault="00EA4C19">
            <w:pPr>
              <w:jc w:val="center"/>
              <w:rPr>
                <w:rFonts w:eastAsia="Times New Roman" w:cs="Arial"/>
                <w:b/>
                <w:bCs/>
                <w:color w:val="FFFFFF"/>
                <w:sz w:val="28"/>
                <w:szCs w:val="28"/>
                <w:lang w:eastAsia="en-AU"/>
              </w:rPr>
            </w:pPr>
            <w:r w:rsidRPr="00EA4C19">
              <w:rPr>
                <w:rFonts w:eastAsia="Times New Roman" w:cs="Arial"/>
                <w:b/>
                <w:bCs/>
                <w:color w:val="FFFFFF"/>
                <w:sz w:val="28"/>
                <w:szCs w:val="28"/>
                <w:lang w:eastAsia="en-AU"/>
              </w:rPr>
              <w:t>CAPITAL EXPENDITURE PROGRAM 2020/21 TO 2023/24</w:t>
            </w:r>
          </w:p>
        </w:tc>
      </w:tr>
      <w:tr w:rsidR="00EA4C19" w:rsidRPr="00EA4C19" w:rsidTr="00EA4C19">
        <w:trPr>
          <w:trHeight w:val="58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EA4C19" w:rsidRPr="00EA4C19" w:rsidRDefault="00EA4C19" w:rsidP="00EA4C19">
            <w:pPr>
              <w:rPr>
                <w:rFonts w:eastAsia="Times New Roman" w:cs="Arial"/>
                <w:b/>
                <w:bCs/>
                <w:color w:val="FFFFFF"/>
                <w:sz w:val="20"/>
                <w:szCs w:val="20"/>
                <w:lang w:eastAsia="en-AU"/>
              </w:rPr>
            </w:pPr>
            <w:r w:rsidRPr="00EA4C19">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2023/24</w:t>
            </w:r>
          </w:p>
        </w:tc>
      </w:tr>
      <w:tr w:rsidR="00EA4C19" w:rsidRPr="00EA4C19" w:rsidTr="00EA4C19">
        <w:trPr>
          <w:trHeight w:val="690"/>
        </w:trPr>
        <w:tc>
          <w:tcPr>
            <w:tcW w:w="3760" w:type="dxa"/>
            <w:tcBorders>
              <w:top w:val="nil"/>
              <w:left w:val="single" w:sz="12" w:space="0" w:color="auto"/>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 xml:space="preserve">Others </w:t>
            </w:r>
            <w:proofErr w:type="spellStart"/>
            <w:r w:rsidRPr="00EA4C19">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r>
      <w:tr w:rsidR="00EA4C19" w:rsidRPr="00EA4C19" w:rsidTr="00EA4C19">
        <w:trPr>
          <w:trHeight w:val="31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EA4C19" w:rsidRPr="00EA4C19" w:rsidRDefault="00EA4C19" w:rsidP="00EA4C19">
            <w:pPr>
              <w:jc w:val="right"/>
              <w:rPr>
                <w:rFonts w:eastAsia="Times New Roman" w:cs="Arial"/>
                <w:b/>
                <w:bCs/>
                <w:color w:val="FFFFFF"/>
                <w:sz w:val="16"/>
                <w:szCs w:val="16"/>
                <w:lang w:eastAsia="en-AU"/>
              </w:rPr>
            </w:pPr>
            <w:r w:rsidRPr="00EA4C19">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r>
      <w:tr w:rsidR="00EA4C19" w:rsidRPr="00EA4C19" w:rsidTr="00EA4C19">
        <w:trPr>
          <w:trHeight w:val="735"/>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b/>
                <w:bCs/>
                <w:sz w:val="28"/>
                <w:szCs w:val="28"/>
                <w:lang w:eastAsia="en-AU"/>
              </w:rPr>
            </w:pPr>
            <w:r w:rsidRPr="00EA4C19">
              <w:rPr>
                <w:rFonts w:eastAsia="Times New Roman" w:cs="Arial"/>
                <w:b/>
                <w:bCs/>
                <w:sz w:val="28"/>
                <w:szCs w:val="28"/>
                <w:lang w:eastAsia="en-AU"/>
              </w:rPr>
              <w:t>RECREATIONAL IMPROVEMENTS</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r>
      <w:tr w:rsidR="00EA4C19" w:rsidRPr="00EA4C19" w:rsidTr="00EA4C19">
        <w:trPr>
          <w:trHeight w:val="6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b/>
                <w:bCs/>
                <w:lang w:eastAsia="en-AU"/>
              </w:rPr>
            </w:pPr>
            <w:r w:rsidRPr="00EA4C19">
              <w:rPr>
                <w:rFonts w:eastAsia="Times New Roman" w:cs="Arial"/>
                <w:b/>
                <w:bCs/>
                <w:lang w:eastAsia="en-AU"/>
              </w:rPr>
              <w:t xml:space="preserve">RECREATIONAL, LEISURE AND COMMUNITY FACILITIES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18"/>
                <w:szCs w:val="18"/>
                <w:lang w:eastAsia="en-AU"/>
              </w:rPr>
            </w:pPr>
            <w:r w:rsidRPr="00EA4C19">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sz w:val="18"/>
                <w:szCs w:val="18"/>
                <w:lang w:eastAsia="en-AU"/>
              </w:rPr>
            </w:pPr>
            <w:r w:rsidRPr="00EA4C19">
              <w:rPr>
                <w:rFonts w:eastAsia="Times New Roman" w:cs="Arial"/>
                <w:b/>
                <w:bCs/>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b/>
                <w:bCs/>
                <w:color w:val="FF0000"/>
                <w:sz w:val="18"/>
                <w:szCs w:val="18"/>
                <w:lang w:eastAsia="en-AU"/>
              </w:rPr>
            </w:pPr>
            <w:r w:rsidRPr="00EA4C19">
              <w:rPr>
                <w:rFonts w:eastAsia="Times New Roman" w:cs="Arial"/>
                <w:b/>
                <w:bCs/>
                <w:color w:val="FF0000"/>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18"/>
                <w:szCs w:val="18"/>
                <w:lang w:eastAsia="en-AU"/>
              </w:rPr>
            </w:pPr>
            <w:r w:rsidRPr="00EA4C19">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18"/>
                <w:szCs w:val="18"/>
                <w:lang w:eastAsia="en-AU"/>
              </w:rPr>
            </w:pPr>
            <w:r w:rsidRPr="00EA4C19">
              <w:rPr>
                <w:rFonts w:eastAsia="Times New Roman" w:cs="Arial"/>
                <w:b/>
                <w:bCs/>
                <w:color w:val="FF0000"/>
                <w:sz w:val="18"/>
                <w:szCs w:val="18"/>
                <w:lang w:eastAsia="en-AU"/>
              </w:rPr>
              <w:t> </w:t>
            </w:r>
          </w:p>
        </w:tc>
      </w:tr>
      <w:tr w:rsidR="00EA4C19" w:rsidRPr="00EA4C19" w:rsidTr="00EA4C19">
        <w:trPr>
          <w:trHeight w:val="12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proofErr w:type="spellStart"/>
            <w:r w:rsidRPr="00EA4C19">
              <w:rPr>
                <w:rFonts w:eastAsia="Times New Roman" w:cs="Arial"/>
                <w:sz w:val="18"/>
                <w:szCs w:val="18"/>
                <w:lang w:eastAsia="en-AU"/>
              </w:rPr>
              <w:t>Sportsfield</w:t>
            </w:r>
            <w:proofErr w:type="spellEnd"/>
            <w:r w:rsidRPr="00EA4C19">
              <w:rPr>
                <w:rFonts w:eastAsia="Times New Roman" w:cs="Arial"/>
                <w:sz w:val="18"/>
                <w:szCs w:val="18"/>
                <w:lang w:eastAsia="en-AU"/>
              </w:rPr>
              <w:t xml:space="preserve"> Improvement Program </w:t>
            </w:r>
            <w:r w:rsidRPr="00EA4C19">
              <w:rPr>
                <w:rFonts w:eastAsia="Times New Roman" w:cs="Arial"/>
                <w:sz w:val="18"/>
                <w:szCs w:val="18"/>
                <w:lang w:eastAsia="en-AU"/>
              </w:rPr>
              <w:br/>
              <w:t xml:space="preserve">- North Ringwood Reserve </w:t>
            </w:r>
            <w:proofErr w:type="spellStart"/>
            <w:r w:rsidRPr="00EA4C19">
              <w:rPr>
                <w:rFonts w:eastAsia="Times New Roman" w:cs="Arial"/>
                <w:sz w:val="18"/>
                <w:szCs w:val="18"/>
                <w:lang w:eastAsia="en-AU"/>
              </w:rPr>
              <w:t>Sportsfield</w:t>
            </w:r>
            <w:proofErr w:type="spellEnd"/>
            <w:r w:rsidRPr="00EA4C19">
              <w:rPr>
                <w:rFonts w:eastAsia="Times New Roman" w:cs="Arial"/>
                <w:sz w:val="18"/>
                <w:szCs w:val="18"/>
                <w:lang w:eastAsia="en-AU"/>
              </w:rPr>
              <w:br/>
              <w:t xml:space="preserve">- Ringwood Soccer Synthetic </w:t>
            </w:r>
            <w:proofErr w:type="spellStart"/>
            <w:r w:rsidRPr="00EA4C19">
              <w:rPr>
                <w:rFonts w:eastAsia="Times New Roman" w:cs="Arial"/>
                <w:sz w:val="18"/>
                <w:szCs w:val="18"/>
                <w:lang w:eastAsia="en-AU"/>
              </w:rPr>
              <w:t>Sportsfield</w:t>
            </w:r>
            <w:proofErr w:type="spellEnd"/>
            <w:r w:rsidRPr="00EA4C19">
              <w:rPr>
                <w:rFonts w:eastAsia="Times New Roman" w:cs="Arial"/>
                <w:sz w:val="18"/>
                <w:szCs w:val="18"/>
                <w:lang w:eastAsia="en-AU"/>
              </w:rPr>
              <w:br/>
              <w:t xml:space="preserve">- Silcock Reserve </w:t>
            </w:r>
            <w:proofErr w:type="spellStart"/>
            <w:r w:rsidRPr="00EA4C19">
              <w:rPr>
                <w:rFonts w:eastAsia="Times New Roman" w:cs="Arial"/>
                <w:sz w:val="18"/>
                <w:szCs w:val="18"/>
                <w:lang w:eastAsia="en-AU"/>
              </w:rPr>
              <w:t>Sportsfields</w:t>
            </w:r>
            <w:proofErr w:type="spellEnd"/>
            <w:r w:rsidRPr="00EA4C19">
              <w:rPr>
                <w:rFonts w:eastAsia="Times New Roman" w:cs="Arial"/>
                <w:sz w:val="18"/>
                <w:szCs w:val="18"/>
                <w:lang w:eastAsia="en-AU"/>
              </w:rPr>
              <w:br/>
              <w:t xml:space="preserve">- Dorset Reserve Soccer </w:t>
            </w:r>
            <w:proofErr w:type="spellStart"/>
            <w:r w:rsidRPr="00EA4C19">
              <w:rPr>
                <w:rFonts w:eastAsia="Times New Roman" w:cs="Arial"/>
                <w:sz w:val="18"/>
                <w:szCs w:val="18"/>
                <w:lang w:eastAsia="en-AU"/>
              </w:rPr>
              <w:t>Sportsfields</w:t>
            </w:r>
            <w:proofErr w:type="spellEnd"/>
          </w:p>
        </w:tc>
        <w:tc>
          <w:tcPr>
            <w:tcW w:w="1160" w:type="dxa"/>
            <w:tcBorders>
              <w:top w:val="nil"/>
              <w:left w:val="single" w:sz="12" w:space="0" w:color="auto"/>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1,900</w:t>
            </w:r>
          </w:p>
        </w:tc>
        <w:tc>
          <w:tcPr>
            <w:tcW w:w="980" w:type="dxa"/>
            <w:tcBorders>
              <w:top w:val="nil"/>
              <w:left w:val="nil"/>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1,900</w:t>
            </w:r>
          </w:p>
        </w:tc>
        <w:tc>
          <w:tcPr>
            <w:tcW w:w="980" w:type="dxa"/>
            <w:tcBorders>
              <w:top w:val="nil"/>
              <w:left w:val="nil"/>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1,900</w:t>
            </w:r>
          </w:p>
        </w:tc>
        <w:tc>
          <w:tcPr>
            <w:tcW w:w="980" w:type="dxa"/>
            <w:tcBorders>
              <w:top w:val="nil"/>
              <w:left w:val="nil"/>
              <w:bottom w:val="dashed" w:sz="4" w:space="0" w:color="auto"/>
              <w:right w:val="dashed" w:sz="4"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dashed" w:sz="4"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1,050</w:t>
            </w:r>
          </w:p>
        </w:tc>
        <w:tc>
          <w:tcPr>
            <w:tcW w:w="1200" w:type="dxa"/>
            <w:tcBorders>
              <w:top w:val="nil"/>
              <w:left w:val="nil"/>
              <w:bottom w:val="dashed" w:sz="4" w:space="0" w:color="auto"/>
              <w:right w:val="single" w:sz="12" w:space="0" w:color="auto"/>
            </w:tcBorders>
            <w:shd w:val="clear" w:color="auto" w:fill="auto"/>
            <w:noWrap/>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1,100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proofErr w:type="spellStart"/>
            <w:r w:rsidRPr="00EA4C19">
              <w:rPr>
                <w:rFonts w:eastAsia="Times New Roman" w:cs="Arial"/>
                <w:sz w:val="18"/>
                <w:szCs w:val="18"/>
                <w:lang w:eastAsia="en-AU"/>
              </w:rPr>
              <w:t>Sportsfield</w:t>
            </w:r>
            <w:proofErr w:type="spellEnd"/>
            <w:r w:rsidRPr="00EA4C19">
              <w:rPr>
                <w:rFonts w:eastAsia="Times New Roman" w:cs="Arial"/>
                <w:sz w:val="18"/>
                <w:szCs w:val="18"/>
                <w:lang w:eastAsia="en-AU"/>
              </w:rPr>
              <w:t xml:space="preserve"> Lighting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154</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154</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123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31</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250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250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270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proofErr w:type="spellStart"/>
            <w:r w:rsidRPr="00EA4C19">
              <w:rPr>
                <w:rFonts w:eastAsia="Times New Roman" w:cs="Arial"/>
                <w:sz w:val="18"/>
                <w:szCs w:val="18"/>
                <w:lang w:eastAsia="en-AU"/>
              </w:rPr>
              <w:t>Sportsfield</w:t>
            </w:r>
            <w:proofErr w:type="spellEnd"/>
            <w:r w:rsidRPr="00EA4C19">
              <w:rPr>
                <w:rFonts w:eastAsia="Times New Roman" w:cs="Arial"/>
                <w:sz w:val="18"/>
                <w:szCs w:val="18"/>
                <w:lang w:eastAsia="en-AU"/>
              </w:rPr>
              <w:t xml:space="preserve"> Irrigation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80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80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90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Golf Course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115</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135</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500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500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500</w:t>
            </w:r>
          </w:p>
        </w:tc>
      </w:tr>
      <w:tr w:rsidR="00EA4C19" w:rsidRPr="00EA4C19" w:rsidTr="00EA4C19">
        <w:trPr>
          <w:trHeight w:val="48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Sport and Recreation Infrastructure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203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203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203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310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310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320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Sports Oval Fence Replacement (</w:t>
            </w:r>
            <w:proofErr w:type="gramStart"/>
            <w:r w:rsidRPr="00EA4C19">
              <w:rPr>
                <w:rFonts w:eastAsia="Times New Roman" w:cs="Arial"/>
                <w:sz w:val="18"/>
                <w:szCs w:val="18"/>
                <w:lang w:eastAsia="en-AU"/>
              </w:rPr>
              <w:t xml:space="preserve">ongoing)   </w:t>
            </w:r>
            <w:proofErr w:type="gramEnd"/>
            <w:r w:rsidRPr="00EA4C19">
              <w:rPr>
                <w:rFonts w:eastAsia="Times New Roman" w:cs="Arial"/>
                <w:sz w:val="18"/>
                <w:szCs w:val="18"/>
                <w:lang w:eastAsia="en-AU"/>
              </w:rPr>
              <w:t xml:space="preserve">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75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85</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Bedford Park Advisory Group Project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36</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36</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36</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Integrated Monitoring Project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19</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19</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19</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18"/>
                <w:szCs w:val="18"/>
                <w:lang w:eastAsia="en-AU"/>
              </w:rPr>
            </w:pPr>
            <w:r w:rsidRPr="00EA4C19">
              <w:rPr>
                <w:rFonts w:eastAsia="Times New Roman" w:cs="Arial"/>
                <w:color w:val="000000"/>
                <w:sz w:val="18"/>
                <w:szCs w:val="18"/>
                <w:lang w:eastAsia="en-AU"/>
              </w:rPr>
              <w:t> </w:t>
            </w:r>
          </w:p>
        </w:tc>
      </w:tr>
      <w:tr w:rsidR="00EA4C19" w:rsidRPr="00EA4C19" w:rsidTr="00EA4C19">
        <w:trPr>
          <w:trHeight w:val="720"/>
        </w:trPr>
        <w:tc>
          <w:tcPr>
            <w:tcW w:w="3760" w:type="dxa"/>
            <w:tcBorders>
              <w:top w:val="nil"/>
              <w:left w:val="single" w:sz="12" w:space="0" w:color="auto"/>
              <w:bottom w:val="single" w:sz="12" w:space="0" w:color="auto"/>
              <w:right w:val="nil"/>
            </w:tcBorders>
            <w:shd w:val="clear" w:color="auto" w:fill="auto"/>
            <w:vAlign w:val="bottom"/>
            <w:hideMark/>
          </w:tcPr>
          <w:p w:rsidR="00EA4C19" w:rsidRPr="00EA4C19" w:rsidRDefault="00EA4C19" w:rsidP="00EA4C19">
            <w:pPr>
              <w:rPr>
                <w:rFonts w:eastAsia="Times New Roman" w:cs="Arial"/>
                <w:b/>
                <w:bCs/>
                <w:lang w:eastAsia="en-AU"/>
              </w:rPr>
            </w:pPr>
            <w:r w:rsidRPr="00EA4C19">
              <w:rPr>
                <w:rFonts w:eastAsia="Times New Roman" w:cs="Arial"/>
                <w:b/>
                <w:bCs/>
                <w:lang w:eastAsia="en-AU"/>
              </w:rPr>
              <w:t>TOTAL RECREATIONAL, LEISURE AND COMMUNITY FACILITIES</w:t>
            </w:r>
          </w:p>
        </w:tc>
        <w:tc>
          <w:tcPr>
            <w:tcW w:w="1160" w:type="dxa"/>
            <w:tcBorders>
              <w:top w:val="nil"/>
              <w:left w:val="single" w:sz="12" w:space="0" w:color="auto"/>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2,702</w:t>
            </w:r>
          </w:p>
        </w:tc>
        <w:tc>
          <w:tcPr>
            <w:tcW w:w="980" w:type="dxa"/>
            <w:tcBorders>
              <w:top w:val="nil"/>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2,666</w:t>
            </w:r>
          </w:p>
        </w:tc>
        <w:tc>
          <w:tcPr>
            <w:tcW w:w="980" w:type="dxa"/>
            <w:tcBorders>
              <w:top w:val="nil"/>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0</w:t>
            </w:r>
          </w:p>
        </w:tc>
        <w:tc>
          <w:tcPr>
            <w:tcW w:w="980" w:type="dxa"/>
            <w:tcBorders>
              <w:top w:val="nil"/>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36</w:t>
            </w:r>
          </w:p>
        </w:tc>
        <w:tc>
          <w:tcPr>
            <w:tcW w:w="980" w:type="dxa"/>
            <w:tcBorders>
              <w:top w:val="nil"/>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2,517</w:t>
            </w:r>
          </w:p>
        </w:tc>
        <w:tc>
          <w:tcPr>
            <w:tcW w:w="980" w:type="dxa"/>
            <w:tcBorders>
              <w:top w:val="nil"/>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166</w:t>
            </w:r>
          </w:p>
        </w:tc>
        <w:tc>
          <w:tcPr>
            <w:tcW w:w="980" w:type="dxa"/>
            <w:tcBorders>
              <w:top w:val="nil"/>
              <w:left w:val="nil"/>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19</w:t>
            </w:r>
          </w:p>
        </w:tc>
        <w:tc>
          <w:tcPr>
            <w:tcW w:w="1200" w:type="dxa"/>
            <w:tcBorders>
              <w:top w:val="nil"/>
              <w:left w:val="nil"/>
              <w:bottom w:val="single" w:sz="12" w:space="0" w:color="auto"/>
              <w:right w:val="nil"/>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1,251</w:t>
            </w:r>
          </w:p>
        </w:tc>
        <w:tc>
          <w:tcPr>
            <w:tcW w:w="1200" w:type="dxa"/>
            <w:tcBorders>
              <w:top w:val="nil"/>
              <w:left w:val="single" w:sz="12" w:space="0" w:color="auto"/>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2,301</w:t>
            </w:r>
          </w:p>
        </w:tc>
        <w:tc>
          <w:tcPr>
            <w:tcW w:w="1200" w:type="dxa"/>
            <w:tcBorders>
              <w:top w:val="nil"/>
              <w:left w:val="nil"/>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18"/>
                <w:szCs w:val="18"/>
                <w:lang w:eastAsia="en-AU"/>
              </w:rPr>
            </w:pPr>
            <w:r w:rsidRPr="00EA4C19">
              <w:rPr>
                <w:rFonts w:eastAsia="Times New Roman" w:cs="Arial"/>
                <w:b/>
                <w:bCs/>
                <w:color w:val="000000"/>
                <w:sz w:val="18"/>
                <w:szCs w:val="18"/>
                <w:lang w:eastAsia="en-AU"/>
              </w:rPr>
              <w:t>2,401</w:t>
            </w:r>
          </w:p>
        </w:tc>
      </w:tr>
    </w:tbl>
    <w:p w:rsidR="0022569F" w:rsidRDefault="00EA4C19" w:rsidP="0029462D">
      <w:pPr>
        <w:rPr>
          <w:rFonts w:eastAsia="Times New Roman" w:cs="Arial"/>
        </w:rPr>
      </w:pPr>
      <w:r>
        <w:rPr>
          <w:rFonts w:eastAsia="Times New Roman" w:cs="Arial"/>
        </w:rPr>
        <w:fldChar w:fldCharType="end"/>
      </w:r>
    </w:p>
    <w:p w:rsidR="00EA4C19" w:rsidRDefault="00EA4C19" w:rsidP="0029462D">
      <w:pPr>
        <w:rPr>
          <w:rFonts w:eastAsia="Times New Roman" w:cs="Arial"/>
        </w:rPr>
      </w:pPr>
    </w:p>
    <w:p w:rsidR="00EA4C19" w:rsidRDefault="00EA4C19" w:rsidP="0029462D">
      <w:pPr>
        <w:rPr>
          <w:rFonts w:eastAsia="Times New Roman" w:cs="Arial"/>
        </w:rPr>
      </w:pPr>
    </w:p>
    <w:p w:rsidR="00EA4C19" w:rsidRDefault="00EA4C19" w:rsidP="0029462D">
      <w:pPr>
        <w:rPr>
          <w:rFonts w:eastAsia="Times New Roman" w:cs="Arial"/>
        </w:rPr>
      </w:pPr>
    </w:p>
    <w:p w:rsidR="00EA4C19" w:rsidRDefault="00EA4C19" w:rsidP="0029462D">
      <w:pPr>
        <w:rPr>
          <w:rFonts w:eastAsia="Times New Roman" w:cs="Arial"/>
        </w:rPr>
      </w:pPr>
    </w:p>
    <w:p w:rsidR="00EA4C19" w:rsidRDefault="00EA4C19"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Document 2020  21 - CWP Section 6.5 Capital Works Program ~ COVID.XLSX" "Budget Doc!R113C1:R129C11" \a \f 4 \h </w:instrText>
      </w:r>
      <w:r>
        <w:fldChar w:fldCharType="separate"/>
      </w:r>
    </w:p>
    <w:tbl>
      <w:tblPr>
        <w:tblW w:w="14400" w:type="dxa"/>
        <w:tblLook w:val="04A0" w:firstRow="1" w:lastRow="0" w:firstColumn="1" w:lastColumn="0" w:noHBand="0" w:noVBand="1"/>
      </w:tblPr>
      <w:tblGrid>
        <w:gridCol w:w="3760"/>
        <w:gridCol w:w="1160"/>
        <w:gridCol w:w="980"/>
        <w:gridCol w:w="980"/>
        <w:gridCol w:w="980"/>
        <w:gridCol w:w="980"/>
        <w:gridCol w:w="980"/>
        <w:gridCol w:w="980"/>
        <w:gridCol w:w="1200"/>
        <w:gridCol w:w="1200"/>
        <w:gridCol w:w="1200"/>
      </w:tblGrid>
      <w:tr w:rsidR="00EA4C19" w:rsidRPr="00EA4C19" w:rsidTr="00EA4C19">
        <w:trPr>
          <w:trHeight w:val="540"/>
        </w:trPr>
        <w:tc>
          <w:tcPr>
            <w:tcW w:w="1440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EA4C19" w:rsidRPr="00EA4C19" w:rsidRDefault="00EA4C19" w:rsidP="00EA4C19">
            <w:pPr>
              <w:jc w:val="center"/>
              <w:rPr>
                <w:rFonts w:eastAsia="Times New Roman" w:cs="Arial"/>
                <w:b/>
                <w:bCs/>
                <w:color w:val="FFFFFF"/>
                <w:sz w:val="28"/>
                <w:szCs w:val="28"/>
                <w:lang w:eastAsia="en-AU"/>
              </w:rPr>
            </w:pPr>
            <w:r w:rsidRPr="00EA4C19">
              <w:rPr>
                <w:rFonts w:eastAsia="Times New Roman" w:cs="Arial"/>
                <w:b/>
                <w:bCs/>
                <w:color w:val="FFFFFF"/>
                <w:sz w:val="28"/>
                <w:szCs w:val="28"/>
                <w:lang w:eastAsia="en-AU"/>
              </w:rPr>
              <w:t>CAPITAL EXPENDITURE PROGRAM 2020/21 TO 2023/24</w:t>
            </w:r>
          </w:p>
        </w:tc>
      </w:tr>
      <w:tr w:rsidR="00EA4C19" w:rsidRPr="00EA4C19" w:rsidTr="00EA4C19">
        <w:trPr>
          <w:trHeight w:val="58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EA4C19" w:rsidRPr="00EA4C19" w:rsidRDefault="00EA4C19" w:rsidP="00EA4C19">
            <w:pPr>
              <w:rPr>
                <w:rFonts w:eastAsia="Times New Roman" w:cs="Arial"/>
                <w:b/>
                <w:bCs/>
                <w:color w:val="FFFFFF"/>
                <w:sz w:val="20"/>
                <w:szCs w:val="20"/>
                <w:lang w:eastAsia="en-AU"/>
              </w:rPr>
            </w:pPr>
            <w:r w:rsidRPr="00EA4C19">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2020/21</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2021/22</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20"/>
                <w:szCs w:val="20"/>
                <w:lang w:eastAsia="en-AU"/>
              </w:rPr>
            </w:pPr>
            <w:r w:rsidRPr="00EA4C19">
              <w:rPr>
                <w:rFonts w:eastAsia="Times New Roman" w:cs="Arial"/>
                <w:b/>
                <w:bCs/>
                <w:color w:val="FFFFFF"/>
                <w:sz w:val="20"/>
                <w:szCs w:val="20"/>
                <w:lang w:eastAsia="en-AU"/>
              </w:rPr>
              <w:t>Budget 2023/24</w:t>
            </w:r>
          </w:p>
        </w:tc>
      </w:tr>
      <w:tr w:rsidR="00EA4C19" w:rsidRPr="00EA4C19" w:rsidTr="00EA4C19">
        <w:trPr>
          <w:trHeight w:val="690"/>
        </w:trPr>
        <w:tc>
          <w:tcPr>
            <w:tcW w:w="3760" w:type="dxa"/>
            <w:tcBorders>
              <w:top w:val="nil"/>
              <w:left w:val="single" w:sz="12" w:space="0" w:color="auto"/>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 xml:space="preserve">Others </w:t>
            </w:r>
            <w:proofErr w:type="spellStart"/>
            <w:r w:rsidRPr="00EA4C19">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Total Expenditure</w:t>
            </w:r>
          </w:p>
        </w:tc>
      </w:tr>
      <w:tr w:rsidR="00EA4C19" w:rsidRPr="00EA4C19" w:rsidTr="00EA4C19">
        <w:trPr>
          <w:trHeight w:val="315"/>
        </w:trPr>
        <w:tc>
          <w:tcPr>
            <w:tcW w:w="3760" w:type="dxa"/>
            <w:tcBorders>
              <w:top w:val="nil"/>
              <w:left w:val="single" w:sz="12" w:space="0" w:color="auto"/>
              <w:bottom w:val="single" w:sz="12" w:space="0" w:color="auto"/>
              <w:right w:val="single" w:sz="12" w:space="0" w:color="auto"/>
            </w:tcBorders>
            <w:shd w:val="clear" w:color="000000" w:fill="629DD1"/>
            <w:noWrap/>
            <w:vAlign w:val="center"/>
            <w:hideMark/>
          </w:tcPr>
          <w:p w:rsidR="00EA4C19" w:rsidRPr="00EA4C19" w:rsidRDefault="00EA4C19" w:rsidP="00EA4C19">
            <w:pPr>
              <w:jc w:val="right"/>
              <w:rPr>
                <w:rFonts w:eastAsia="Times New Roman" w:cs="Arial"/>
                <w:b/>
                <w:bCs/>
                <w:color w:val="FFFFFF"/>
                <w:sz w:val="16"/>
                <w:szCs w:val="16"/>
                <w:lang w:eastAsia="en-AU"/>
              </w:rPr>
            </w:pPr>
            <w:r w:rsidRPr="00EA4C19">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rsidR="00EA4C19" w:rsidRPr="00EA4C19" w:rsidRDefault="00EA4C19" w:rsidP="00EA4C19">
            <w:pPr>
              <w:jc w:val="center"/>
              <w:rPr>
                <w:rFonts w:eastAsia="Times New Roman" w:cs="Arial"/>
                <w:b/>
                <w:bCs/>
                <w:color w:val="FFFFFF"/>
                <w:sz w:val="16"/>
                <w:szCs w:val="16"/>
                <w:lang w:eastAsia="en-AU"/>
              </w:rPr>
            </w:pPr>
            <w:r w:rsidRPr="00EA4C19">
              <w:rPr>
                <w:rFonts w:eastAsia="Times New Roman" w:cs="Arial"/>
                <w:b/>
                <w:bCs/>
                <w:color w:val="FFFFFF"/>
                <w:sz w:val="16"/>
                <w:szCs w:val="16"/>
                <w:lang w:eastAsia="en-AU"/>
              </w:rPr>
              <w:t>$000</w:t>
            </w:r>
          </w:p>
        </w:tc>
      </w:tr>
      <w:tr w:rsidR="00EA4C19" w:rsidRPr="00EA4C19" w:rsidTr="00EA4C19">
        <w:trPr>
          <w:trHeight w:val="111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b/>
                <w:bCs/>
                <w:sz w:val="28"/>
                <w:szCs w:val="28"/>
                <w:lang w:eastAsia="en-AU"/>
              </w:rPr>
            </w:pPr>
            <w:r w:rsidRPr="00EA4C19">
              <w:rPr>
                <w:rFonts w:eastAsia="Times New Roman" w:cs="Arial"/>
                <w:b/>
                <w:bCs/>
                <w:sz w:val="28"/>
                <w:szCs w:val="28"/>
                <w:lang w:eastAsia="en-AU"/>
              </w:rPr>
              <w:t>RECREATIONAL IMPROVEMENTS Continuation…</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r>
      <w:tr w:rsidR="00EA4C19" w:rsidRPr="00EA4C19" w:rsidTr="00EA4C19">
        <w:trPr>
          <w:trHeight w:val="300"/>
        </w:trPr>
        <w:tc>
          <w:tcPr>
            <w:tcW w:w="3760" w:type="dxa"/>
            <w:tcBorders>
              <w:top w:val="single" w:sz="8" w:space="0" w:color="auto"/>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b/>
                <w:bCs/>
                <w:lang w:eastAsia="en-AU"/>
              </w:rPr>
            </w:pPr>
            <w:r w:rsidRPr="00EA4C19">
              <w:rPr>
                <w:rFonts w:eastAsia="Times New Roman" w:cs="Arial"/>
                <w:b/>
                <w:bCs/>
                <w:lang w:eastAsia="en-AU"/>
              </w:rPr>
              <w:t>PARKS AND OPEN SPACE</w:t>
            </w:r>
          </w:p>
        </w:tc>
        <w:tc>
          <w:tcPr>
            <w:tcW w:w="1160" w:type="dxa"/>
            <w:tcBorders>
              <w:top w:val="single" w:sz="8" w:space="0" w:color="auto"/>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20"/>
                <w:szCs w:val="20"/>
                <w:lang w:eastAsia="en-AU"/>
              </w:rPr>
            </w:pPr>
            <w:r w:rsidRPr="00EA4C19">
              <w:rPr>
                <w:rFonts w:eastAsia="Times New Roman" w:cs="Arial"/>
                <w:b/>
                <w:bCs/>
                <w:color w:val="FF0000"/>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980" w:type="dxa"/>
            <w:tcBorders>
              <w:top w:val="single" w:sz="8" w:space="0" w:color="auto"/>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sz w:val="20"/>
                <w:szCs w:val="20"/>
                <w:lang w:eastAsia="en-AU"/>
              </w:rPr>
            </w:pPr>
            <w:r w:rsidRPr="00EA4C19">
              <w:rPr>
                <w:rFonts w:eastAsia="Times New Roman" w:cs="Arial"/>
                <w:b/>
                <w:bCs/>
                <w:sz w:val="20"/>
                <w:szCs w:val="20"/>
                <w:lang w:eastAsia="en-AU"/>
              </w:rPr>
              <w:t> </w:t>
            </w:r>
          </w:p>
        </w:tc>
        <w:tc>
          <w:tcPr>
            <w:tcW w:w="1200" w:type="dxa"/>
            <w:tcBorders>
              <w:top w:val="single" w:sz="8" w:space="0" w:color="auto"/>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b/>
                <w:bCs/>
                <w:color w:val="FF0000"/>
                <w:sz w:val="20"/>
                <w:szCs w:val="20"/>
                <w:lang w:eastAsia="en-AU"/>
              </w:rPr>
            </w:pPr>
            <w:r w:rsidRPr="00EA4C19">
              <w:rPr>
                <w:rFonts w:eastAsia="Times New Roman" w:cs="Arial"/>
                <w:b/>
                <w:bCs/>
                <w:color w:val="FF0000"/>
                <w:sz w:val="20"/>
                <w:szCs w:val="20"/>
                <w:lang w:eastAsia="en-AU"/>
              </w:rPr>
              <w:t> </w:t>
            </w:r>
          </w:p>
        </w:tc>
        <w:tc>
          <w:tcPr>
            <w:tcW w:w="1200" w:type="dxa"/>
            <w:tcBorders>
              <w:top w:val="single" w:sz="8" w:space="0" w:color="auto"/>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20"/>
                <w:szCs w:val="20"/>
                <w:lang w:eastAsia="en-AU"/>
              </w:rPr>
            </w:pPr>
            <w:r w:rsidRPr="00EA4C19">
              <w:rPr>
                <w:rFonts w:eastAsia="Times New Roman" w:cs="Arial"/>
                <w:b/>
                <w:bCs/>
                <w:color w:val="FF0000"/>
                <w:sz w:val="20"/>
                <w:szCs w:val="20"/>
                <w:lang w:eastAsia="en-AU"/>
              </w:rPr>
              <w:t> </w:t>
            </w:r>
          </w:p>
        </w:tc>
        <w:tc>
          <w:tcPr>
            <w:tcW w:w="1200" w:type="dxa"/>
            <w:tcBorders>
              <w:top w:val="single" w:sz="8" w:space="0" w:color="auto"/>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FF0000"/>
                <w:sz w:val="20"/>
                <w:szCs w:val="20"/>
                <w:lang w:eastAsia="en-AU"/>
              </w:rPr>
            </w:pPr>
            <w:r w:rsidRPr="00EA4C19">
              <w:rPr>
                <w:rFonts w:eastAsia="Times New Roman" w:cs="Arial"/>
                <w:b/>
                <w:bCs/>
                <w:color w:val="FF0000"/>
                <w:sz w:val="20"/>
                <w:szCs w:val="20"/>
                <w:lang w:eastAsia="en-AU"/>
              </w:rPr>
              <w:t> </w:t>
            </w:r>
          </w:p>
        </w:tc>
      </w:tr>
      <w:tr w:rsidR="00EA4C19" w:rsidRPr="00EA4C19" w:rsidTr="00EA4C19">
        <w:trPr>
          <w:trHeight w:val="48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Open Space Playground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476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476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426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50</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735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735</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555</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Open Space Lighting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34</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34</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17</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17</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50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60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Open Space Pathway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43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43</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22</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22</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60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60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70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Open Space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306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306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131</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175</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375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375</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85</w:t>
            </w:r>
          </w:p>
        </w:tc>
      </w:tr>
      <w:tr w:rsidR="00EA4C19" w:rsidRPr="00EA4C19" w:rsidTr="00EA4C19">
        <w:trPr>
          <w:trHeight w:val="48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Open Space Footbridge and Boardwalk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210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210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220</w:t>
            </w:r>
          </w:p>
        </w:tc>
      </w:tr>
      <w:tr w:rsidR="00EA4C19" w:rsidRPr="00EA4C19" w:rsidTr="00EA4C19">
        <w:trPr>
          <w:trHeight w:val="48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Committees of Management Open Space Improvements</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20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20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10</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20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20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20</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Tree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536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536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536</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685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685</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685</w:t>
            </w:r>
          </w:p>
        </w:tc>
      </w:tr>
      <w:tr w:rsidR="00EA4C19" w:rsidRPr="00EA4C19" w:rsidTr="00EA4C19">
        <w:trPr>
          <w:trHeight w:val="300"/>
        </w:trPr>
        <w:tc>
          <w:tcPr>
            <w:tcW w:w="3760" w:type="dxa"/>
            <w:tcBorders>
              <w:top w:val="nil"/>
              <w:left w:val="single" w:sz="12" w:space="0" w:color="auto"/>
              <w:bottom w:val="dashed" w:sz="4" w:space="0" w:color="auto"/>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Bushland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18"/>
                <w:szCs w:val="18"/>
                <w:lang w:eastAsia="en-AU"/>
              </w:rPr>
            </w:pPr>
            <w:r w:rsidRPr="00EA4C19">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50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color w:val="000000"/>
                <w:sz w:val="20"/>
                <w:szCs w:val="20"/>
                <w:lang w:eastAsia="en-AU"/>
              </w:rPr>
            </w:pPr>
            <w:r w:rsidRPr="00EA4C19">
              <w:rPr>
                <w:rFonts w:eastAsia="Times New Roman" w:cs="Arial"/>
                <w:color w:val="000000"/>
                <w:sz w:val="20"/>
                <w:szCs w:val="20"/>
                <w:lang w:eastAsia="en-AU"/>
              </w:rPr>
              <w:t>60</w:t>
            </w:r>
          </w:p>
        </w:tc>
      </w:tr>
      <w:tr w:rsidR="00EA4C19" w:rsidRPr="00EA4C19" w:rsidTr="00EA4C19">
        <w:trPr>
          <w:trHeight w:val="600"/>
        </w:trPr>
        <w:tc>
          <w:tcPr>
            <w:tcW w:w="3760" w:type="dxa"/>
            <w:tcBorders>
              <w:top w:val="nil"/>
              <w:left w:val="single" w:sz="12" w:space="0" w:color="auto"/>
              <w:bottom w:val="dashed" w:sz="4" w:space="0" w:color="auto"/>
              <w:right w:val="nil"/>
            </w:tcBorders>
            <w:shd w:val="clear" w:color="auto" w:fill="auto"/>
            <w:vAlign w:val="bottom"/>
            <w:hideMark/>
          </w:tcPr>
          <w:p w:rsidR="00EA4C19" w:rsidRPr="00EA4C19" w:rsidRDefault="00EA4C19" w:rsidP="00EA4C19">
            <w:pPr>
              <w:rPr>
                <w:rFonts w:eastAsia="Times New Roman" w:cs="Arial"/>
                <w:b/>
                <w:bCs/>
                <w:lang w:eastAsia="en-AU"/>
              </w:rPr>
            </w:pPr>
            <w:r w:rsidRPr="00EA4C19">
              <w:rPr>
                <w:rFonts w:eastAsia="Times New Roman" w:cs="Arial"/>
                <w:b/>
                <w:bCs/>
                <w:lang w:eastAsia="en-AU"/>
              </w:rPr>
              <w:t>TOTAL PARKS AND OPEN SPACE</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1,415</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1,415</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606</w:t>
            </w:r>
          </w:p>
        </w:tc>
        <w:tc>
          <w:tcPr>
            <w:tcW w:w="980" w:type="dxa"/>
            <w:tcBorders>
              <w:top w:val="nil"/>
              <w:left w:val="nil"/>
              <w:bottom w:val="dashed" w:sz="4"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257</w:t>
            </w:r>
          </w:p>
        </w:tc>
        <w:tc>
          <w:tcPr>
            <w:tcW w:w="98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553</w:t>
            </w:r>
          </w:p>
        </w:tc>
        <w:tc>
          <w:tcPr>
            <w:tcW w:w="1200" w:type="dxa"/>
            <w:tcBorders>
              <w:top w:val="nil"/>
              <w:left w:val="nil"/>
              <w:bottom w:val="dashed" w:sz="4" w:space="0" w:color="auto"/>
              <w:right w:val="nil"/>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2,185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2,185</w:t>
            </w:r>
          </w:p>
        </w:tc>
        <w:tc>
          <w:tcPr>
            <w:tcW w:w="1200" w:type="dxa"/>
            <w:tcBorders>
              <w:top w:val="nil"/>
              <w:left w:val="nil"/>
              <w:bottom w:val="dashed" w:sz="4"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1,755</w:t>
            </w:r>
          </w:p>
        </w:tc>
      </w:tr>
      <w:tr w:rsidR="00EA4C19" w:rsidRPr="00EA4C19" w:rsidTr="00EA4C19">
        <w:trPr>
          <w:trHeight w:val="315"/>
        </w:trPr>
        <w:tc>
          <w:tcPr>
            <w:tcW w:w="3760" w:type="dxa"/>
            <w:tcBorders>
              <w:top w:val="nil"/>
              <w:left w:val="single" w:sz="12" w:space="0" w:color="auto"/>
              <w:bottom w:val="nil"/>
              <w:right w:val="nil"/>
            </w:tcBorders>
            <w:shd w:val="clear" w:color="auto" w:fill="auto"/>
            <w:vAlign w:val="center"/>
            <w:hideMark/>
          </w:tcPr>
          <w:p w:rsidR="00EA4C19" w:rsidRPr="00EA4C19" w:rsidRDefault="00EA4C19" w:rsidP="00EA4C19">
            <w:pPr>
              <w:rPr>
                <w:rFonts w:eastAsia="Times New Roman" w:cs="Arial"/>
                <w:sz w:val="18"/>
                <w:szCs w:val="18"/>
                <w:lang w:eastAsia="en-AU"/>
              </w:rPr>
            </w:pPr>
            <w:r w:rsidRPr="00EA4C19">
              <w:rPr>
                <w:rFonts w:eastAsia="Times New Roman" w:cs="Arial"/>
                <w:sz w:val="18"/>
                <w:szCs w:val="18"/>
                <w:lang w:eastAsia="en-AU"/>
              </w:rPr>
              <w:t> </w:t>
            </w:r>
          </w:p>
        </w:tc>
        <w:tc>
          <w:tcPr>
            <w:tcW w:w="1160" w:type="dxa"/>
            <w:tcBorders>
              <w:top w:val="nil"/>
              <w:left w:val="single" w:sz="12" w:space="0" w:color="auto"/>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dashed" w:sz="4"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980" w:type="dxa"/>
            <w:tcBorders>
              <w:top w:val="nil"/>
              <w:left w:val="nil"/>
              <w:bottom w:val="nil"/>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1200" w:type="dxa"/>
            <w:tcBorders>
              <w:top w:val="nil"/>
              <w:left w:val="nil"/>
              <w:bottom w:val="nil"/>
              <w:right w:val="nil"/>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1200" w:type="dxa"/>
            <w:tcBorders>
              <w:top w:val="nil"/>
              <w:left w:val="single" w:sz="12" w:space="0" w:color="auto"/>
              <w:bottom w:val="nil"/>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c>
          <w:tcPr>
            <w:tcW w:w="1200" w:type="dxa"/>
            <w:tcBorders>
              <w:top w:val="nil"/>
              <w:left w:val="nil"/>
              <w:bottom w:val="nil"/>
              <w:right w:val="single" w:sz="12" w:space="0" w:color="auto"/>
            </w:tcBorders>
            <w:shd w:val="clear" w:color="auto" w:fill="auto"/>
            <w:noWrap/>
            <w:vAlign w:val="center"/>
            <w:hideMark/>
          </w:tcPr>
          <w:p w:rsidR="00EA4C19" w:rsidRPr="00EA4C19" w:rsidRDefault="00EA4C19" w:rsidP="00EA4C19">
            <w:pPr>
              <w:jc w:val="right"/>
              <w:rPr>
                <w:rFonts w:eastAsia="Times New Roman" w:cs="Arial"/>
                <w:sz w:val="20"/>
                <w:szCs w:val="20"/>
                <w:lang w:eastAsia="en-AU"/>
              </w:rPr>
            </w:pPr>
            <w:r w:rsidRPr="00EA4C19">
              <w:rPr>
                <w:rFonts w:eastAsia="Times New Roman" w:cs="Arial"/>
                <w:sz w:val="20"/>
                <w:szCs w:val="20"/>
                <w:lang w:eastAsia="en-AU"/>
              </w:rPr>
              <w:t> </w:t>
            </w:r>
          </w:p>
        </w:tc>
      </w:tr>
      <w:tr w:rsidR="00EA4C19" w:rsidRPr="00EA4C19" w:rsidTr="00EA4C19">
        <w:trPr>
          <w:trHeight w:val="735"/>
        </w:trPr>
        <w:tc>
          <w:tcPr>
            <w:tcW w:w="3760" w:type="dxa"/>
            <w:tcBorders>
              <w:top w:val="single" w:sz="8" w:space="0" w:color="auto"/>
              <w:left w:val="single" w:sz="12" w:space="0" w:color="auto"/>
              <w:bottom w:val="single" w:sz="12" w:space="0" w:color="auto"/>
              <w:right w:val="nil"/>
            </w:tcBorders>
            <w:shd w:val="clear" w:color="auto" w:fill="auto"/>
            <w:vAlign w:val="center"/>
            <w:hideMark/>
          </w:tcPr>
          <w:p w:rsidR="00EA4C19" w:rsidRPr="00EA4C19" w:rsidRDefault="00EA4C19" w:rsidP="00EA4C19">
            <w:pPr>
              <w:rPr>
                <w:rFonts w:eastAsia="Times New Roman" w:cs="Arial"/>
                <w:b/>
                <w:bCs/>
                <w:sz w:val="28"/>
                <w:szCs w:val="28"/>
                <w:lang w:eastAsia="en-AU"/>
              </w:rPr>
            </w:pPr>
            <w:r w:rsidRPr="00EA4C19">
              <w:rPr>
                <w:rFonts w:eastAsia="Times New Roman" w:cs="Arial"/>
                <w:b/>
                <w:bCs/>
                <w:sz w:val="28"/>
                <w:szCs w:val="28"/>
                <w:lang w:eastAsia="en-AU"/>
              </w:rPr>
              <w:t xml:space="preserve">TOTAL RECREATIONAL IMPROVEMENTS </w:t>
            </w:r>
          </w:p>
        </w:tc>
        <w:tc>
          <w:tcPr>
            <w:tcW w:w="1160" w:type="dxa"/>
            <w:tcBorders>
              <w:top w:val="single" w:sz="8" w:space="0" w:color="auto"/>
              <w:left w:val="single" w:sz="12" w:space="0" w:color="auto"/>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4,117</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4,081</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36</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3,123</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422</w:t>
            </w:r>
          </w:p>
        </w:tc>
        <w:tc>
          <w:tcPr>
            <w:tcW w:w="980" w:type="dxa"/>
            <w:tcBorders>
              <w:top w:val="single" w:sz="8" w:space="0" w:color="auto"/>
              <w:left w:val="nil"/>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572</w:t>
            </w:r>
          </w:p>
        </w:tc>
        <w:tc>
          <w:tcPr>
            <w:tcW w:w="1200" w:type="dxa"/>
            <w:tcBorders>
              <w:top w:val="single" w:sz="8" w:space="0" w:color="auto"/>
              <w:left w:val="nil"/>
              <w:bottom w:val="single" w:sz="12" w:space="0" w:color="auto"/>
              <w:right w:val="nil"/>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3,436</w:t>
            </w:r>
          </w:p>
        </w:tc>
        <w:tc>
          <w:tcPr>
            <w:tcW w:w="120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4,486</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rsidR="00EA4C19" w:rsidRPr="00EA4C19" w:rsidRDefault="00EA4C19" w:rsidP="00EA4C19">
            <w:pPr>
              <w:jc w:val="right"/>
              <w:rPr>
                <w:rFonts w:eastAsia="Times New Roman" w:cs="Arial"/>
                <w:b/>
                <w:bCs/>
                <w:color w:val="000000"/>
                <w:sz w:val="20"/>
                <w:szCs w:val="20"/>
                <w:lang w:eastAsia="en-AU"/>
              </w:rPr>
            </w:pPr>
            <w:r w:rsidRPr="00EA4C19">
              <w:rPr>
                <w:rFonts w:eastAsia="Times New Roman" w:cs="Arial"/>
                <w:b/>
                <w:bCs/>
                <w:color w:val="000000"/>
                <w:sz w:val="20"/>
                <w:szCs w:val="20"/>
                <w:lang w:eastAsia="en-AU"/>
              </w:rPr>
              <w:t>4,156</w:t>
            </w:r>
          </w:p>
        </w:tc>
      </w:tr>
    </w:tbl>
    <w:p w:rsidR="00EA4C19" w:rsidRDefault="00EA4C19" w:rsidP="0029462D">
      <w:pPr>
        <w:rPr>
          <w:rFonts w:eastAsia="Times New Roman" w:cs="Arial"/>
        </w:rPr>
      </w:pPr>
      <w:r>
        <w:rPr>
          <w:rFonts w:eastAsia="Times New Roman" w:cs="Arial"/>
        </w:rPr>
        <w:fldChar w:fldCharType="end"/>
      </w:r>
    </w:p>
    <w:p w:rsidR="003139ED" w:rsidRDefault="003139ED" w:rsidP="0029462D">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2020  21 - CWP Section 6.5 Capital Works Program ~ COVID.XLSX" "Budget Doc!R132C1:R152C11" \a \f 4 \h </w:instrText>
      </w:r>
      <w:r>
        <w:fldChar w:fldCharType="separate"/>
      </w:r>
    </w:p>
    <w:tbl>
      <w:tblPr>
        <w:tblW w:w="14540" w:type="dxa"/>
        <w:tblLook w:val="04A0" w:firstRow="1" w:lastRow="0" w:firstColumn="1" w:lastColumn="0" w:noHBand="0" w:noVBand="1"/>
      </w:tblPr>
      <w:tblGrid>
        <w:gridCol w:w="4340"/>
        <w:gridCol w:w="1160"/>
        <w:gridCol w:w="980"/>
        <w:gridCol w:w="880"/>
        <w:gridCol w:w="980"/>
        <w:gridCol w:w="980"/>
        <w:gridCol w:w="980"/>
        <w:gridCol w:w="980"/>
        <w:gridCol w:w="1141"/>
        <w:gridCol w:w="1141"/>
        <w:gridCol w:w="1141"/>
      </w:tblGrid>
      <w:tr w:rsidR="003139ED" w:rsidRPr="003139ED" w:rsidTr="003139ED">
        <w:trPr>
          <w:trHeight w:val="435"/>
        </w:trPr>
        <w:tc>
          <w:tcPr>
            <w:tcW w:w="1454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rsidR="003139ED" w:rsidRPr="003139ED" w:rsidRDefault="003139ED" w:rsidP="003139ED">
            <w:pPr>
              <w:jc w:val="center"/>
              <w:rPr>
                <w:rFonts w:eastAsia="Times New Roman" w:cs="Arial"/>
                <w:b/>
                <w:bCs/>
                <w:color w:val="FFFFFF"/>
                <w:sz w:val="28"/>
                <w:szCs w:val="28"/>
                <w:lang w:eastAsia="en-AU"/>
              </w:rPr>
            </w:pPr>
            <w:r w:rsidRPr="003139ED">
              <w:rPr>
                <w:rFonts w:eastAsia="Times New Roman" w:cs="Arial"/>
                <w:b/>
                <w:bCs/>
                <w:color w:val="FFFFFF"/>
                <w:sz w:val="28"/>
                <w:szCs w:val="28"/>
                <w:lang w:eastAsia="en-AU"/>
              </w:rPr>
              <w:lastRenderedPageBreak/>
              <w:t>CAPITAL EXPENDITURE PROGRAM 2020/21 TO 2023/24</w:t>
            </w:r>
          </w:p>
        </w:tc>
      </w:tr>
      <w:tr w:rsidR="003139ED" w:rsidRPr="003139ED" w:rsidTr="003139ED">
        <w:trPr>
          <w:trHeight w:val="465"/>
        </w:trPr>
        <w:tc>
          <w:tcPr>
            <w:tcW w:w="4340" w:type="dxa"/>
            <w:tcBorders>
              <w:top w:val="nil"/>
              <w:left w:val="single" w:sz="12" w:space="0" w:color="auto"/>
              <w:bottom w:val="single" w:sz="12" w:space="0" w:color="auto"/>
              <w:right w:val="single" w:sz="12" w:space="0" w:color="auto"/>
            </w:tcBorders>
            <w:shd w:val="clear" w:color="000000" w:fill="629DD1"/>
            <w:noWrap/>
            <w:vAlign w:val="center"/>
            <w:hideMark/>
          </w:tcPr>
          <w:p w:rsidR="003139ED" w:rsidRPr="003139ED" w:rsidRDefault="003139ED" w:rsidP="003139ED">
            <w:pPr>
              <w:rPr>
                <w:rFonts w:eastAsia="Times New Roman" w:cs="Arial"/>
                <w:b/>
                <w:bCs/>
                <w:color w:val="FFFFFF"/>
                <w:sz w:val="20"/>
                <w:szCs w:val="20"/>
                <w:lang w:eastAsia="en-AU"/>
              </w:rPr>
            </w:pPr>
            <w:r w:rsidRPr="003139ED">
              <w:rPr>
                <w:rFonts w:eastAsia="Times New Roman" w:cs="Arial"/>
                <w:b/>
                <w:bCs/>
                <w:color w:val="FFFFFF"/>
                <w:sz w:val="20"/>
                <w:szCs w:val="20"/>
                <w:lang w:eastAsia="en-AU"/>
              </w:rPr>
              <w:t> </w:t>
            </w:r>
          </w:p>
        </w:tc>
        <w:tc>
          <w:tcPr>
            <w:tcW w:w="69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rsidR="003139ED" w:rsidRPr="003139ED" w:rsidRDefault="003139ED" w:rsidP="003139ED">
            <w:pPr>
              <w:jc w:val="center"/>
              <w:rPr>
                <w:rFonts w:eastAsia="Times New Roman" w:cs="Arial"/>
                <w:b/>
                <w:bCs/>
                <w:color w:val="FFFFFF"/>
                <w:sz w:val="20"/>
                <w:szCs w:val="20"/>
                <w:lang w:eastAsia="en-AU"/>
              </w:rPr>
            </w:pPr>
            <w:r w:rsidRPr="003139ED">
              <w:rPr>
                <w:rFonts w:eastAsia="Times New Roman" w:cs="Arial"/>
                <w:b/>
                <w:bCs/>
                <w:color w:val="FFFFFF"/>
                <w:sz w:val="20"/>
                <w:szCs w:val="20"/>
                <w:lang w:eastAsia="en-AU"/>
              </w:rPr>
              <w:t>Budget 2020/21</w:t>
            </w:r>
          </w:p>
        </w:tc>
        <w:tc>
          <w:tcPr>
            <w:tcW w:w="1100" w:type="dxa"/>
            <w:tcBorders>
              <w:top w:val="nil"/>
              <w:left w:val="nil"/>
              <w:bottom w:val="single" w:sz="12" w:space="0" w:color="auto"/>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20"/>
                <w:szCs w:val="20"/>
                <w:lang w:eastAsia="en-AU"/>
              </w:rPr>
            </w:pPr>
            <w:r w:rsidRPr="003139ED">
              <w:rPr>
                <w:rFonts w:eastAsia="Times New Roman" w:cs="Arial"/>
                <w:b/>
                <w:bCs/>
                <w:color w:val="FFFFFF"/>
                <w:sz w:val="20"/>
                <w:szCs w:val="20"/>
                <w:lang w:eastAsia="en-AU"/>
              </w:rPr>
              <w:t>Budget 2021/22</w:t>
            </w:r>
          </w:p>
        </w:tc>
        <w:tc>
          <w:tcPr>
            <w:tcW w:w="1100" w:type="dxa"/>
            <w:tcBorders>
              <w:top w:val="nil"/>
              <w:left w:val="nil"/>
              <w:bottom w:val="single" w:sz="12" w:space="0" w:color="auto"/>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20"/>
                <w:szCs w:val="20"/>
                <w:lang w:eastAsia="en-AU"/>
              </w:rPr>
            </w:pPr>
            <w:r w:rsidRPr="003139ED">
              <w:rPr>
                <w:rFonts w:eastAsia="Times New Roman" w:cs="Arial"/>
                <w:b/>
                <w:bCs/>
                <w:color w:val="FFFFFF"/>
                <w:sz w:val="20"/>
                <w:szCs w:val="20"/>
                <w:lang w:eastAsia="en-AU"/>
              </w:rPr>
              <w:t>Budget 2022/23</w:t>
            </w:r>
          </w:p>
        </w:tc>
        <w:tc>
          <w:tcPr>
            <w:tcW w:w="1060" w:type="dxa"/>
            <w:tcBorders>
              <w:top w:val="nil"/>
              <w:left w:val="nil"/>
              <w:bottom w:val="single" w:sz="12" w:space="0" w:color="auto"/>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20"/>
                <w:szCs w:val="20"/>
                <w:lang w:eastAsia="en-AU"/>
              </w:rPr>
            </w:pPr>
            <w:r w:rsidRPr="003139ED">
              <w:rPr>
                <w:rFonts w:eastAsia="Times New Roman" w:cs="Arial"/>
                <w:b/>
                <w:bCs/>
                <w:color w:val="FFFFFF"/>
                <w:sz w:val="20"/>
                <w:szCs w:val="20"/>
                <w:lang w:eastAsia="en-AU"/>
              </w:rPr>
              <w:t>Budget 2023/24</w:t>
            </w:r>
          </w:p>
        </w:tc>
      </w:tr>
      <w:tr w:rsidR="003139ED" w:rsidRPr="003139ED" w:rsidTr="003139ED">
        <w:trPr>
          <w:trHeight w:val="390"/>
        </w:trPr>
        <w:tc>
          <w:tcPr>
            <w:tcW w:w="4340" w:type="dxa"/>
            <w:tcBorders>
              <w:top w:val="nil"/>
              <w:left w:val="single" w:sz="12" w:space="0" w:color="auto"/>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Council Cash</w:t>
            </w:r>
          </w:p>
        </w:tc>
        <w:tc>
          <w:tcPr>
            <w:tcW w:w="8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 xml:space="preserve">Others </w:t>
            </w:r>
            <w:proofErr w:type="spellStart"/>
            <w:r w:rsidRPr="003139ED">
              <w:rPr>
                <w:rFonts w:eastAsia="Times New Roman" w:cs="Arial"/>
                <w:b/>
                <w:bCs/>
                <w:color w:val="FFFFFF"/>
                <w:sz w:val="16"/>
                <w:szCs w:val="16"/>
                <w:lang w:eastAsia="en-AU"/>
              </w:rPr>
              <w:t>Contrib'n</w:t>
            </w:r>
            <w:proofErr w:type="spellEnd"/>
          </w:p>
        </w:tc>
        <w:tc>
          <w:tcPr>
            <w:tcW w:w="9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New Work</w:t>
            </w:r>
          </w:p>
        </w:tc>
        <w:tc>
          <w:tcPr>
            <w:tcW w:w="110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Total Expenditure</w:t>
            </w:r>
          </w:p>
        </w:tc>
        <w:tc>
          <w:tcPr>
            <w:tcW w:w="110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Total Expenditure</w:t>
            </w:r>
          </w:p>
        </w:tc>
        <w:tc>
          <w:tcPr>
            <w:tcW w:w="1060" w:type="dxa"/>
            <w:tcBorders>
              <w:top w:val="nil"/>
              <w:left w:val="nil"/>
              <w:bottom w:val="nil"/>
              <w:right w:val="single" w:sz="12" w:space="0" w:color="auto"/>
            </w:tcBorders>
            <w:shd w:val="clear" w:color="000000" w:fill="629DD1"/>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Total Expenditure</w:t>
            </w:r>
          </w:p>
        </w:tc>
      </w:tr>
      <w:tr w:rsidR="003139ED" w:rsidRPr="003139ED" w:rsidTr="003139ED">
        <w:trPr>
          <w:trHeight w:val="195"/>
        </w:trPr>
        <w:tc>
          <w:tcPr>
            <w:tcW w:w="4340" w:type="dxa"/>
            <w:tcBorders>
              <w:top w:val="nil"/>
              <w:left w:val="single" w:sz="12" w:space="0" w:color="auto"/>
              <w:bottom w:val="single" w:sz="12" w:space="0" w:color="auto"/>
              <w:right w:val="single" w:sz="12" w:space="0" w:color="auto"/>
            </w:tcBorders>
            <w:shd w:val="clear" w:color="000000" w:fill="629DD1"/>
            <w:noWrap/>
            <w:vAlign w:val="center"/>
            <w:hideMark/>
          </w:tcPr>
          <w:p w:rsidR="003139ED" w:rsidRPr="003139ED" w:rsidRDefault="003139ED" w:rsidP="003139ED">
            <w:pPr>
              <w:jc w:val="right"/>
              <w:rPr>
                <w:rFonts w:eastAsia="Times New Roman" w:cs="Arial"/>
                <w:b/>
                <w:bCs/>
                <w:color w:val="FFFFFF"/>
                <w:sz w:val="16"/>
                <w:szCs w:val="16"/>
                <w:lang w:eastAsia="en-AU"/>
              </w:rPr>
            </w:pPr>
            <w:r w:rsidRPr="003139ED">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8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110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110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c>
          <w:tcPr>
            <w:tcW w:w="1060" w:type="dxa"/>
            <w:tcBorders>
              <w:top w:val="nil"/>
              <w:left w:val="nil"/>
              <w:bottom w:val="single" w:sz="12" w:space="0" w:color="auto"/>
              <w:right w:val="single" w:sz="12" w:space="0" w:color="auto"/>
            </w:tcBorders>
            <w:shd w:val="clear" w:color="000000" w:fill="629DD1"/>
            <w:noWrap/>
            <w:vAlign w:val="center"/>
            <w:hideMark/>
          </w:tcPr>
          <w:p w:rsidR="003139ED" w:rsidRPr="003139ED" w:rsidRDefault="003139ED" w:rsidP="003139ED">
            <w:pPr>
              <w:jc w:val="center"/>
              <w:rPr>
                <w:rFonts w:eastAsia="Times New Roman" w:cs="Arial"/>
                <w:b/>
                <w:bCs/>
                <w:color w:val="FFFFFF"/>
                <w:sz w:val="16"/>
                <w:szCs w:val="16"/>
                <w:lang w:eastAsia="en-AU"/>
              </w:rPr>
            </w:pPr>
            <w:r w:rsidRPr="003139ED">
              <w:rPr>
                <w:rFonts w:eastAsia="Times New Roman" w:cs="Arial"/>
                <w:b/>
                <w:bCs/>
                <w:color w:val="FFFFFF"/>
                <w:sz w:val="16"/>
                <w:szCs w:val="16"/>
                <w:lang w:eastAsia="en-AU"/>
              </w:rPr>
              <w:t>$000</w:t>
            </w:r>
          </w:p>
        </w:tc>
      </w:tr>
      <w:tr w:rsidR="003139ED" w:rsidRPr="003139ED" w:rsidTr="003139ED">
        <w:trPr>
          <w:trHeight w:val="315"/>
        </w:trPr>
        <w:tc>
          <w:tcPr>
            <w:tcW w:w="4340" w:type="dxa"/>
            <w:tcBorders>
              <w:top w:val="nil"/>
              <w:left w:val="single" w:sz="12" w:space="0" w:color="auto"/>
              <w:bottom w:val="dashed" w:sz="4" w:space="0" w:color="auto"/>
              <w:right w:val="nil"/>
            </w:tcBorders>
            <w:shd w:val="clear" w:color="auto" w:fill="auto"/>
            <w:vAlign w:val="bottom"/>
            <w:hideMark/>
          </w:tcPr>
          <w:p w:rsidR="003139ED" w:rsidRPr="003139ED" w:rsidRDefault="003139ED" w:rsidP="003139ED">
            <w:pPr>
              <w:rPr>
                <w:rFonts w:eastAsia="Times New Roman" w:cs="Arial"/>
                <w:b/>
                <w:bCs/>
                <w:sz w:val="28"/>
                <w:szCs w:val="28"/>
                <w:lang w:eastAsia="en-AU"/>
              </w:rPr>
            </w:pPr>
            <w:r w:rsidRPr="003139ED">
              <w:rPr>
                <w:rFonts w:eastAsia="Times New Roman" w:cs="Arial"/>
                <w:b/>
                <w:bCs/>
                <w:sz w:val="28"/>
                <w:szCs w:val="28"/>
                <w:lang w:eastAsia="en-AU"/>
              </w:rPr>
              <w:t>PLANT AND EQUIPMENT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color w:val="FF0000"/>
                <w:sz w:val="18"/>
                <w:szCs w:val="18"/>
                <w:lang w:eastAsia="en-AU"/>
              </w:rPr>
            </w:pPr>
            <w:r w:rsidRPr="003139ED">
              <w:rPr>
                <w:rFonts w:eastAsia="Times New Roman" w:cs="Arial"/>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color w:val="FF0000"/>
                <w:sz w:val="18"/>
                <w:szCs w:val="18"/>
                <w:lang w:eastAsia="en-AU"/>
              </w:rPr>
            </w:pPr>
            <w:r w:rsidRPr="003139ED">
              <w:rPr>
                <w:rFonts w:eastAsia="Times New Roman" w:cs="Arial"/>
                <w:color w:val="FF0000"/>
                <w:sz w:val="18"/>
                <w:szCs w:val="18"/>
                <w:lang w:eastAsia="en-AU"/>
              </w:rPr>
              <w:t> </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color w:val="FF0000"/>
                <w:sz w:val="18"/>
                <w:szCs w:val="18"/>
                <w:lang w:eastAsia="en-AU"/>
              </w:rPr>
            </w:pPr>
            <w:r w:rsidRPr="003139ED">
              <w:rPr>
                <w:rFonts w:eastAsia="Times New Roman" w:cs="Arial"/>
                <w:color w:val="FF0000"/>
                <w:sz w:val="18"/>
                <w:szCs w:val="18"/>
                <w:lang w:eastAsia="en-AU"/>
              </w:rPr>
              <w:t> </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color w:val="FF0000"/>
                <w:sz w:val="18"/>
                <w:szCs w:val="18"/>
                <w:lang w:eastAsia="en-AU"/>
              </w:rPr>
            </w:pPr>
            <w:r w:rsidRPr="003139ED">
              <w:rPr>
                <w:rFonts w:eastAsia="Times New Roman" w:cs="Arial"/>
                <w:color w:val="FF0000"/>
                <w:sz w:val="18"/>
                <w:szCs w:val="18"/>
                <w:lang w:eastAsia="en-AU"/>
              </w:rPr>
              <w:t> </w:t>
            </w:r>
          </w:p>
        </w:tc>
      </w:tr>
      <w:tr w:rsidR="003139ED" w:rsidRPr="003139ED" w:rsidTr="003139ED">
        <w:trPr>
          <w:trHeight w:val="33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 xml:space="preserve">FIXTURES, FITTINGS AND FURNITURE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r>
      <w:tr w:rsidR="003139ED" w:rsidRPr="003139ED" w:rsidTr="003139ED">
        <w:trPr>
          <w:trHeight w:val="285"/>
        </w:trPr>
        <w:tc>
          <w:tcPr>
            <w:tcW w:w="4340" w:type="dxa"/>
            <w:tcBorders>
              <w:top w:val="nil"/>
              <w:left w:val="single" w:sz="12" w:space="0" w:color="auto"/>
              <w:bottom w:val="dashed" w:sz="4" w:space="0" w:color="auto"/>
              <w:right w:val="nil"/>
            </w:tcBorders>
            <w:shd w:val="clear" w:color="auto" w:fill="auto"/>
            <w:vAlign w:val="bottom"/>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Karralyka and Federation Estate - Renew Equipment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68</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68</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34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34</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80</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80</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85</w:t>
            </w:r>
          </w:p>
        </w:tc>
      </w:tr>
      <w:tr w:rsidR="003139ED" w:rsidRPr="003139ED" w:rsidTr="003139ED">
        <w:trPr>
          <w:trHeight w:val="3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 xml:space="preserve">REALM Furniture </w:t>
            </w:r>
            <w:proofErr w:type="gramStart"/>
            <w:r w:rsidRPr="003139ED">
              <w:rPr>
                <w:rFonts w:eastAsia="Times New Roman" w:cs="Arial"/>
                <w:sz w:val="18"/>
                <w:szCs w:val="18"/>
                <w:lang w:eastAsia="en-AU"/>
              </w:rPr>
              <w:t>and  Equipment</w:t>
            </w:r>
            <w:proofErr w:type="gramEnd"/>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r>
      <w:tr w:rsidR="003139ED" w:rsidRPr="003139ED" w:rsidTr="003139ED">
        <w:trPr>
          <w:trHeight w:val="3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Leisure Facilities - Equipment Replacement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250</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500</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750</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650</w:t>
            </w:r>
          </w:p>
        </w:tc>
      </w:tr>
      <w:tr w:rsidR="003139ED" w:rsidRPr="003139ED" w:rsidTr="003139ED">
        <w:trPr>
          <w:trHeight w:val="3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Art in Public Places</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r>
      <w:tr w:rsidR="003139ED" w:rsidRPr="003139ED" w:rsidTr="003139ED">
        <w:trPr>
          <w:trHeight w:val="3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Smart Cities Project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r>
      <w:tr w:rsidR="003139ED" w:rsidRPr="003139ED" w:rsidTr="003139ED">
        <w:trPr>
          <w:trHeight w:val="600"/>
        </w:trPr>
        <w:tc>
          <w:tcPr>
            <w:tcW w:w="4340" w:type="dxa"/>
            <w:tcBorders>
              <w:top w:val="nil"/>
              <w:left w:val="single" w:sz="12" w:space="0" w:color="auto"/>
              <w:bottom w:val="dashed" w:sz="4" w:space="0" w:color="auto"/>
              <w:right w:val="nil"/>
            </w:tcBorders>
            <w:shd w:val="clear" w:color="auto" w:fill="auto"/>
            <w:vAlign w:val="bottom"/>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TOTAL FIXTURES, FITTINGS AND FURNITURE</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383</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383</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284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34</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65</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680</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930</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835</w:t>
            </w:r>
          </w:p>
        </w:tc>
      </w:tr>
      <w:tr w:rsidR="003139ED" w:rsidRPr="003139ED" w:rsidTr="003139ED">
        <w:trPr>
          <w:trHeight w:val="33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 xml:space="preserve">PLANT, MACHINERY AND EQUIPMENT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r>
      <w:tr w:rsidR="003139ED" w:rsidRPr="003139ED" w:rsidTr="003139ED">
        <w:trPr>
          <w:trHeight w:val="3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Plant and Fleet Replacement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1,634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982</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652</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1,634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1,962</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1,275</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2,912</w:t>
            </w:r>
          </w:p>
        </w:tc>
      </w:tr>
      <w:tr w:rsidR="003139ED" w:rsidRPr="003139ED" w:rsidTr="003139ED">
        <w:trPr>
          <w:trHeight w:val="570"/>
        </w:trPr>
        <w:tc>
          <w:tcPr>
            <w:tcW w:w="4340" w:type="dxa"/>
            <w:tcBorders>
              <w:top w:val="nil"/>
              <w:left w:val="single" w:sz="12" w:space="0" w:color="auto"/>
              <w:bottom w:val="dashed" w:sz="4" w:space="0" w:color="auto"/>
              <w:right w:val="nil"/>
            </w:tcBorders>
            <w:shd w:val="clear" w:color="auto" w:fill="auto"/>
            <w:vAlign w:val="bottom"/>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TOTAL PLANT, MACHINERY AND EQUIPMENT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1,634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982</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652</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1,634</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1,962</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1,275</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2,912</w:t>
            </w:r>
          </w:p>
        </w:tc>
      </w:tr>
      <w:tr w:rsidR="003139ED" w:rsidRPr="003139ED" w:rsidTr="003139ED">
        <w:trPr>
          <w:trHeight w:val="600"/>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 xml:space="preserve">COMPUTERS AND TELECOMMUNICATIONS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18"/>
                <w:szCs w:val="18"/>
                <w:lang w:eastAsia="en-AU"/>
              </w:rPr>
            </w:pPr>
            <w:r w:rsidRPr="003139ED">
              <w:rPr>
                <w:rFonts w:eastAsia="Times New Roman" w:cs="Arial"/>
                <w:b/>
                <w:bCs/>
                <w:sz w:val="18"/>
                <w:szCs w:val="18"/>
                <w:lang w:eastAsia="en-AU"/>
              </w:rPr>
              <w:t> </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FF0000"/>
                <w:sz w:val="18"/>
                <w:szCs w:val="18"/>
                <w:lang w:eastAsia="en-AU"/>
              </w:rPr>
            </w:pPr>
            <w:r w:rsidRPr="003139ED">
              <w:rPr>
                <w:rFonts w:eastAsia="Times New Roman" w:cs="Arial"/>
                <w:b/>
                <w:bCs/>
                <w:color w:val="FF0000"/>
                <w:sz w:val="18"/>
                <w:szCs w:val="18"/>
                <w:lang w:eastAsia="en-AU"/>
              </w:rPr>
              <w:t> </w:t>
            </w:r>
          </w:p>
        </w:tc>
      </w:tr>
      <w:tr w:rsidR="003139ED" w:rsidRPr="003139ED" w:rsidTr="003139ED">
        <w:trPr>
          <w:trHeight w:val="315"/>
        </w:trPr>
        <w:tc>
          <w:tcPr>
            <w:tcW w:w="4340" w:type="dxa"/>
            <w:tcBorders>
              <w:top w:val="nil"/>
              <w:left w:val="single" w:sz="12" w:space="0" w:color="auto"/>
              <w:bottom w:val="dashed" w:sz="4" w:space="0" w:color="auto"/>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Information Technology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528</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528</w:t>
            </w:r>
          </w:p>
        </w:tc>
        <w:tc>
          <w:tcPr>
            <w:tcW w:w="8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148</w:t>
            </w:r>
          </w:p>
        </w:tc>
        <w:tc>
          <w:tcPr>
            <w:tcW w:w="980" w:type="dxa"/>
            <w:tcBorders>
              <w:top w:val="nil"/>
              <w:left w:val="nil"/>
              <w:bottom w:val="dashed" w:sz="4"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160</w:t>
            </w:r>
          </w:p>
        </w:tc>
        <w:tc>
          <w:tcPr>
            <w:tcW w:w="98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220</w:t>
            </w:r>
          </w:p>
        </w:tc>
        <w:tc>
          <w:tcPr>
            <w:tcW w:w="1100" w:type="dxa"/>
            <w:tcBorders>
              <w:top w:val="nil"/>
              <w:left w:val="nil"/>
              <w:bottom w:val="dashed" w:sz="4" w:space="0" w:color="auto"/>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548</w:t>
            </w:r>
          </w:p>
        </w:tc>
        <w:tc>
          <w:tcPr>
            <w:tcW w:w="1100" w:type="dxa"/>
            <w:tcBorders>
              <w:top w:val="nil"/>
              <w:left w:val="single" w:sz="12" w:space="0" w:color="auto"/>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843</w:t>
            </w:r>
          </w:p>
        </w:tc>
        <w:tc>
          <w:tcPr>
            <w:tcW w:w="1060" w:type="dxa"/>
            <w:tcBorders>
              <w:top w:val="nil"/>
              <w:left w:val="nil"/>
              <w:bottom w:val="dashed" w:sz="4"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800</w:t>
            </w:r>
          </w:p>
        </w:tc>
      </w:tr>
      <w:tr w:rsidR="003139ED" w:rsidRPr="003139ED" w:rsidTr="003139ED">
        <w:trPr>
          <w:trHeight w:val="300"/>
        </w:trPr>
        <w:tc>
          <w:tcPr>
            <w:tcW w:w="4340" w:type="dxa"/>
            <w:tcBorders>
              <w:top w:val="nil"/>
              <w:left w:val="single" w:sz="12" w:space="0" w:color="auto"/>
              <w:bottom w:val="nil"/>
              <w:right w:val="nil"/>
            </w:tcBorders>
            <w:shd w:val="clear" w:color="auto" w:fill="auto"/>
            <w:vAlign w:val="center"/>
            <w:hideMark/>
          </w:tcPr>
          <w:p w:rsidR="003139ED" w:rsidRPr="003139ED" w:rsidRDefault="003139ED" w:rsidP="003139ED">
            <w:pPr>
              <w:rPr>
                <w:rFonts w:eastAsia="Times New Roman" w:cs="Arial"/>
                <w:sz w:val="18"/>
                <w:szCs w:val="18"/>
                <w:lang w:eastAsia="en-AU"/>
              </w:rPr>
            </w:pPr>
            <w:r w:rsidRPr="003139ED">
              <w:rPr>
                <w:rFonts w:eastAsia="Times New Roman" w:cs="Arial"/>
                <w:sz w:val="18"/>
                <w:szCs w:val="18"/>
                <w:lang w:eastAsia="en-AU"/>
              </w:rPr>
              <w:t>Web Related Program</w:t>
            </w:r>
          </w:p>
        </w:tc>
        <w:tc>
          <w:tcPr>
            <w:tcW w:w="1160" w:type="dxa"/>
            <w:tcBorders>
              <w:top w:val="nil"/>
              <w:left w:val="single" w:sz="12" w:space="0" w:color="auto"/>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150</w:t>
            </w:r>
          </w:p>
        </w:tc>
        <w:tc>
          <w:tcPr>
            <w:tcW w:w="980" w:type="dxa"/>
            <w:tcBorders>
              <w:top w:val="nil"/>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150</w:t>
            </w:r>
          </w:p>
        </w:tc>
        <w:tc>
          <w:tcPr>
            <w:tcW w:w="880" w:type="dxa"/>
            <w:tcBorders>
              <w:top w:val="nil"/>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150</w:t>
            </w:r>
          </w:p>
        </w:tc>
        <w:tc>
          <w:tcPr>
            <w:tcW w:w="980" w:type="dxa"/>
            <w:tcBorders>
              <w:top w:val="nil"/>
              <w:left w:val="nil"/>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 </w:t>
            </w:r>
          </w:p>
        </w:tc>
        <w:tc>
          <w:tcPr>
            <w:tcW w:w="1100" w:type="dxa"/>
            <w:tcBorders>
              <w:top w:val="nil"/>
              <w:left w:val="nil"/>
              <w:bottom w:val="nil"/>
              <w:right w:val="nil"/>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150</w:t>
            </w:r>
          </w:p>
        </w:tc>
        <w:tc>
          <w:tcPr>
            <w:tcW w:w="1100" w:type="dxa"/>
            <w:tcBorders>
              <w:top w:val="nil"/>
              <w:left w:val="single" w:sz="12" w:space="0" w:color="auto"/>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120</w:t>
            </w:r>
          </w:p>
        </w:tc>
        <w:tc>
          <w:tcPr>
            <w:tcW w:w="1060" w:type="dxa"/>
            <w:tcBorders>
              <w:top w:val="nil"/>
              <w:left w:val="nil"/>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sz w:val="18"/>
                <w:szCs w:val="18"/>
                <w:lang w:eastAsia="en-AU"/>
              </w:rPr>
            </w:pPr>
            <w:r w:rsidRPr="003139ED">
              <w:rPr>
                <w:rFonts w:eastAsia="Times New Roman" w:cs="Arial"/>
                <w:sz w:val="18"/>
                <w:szCs w:val="18"/>
                <w:lang w:eastAsia="en-AU"/>
              </w:rPr>
              <w:t>50</w:t>
            </w:r>
          </w:p>
        </w:tc>
      </w:tr>
      <w:tr w:rsidR="003139ED" w:rsidRPr="003139ED" w:rsidTr="003139ED">
        <w:trPr>
          <w:trHeight w:val="615"/>
        </w:trPr>
        <w:tc>
          <w:tcPr>
            <w:tcW w:w="4340" w:type="dxa"/>
            <w:tcBorders>
              <w:top w:val="dashed" w:sz="4" w:space="0" w:color="auto"/>
              <w:left w:val="single" w:sz="12" w:space="0" w:color="auto"/>
              <w:bottom w:val="nil"/>
              <w:right w:val="nil"/>
            </w:tcBorders>
            <w:shd w:val="clear" w:color="auto" w:fill="auto"/>
            <w:vAlign w:val="bottom"/>
            <w:hideMark/>
          </w:tcPr>
          <w:p w:rsidR="003139ED" w:rsidRPr="003139ED" w:rsidRDefault="003139ED" w:rsidP="003139ED">
            <w:pPr>
              <w:rPr>
                <w:rFonts w:eastAsia="Times New Roman" w:cs="Arial"/>
                <w:b/>
                <w:bCs/>
                <w:lang w:eastAsia="en-AU"/>
              </w:rPr>
            </w:pPr>
            <w:r w:rsidRPr="003139ED">
              <w:rPr>
                <w:rFonts w:eastAsia="Times New Roman" w:cs="Arial"/>
                <w:b/>
                <w:bCs/>
                <w:lang w:eastAsia="en-AU"/>
              </w:rPr>
              <w:t>TOTAL COMPUTERS AND TELECOMMNUNICATIONS</w:t>
            </w:r>
          </w:p>
        </w:tc>
        <w:tc>
          <w:tcPr>
            <w:tcW w:w="1160" w:type="dxa"/>
            <w:tcBorders>
              <w:top w:val="dashed" w:sz="4" w:space="0" w:color="auto"/>
              <w:left w:val="single" w:sz="12" w:space="0" w:color="auto"/>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678</w:t>
            </w:r>
          </w:p>
        </w:tc>
        <w:tc>
          <w:tcPr>
            <w:tcW w:w="980" w:type="dxa"/>
            <w:tcBorders>
              <w:top w:val="dashed" w:sz="4" w:space="0" w:color="auto"/>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678</w:t>
            </w:r>
          </w:p>
        </w:tc>
        <w:tc>
          <w:tcPr>
            <w:tcW w:w="880" w:type="dxa"/>
            <w:tcBorders>
              <w:top w:val="dashed" w:sz="4" w:space="0" w:color="auto"/>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dashed" w:sz="4" w:space="0" w:color="auto"/>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dashed" w:sz="4" w:space="0" w:color="auto"/>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148</w:t>
            </w:r>
          </w:p>
        </w:tc>
        <w:tc>
          <w:tcPr>
            <w:tcW w:w="980" w:type="dxa"/>
            <w:tcBorders>
              <w:top w:val="dashed" w:sz="4" w:space="0" w:color="auto"/>
              <w:left w:val="nil"/>
              <w:bottom w:val="nil"/>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310</w:t>
            </w:r>
          </w:p>
        </w:tc>
        <w:tc>
          <w:tcPr>
            <w:tcW w:w="980" w:type="dxa"/>
            <w:tcBorders>
              <w:top w:val="dashed" w:sz="4" w:space="0" w:color="auto"/>
              <w:left w:val="nil"/>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220</w:t>
            </w:r>
          </w:p>
        </w:tc>
        <w:tc>
          <w:tcPr>
            <w:tcW w:w="1100" w:type="dxa"/>
            <w:tcBorders>
              <w:top w:val="dashed" w:sz="4" w:space="0" w:color="auto"/>
              <w:left w:val="nil"/>
              <w:bottom w:val="nil"/>
              <w:right w:val="nil"/>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698</w:t>
            </w:r>
          </w:p>
        </w:tc>
        <w:tc>
          <w:tcPr>
            <w:tcW w:w="1100" w:type="dxa"/>
            <w:tcBorders>
              <w:top w:val="dashed" w:sz="4" w:space="0" w:color="auto"/>
              <w:left w:val="single" w:sz="12" w:space="0" w:color="auto"/>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963</w:t>
            </w:r>
          </w:p>
        </w:tc>
        <w:tc>
          <w:tcPr>
            <w:tcW w:w="1060" w:type="dxa"/>
            <w:tcBorders>
              <w:top w:val="dashed" w:sz="4" w:space="0" w:color="auto"/>
              <w:left w:val="nil"/>
              <w:bottom w:val="nil"/>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850</w:t>
            </w:r>
          </w:p>
        </w:tc>
      </w:tr>
      <w:tr w:rsidR="003139ED" w:rsidRPr="003139ED" w:rsidTr="003139ED">
        <w:trPr>
          <w:trHeight w:val="675"/>
        </w:trPr>
        <w:tc>
          <w:tcPr>
            <w:tcW w:w="4340" w:type="dxa"/>
            <w:tcBorders>
              <w:top w:val="single" w:sz="12" w:space="0" w:color="auto"/>
              <w:left w:val="single" w:sz="12" w:space="0" w:color="auto"/>
              <w:bottom w:val="single" w:sz="12" w:space="0" w:color="auto"/>
              <w:right w:val="nil"/>
            </w:tcBorders>
            <w:shd w:val="clear" w:color="auto" w:fill="auto"/>
            <w:vAlign w:val="center"/>
            <w:hideMark/>
          </w:tcPr>
          <w:p w:rsidR="003139ED" w:rsidRPr="003139ED" w:rsidRDefault="003139ED" w:rsidP="003139ED">
            <w:pPr>
              <w:rPr>
                <w:rFonts w:eastAsia="Times New Roman" w:cs="Arial"/>
                <w:b/>
                <w:bCs/>
                <w:sz w:val="28"/>
                <w:szCs w:val="28"/>
                <w:lang w:eastAsia="en-AU"/>
              </w:rPr>
            </w:pPr>
            <w:r w:rsidRPr="003139ED">
              <w:rPr>
                <w:rFonts w:eastAsia="Times New Roman" w:cs="Arial"/>
                <w:b/>
                <w:bCs/>
                <w:sz w:val="28"/>
                <w:szCs w:val="28"/>
                <w:lang w:eastAsia="en-AU"/>
              </w:rPr>
              <w:t>TOTAL PLANT AND EQUIPMENT</w:t>
            </w:r>
          </w:p>
        </w:tc>
        <w:tc>
          <w:tcPr>
            <w:tcW w:w="1160" w:type="dxa"/>
            <w:tcBorders>
              <w:top w:val="single" w:sz="12" w:space="0" w:color="auto"/>
              <w:left w:val="single" w:sz="12" w:space="0" w:color="auto"/>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2,695</w:t>
            </w:r>
          </w:p>
        </w:tc>
        <w:tc>
          <w:tcPr>
            <w:tcW w:w="980" w:type="dxa"/>
            <w:tcBorders>
              <w:top w:val="single" w:sz="12" w:space="0" w:color="auto"/>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2,043</w:t>
            </w:r>
          </w:p>
        </w:tc>
        <w:tc>
          <w:tcPr>
            <w:tcW w:w="880" w:type="dxa"/>
            <w:tcBorders>
              <w:top w:val="single" w:sz="12" w:space="0" w:color="auto"/>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0</w:t>
            </w:r>
          </w:p>
        </w:tc>
        <w:tc>
          <w:tcPr>
            <w:tcW w:w="980" w:type="dxa"/>
            <w:tcBorders>
              <w:top w:val="single" w:sz="12" w:space="0" w:color="auto"/>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652</w:t>
            </w:r>
          </w:p>
        </w:tc>
        <w:tc>
          <w:tcPr>
            <w:tcW w:w="980" w:type="dxa"/>
            <w:tcBorders>
              <w:top w:val="single" w:sz="12" w:space="0" w:color="auto"/>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2,066</w:t>
            </w:r>
          </w:p>
        </w:tc>
        <w:tc>
          <w:tcPr>
            <w:tcW w:w="980" w:type="dxa"/>
            <w:tcBorders>
              <w:top w:val="single" w:sz="12" w:space="0" w:color="auto"/>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344</w:t>
            </w:r>
          </w:p>
        </w:tc>
        <w:tc>
          <w:tcPr>
            <w:tcW w:w="980" w:type="dxa"/>
            <w:tcBorders>
              <w:top w:val="single" w:sz="12" w:space="0" w:color="auto"/>
              <w:left w:val="nil"/>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285</w:t>
            </w:r>
          </w:p>
        </w:tc>
        <w:tc>
          <w:tcPr>
            <w:tcW w:w="1100" w:type="dxa"/>
            <w:tcBorders>
              <w:top w:val="single" w:sz="12" w:space="0" w:color="auto"/>
              <w:left w:val="nil"/>
              <w:bottom w:val="single" w:sz="12" w:space="0" w:color="auto"/>
              <w:right w:val="nil"/>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3,340</w:t>
            </w:r>
          </w:p>
        </w:tc>
        <w:tc>
          <w:tcPr>
            <w:tcW w:w="110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3,168</w:t>
            </w:r>
          </w:p>
        </w:tc>
        <w:tc>
          <w:tcPr>
            <w:tcW w:w="1060" w:type="dxa"/>
            <w:tcBorders>
              <w:top w:val="single" w:sz="12" w:space="0" w:color="auto"/>
              <w:left w:val="nil"/>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color w:val="000000"/>
                <w:sz w:val="18"/>
                <w:szCs w:val="18"/>
                <w:lang w:eastAsia="en-AU"/>
              </w:rPr>
            </w:pPr>
            <w:r w:rsidRPr="003139ED">
              <w:rPr>
                <w:rFonts w:eastAsia="Times New Roman" w:cs="Arial"/>
                <w:b/>
                <w:bCs/>
                <w:color w:val="000000"/>
                <w:sz w:val="18"/>
                <w:szCs w:val="18"/>
                <w:lang w:eastAsia="en-AU"/>
              </w:rPr>
              <w:t>4,597</w:t>
            </w:r>
          </w:p>
        </w:tc>
      </w:tr>
      <w:tr w:rsidR="003139ED" w:rsidRPr="003139ED" w:rsidTr="003139ED">
        <w:trPr>
          <w:trHeight w:val="720"/>
        </w:trPr>
        <w:tc>
          <w:tcPr>
            <w:tcW w:w="4340" w:type="dxa"/>
            <w:tcBorders>
              <w:top w:val="nil"/>
              <w:left w:val="single" w:sz="12" w:space="0" w:color="auto"/>
              <w:bottom w:val="single" w:sz="12" w:space="0" w:color="auto"/>
              <w:right w:val="nil"/>
            </w:tcBorders>
            <w:shd w:val="clear" w:color="auto" w:fill="auto"/>
            <w:vAlign w:val="center"/>
            <w:hideMark/>
          </w:tcPr>
          <w:p w:rsidR="003139ED" w:rsidRPr="003139ED" w:rsidRDefault="003139ED" w:rsidP="003139ED">
            <w:pPr>
              <w:rPr>
                <w:rFonts w:eastAsia="Times New Roman" w:cs="Arial"/>
                <w:b/>
                <w:bCs/>
                <w:sz w:val="28"/>
                <w:szCs w:val="28"/>
                <w:lang w:eastAsia="en-AU"/>
              </w:rPr>
            </w:pPr>
            <w:r w:rsidRPr="003139ED">
              <w:rPr>
                <w:rFonts w:eastAsia="Times New Roman" w:cs="Arial"/>
                <w:b/>
                <w:bCs/>
                <w:sz w:val="28"/>
                <w:szCs w:val="28"/>
                <w:lang w:eastAsia="en-AU"/>
              </w:rPr>
              <w:t>TOTAL CAPITAL EXPENDITURE</w:t>
            </w:r>
          </w:p>
        </w:tc>
        <w:tc>
          <w:tcPr>
            <w:tcW w:w="1160" w:type="dxa"/>
            <w:tcBorders>
              <w:top w:val="nil"/>
              <w:left w:val="single" w:sz="12" w:space="0" w:color="auto"/>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85,466</w:t>
            </w:r>
          </w:p>
        </w:tc>
        <w:tc>
          <w:tcPr>
            <w:tcW w:w="980" w:type="dxa"/>
            <w:tcBorders>
              <w:top w:val="nil"/>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38,059</w:t>
            </w:r>
          </w:p>
        </w:tc>
        <w:tc>
          <w:tcPr>
            <w:tcW w:w="880" w:type="dxa"/>
            <w:tcBorders>
              <w:top w:val="nil"/>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26,557</w:t>
            </w:r>
          </w:p>
        </w:tc>
        <w:tc>
          <w:tcPr>
            <w:tcW w:w="980" w:type="dxa"/>
            <w:tcBorders>
              <w:top w:val="nil"/>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20,850</w:t>
            </w:r>
          </w:p>
        </w:tc>
        <w:tc>
          <w:tcPr>
            <w:tcW w:w="980" w:type="dxa"/>
            <w:tcBorders>
              <w:top w:val="nil"/>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25,757</w:t>
            </w:r>
          </w:p>
        </w:tc>
        <w:tc>
          <w:tcPr>
            <w:tcW w:w="980" w:type="dxa"/>
            <w:tcBorders>
              <w:top w:val="nil"/>
              <w:left w:val="nil"/>
              <w:bottom w:val="single" w:sz="12" w:space="0" w:color="auto"/>
              <w:right w:val="dashed" w:sz="4"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4,892</w:t>
            </w:r>
          </w:p>
        </w:tc>
        <w:tc>
          <w:tcPr>
            <w:tcW w:w="980" w:type="dxa"/>
            <w:tcBorders>
              <w:top w:val="nil"/>
              <w:left w:val="nil"/>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54,817</w:t>
            </w:r>
          </w:p>
        </w:tc>
        <w:tc>
          <w:tcPr>
            <w:tcW w:w="1100" w:type="dxa"/>
            <w:tcBorders>
              <w:top w:val="nil"/>
              <w:left w:val="nil"/>
              <w:bottom w:val="single" w:sz="12" w:space="0" w:color="auto"/>
              <w:right w:val="nil"/>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65,539</w:t>
            </w:r>
          </w:p>
        </w:tc>
        <w:tc>
          <w:tcPr>
            <w:tcW w:w="1100" w:type="dxa"/>
            <w:tcBorders>
              <w:top w:val="nil"/>
              <w:left w:val="single" w:sz="12" w:space="0" w:color="auto"/>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34,069</w:t>
            </w:r>
          </w:p>
        </w:tc>
        <w:tc>
          <w:tcPr>
            <w:tcW w:w="1060" w:type="dxa"/>
            <w:tcBorders>
              <w:top w:val="nil"/>
              <w:left w:val="nil"/>
              <w:bottom w:val="single" w:sz="12" w:space="0" w:color="auto"/>
              <w:right w:val="single" w:sz="12" w:space="0" w:color="auto"/>
            </w:tcBorders>
            <w:shd w:val="clear" w:color="auto" w:fill="auto"/>
            <w:noWrap/>
            <w:vAlign w:val="center"/>
            <w:hideMark/>
          </w:tcPr>
          <w:p w:rsidR="003139ED" w:rsidRPr="003139ED" w:rsidRDefault="003139ED" w:rsidP="003139ED">
            <w:pPr>
              <w:jc w:val="right"/>
              <w:rPr>
                <w:rFonts w:eastAsia="Times New Roman" w:cs="Arial"/>
                <w:b/>
                <w:bCs/>
                <w:sz w:val="20"/>
                <w:szCs w:val="20"/>
                <w:lang w:eastAsia="en-AU"/>
              </w:rPr>
            </w:pPr>
            <w:r w:rsidRPr="003139ED">
              <w:rPr>
                <w:rFonts w:eastAsia="Times New Roman" w:cs="Arial"/>
                <w:b/>
                <w:bCs/>
                <w:sz w:val="20"/>
                <w:szCs w:val="20"/>
                <w:lang w:eastAsia="en-AU"/>
              </w:rPr>
              <w:t>39,773</w:t>
            </w:r>
          </w:p>
        </w:tc>
      </w:tr>
    </w:tbl>
    <w:p w:rsidR="006F3CFB" w:rsidRDefault="003139ED" w:rsidP="0029462D">
      <w:pPr>
        <w:rPr>
          <w:rFonts w:eastAsia="Times New Roman" w:cs="Arial"/>
        </w:rPr>
      </w:pPr>
      <w:r>
        <w:rPr>
          <w:rFonts w:eastAsia="Times New Roman" w:cs="Arial"/>
        </w:rPr>
        <w:fldChar w:fldCharType="end"/>
      </w:r>
    </w:p>
    <w:p w:rsidR="006F3CFB" w:rsidRPr="0029462D" w:rsidRDefault="006F3CFB" w:rsidP="0029462D">
      <w:pPr>
        <w:rPr>
          <w:rFonts w:eastAsia="Times New Roman" w:cs="Arial"/>
        </w:rPr>
        <w:sectPr w:rsidR="006F3CFB" w:rsidRPr="0029462D" w:rsidSect="002A4E94">
          <w:pgSz w:w="16840" w:h="11907" w:orient="landscape" w:code="9"/>
          <w:pgMar w:top="993" w:right="1418" w:bottom="1440" w:left="1418" w:header="567" w:footer="567" w:gutter="0"/>
          <w:cols w:space="720"/>
          <w:docGrid w:linePitch="299"/>
        </w:sectPr>
      </w:pPr>
    </w:p>
    <w:p w:rsidR="006E0921" w:rsidRPr="00E04AAA" w:rsidRDefault="00DE3B85" w:rsidP="006E0921">
      <w:pPr>
        <w:pStyle w:val="Heading2"/>
        <w:rPr>
          <w:lang w:eastAsia="en-AU"/>
        </w:rPr>
      </w:pPr>
      <w:bookmarkStart w:id="133" w:name="_Toc4056379"/>
      <w:r w:rsidRPr="006D5E17">
        <w:rPr>
          <w:lang w:eastAsia="en-AU"/>
        </w:rPr>
        <w:lastRenderedPageBreak/>
        <w:t>7</w:t>
      </w:r>
      <w:r w:rsidR="006E0921" w:rsidRPr="006D5E17">
        <w:rPr>
          <w:lang w:eastAsia="en-AU"/>
        </w:rPr>
        <w:t>. Financial performance indicators</w:t>
      </w:r>
      <w:bookmarkEnd w:id="133"/>
    </w:p>
    <w:p w:rsidR="006E0921" w:rsidRPr="00E04AAA" w:rsidRDefault="006E0921" w:rsidP="006E0921">
      <w:pPr>
        <w:jc w:val="both"/>
        <w:rPr>
          <w:rFonts w:eastAsia="Times New Roman" w:cs="Arial"/>
        </w:rPr>
      </w:pPr>
    </w:p>
    <w:p w:rsidR="006E0921" w:rsidRPr="00E04AAA" w:rsidRDefault="006E0921" w:rsidP="006E0921">
      <w:pPr>
        <w:jc w:val="both"/>
        <w:rPr>
          <w:rFonts w:eastAsia="Times New Roman" w:cs="Arial"/>
        </w:rPr>
      </w:pPr>
      <w:r w:rsidRPr="00E04AAA">
        <w:rPr>
          <w:rFonts w:eastAsia="Times New Roman" w:cs="Arial"/>
        </w:rPr>
        <w:t xml:space="preserve">The following table highlights Council’s current and projected performance across a range of key financial performance indicators. These indicators provide a useful analysis of Council’s financial position and performance and should be </w:t>
      </w:r>
      <w:r>
        <w:rPr>
          <w:rFonts w:eastAsia="Times New Roman" w:cs="Arial"/>
        </w:rPr>
        <w:t>interpreted</w:t>
      </w:r>
      <w:r w:rsidRPr="00E04AAA">
        <w:rPr>
          <w:rFonts w:eastAsia="Times New Roman" w:cs="Arial"/>
        </w:rPr>
        <w:t xml:space="preserve"> in the context of Council’s future outcomes and priority actions.</w:t>
      </w:r>
    </w:p>
    <w:p w:rsidR="006E0921" w:rsidRDefault="006E0921" w:rsidP="008B22EE">
      <w:pPr>
        <w:jc w:val="right"/>
        <w:rPr>
          <w:rFonts w:eastAsia="Times New Roman" w:cs="Arial"/>
          <w:b/>
          <w:sz w:val="20"/>
          <w:szCs w:val="20"/>
        </w:rPr>
      </w:pPr>
    </w:p>
    <w:tbl>
      <w:tblPr>
        <w:tblW w:w="5000" w:type="pct"/>
        <w:tblCellMar>
          <w:left w:w="0" w:type="dxa"/>
          <w:right w:w="0" w:type="dxa"/>
        </w:tblCellMar>
        <w:tblLook w:val="04A0" w:firstRow="1" w:lastRow="0" w:firstColumn="1" w:lastColumn="0" w:noHBand="0" w:noVBand="1"/>
      </w:tblPr>
      <w:tblGrid>
        <w:gridCol w:w="1998"/>
        <w:gridCol w:w="5445"/>
        <w:gridCol w:w="798"/>
        <w:gridCol w:w="787"/>
        <w:gridCol w:w="1047"/>
        <w:gridCol w:w="787"/>
        <w:gridCol w:w="787"/>
        <w:gridCol w:w="787"/>
        <w:gridCol w:w="787"/>
        <w:gridCol w:w="781"/>
      </w:tblGrid>
      <w:tr w:rsidR="00DA21EF" w:rsidTr="00DA21EF">
        <w:trPr>
          <w:trHeight w:val="555"/>
        </w:trPr>
        <w:tc>
          <w:tcPr>
            <w:tcW w:w="713" w:type="pct"/>
            <w:vMerge w:val="restart"/>
            <w:tcBorders>
              <w:top w:val="nil"/>
              <w:left w:val="nil"/>
              <w:bottom w:val="nil"/>
              <w:right w:val="nil"/>
            </w:tcBorders>
            <w:shd w:val="clear" w:color="000000" w:fill="5B9BD5"/>
            <w:vAlign w:val="center"/>
            <w:hideMark/>
          </w:tcPr>
          <w:p w:rsidR="00DA21EF" w:rsidRDefault="00DA21EF">
            <w:pPr>
              <w:jc w:val="center"/>
              <w:rPr>
                <w:rFonts w:cs="Arial"/>
                <w:color w:val="FFFFFF"/>
                <w:sz w:val="18"/>
                <w:szCs w:val="18"/>
                <w:lang w:eastAsia="en-AU"/>
              </w:rPr>
            </w:pPr>
            <w:r>
              <w:rPr>
                <w:rFonts w:cs="Arial"/>
                <w:color w:val="FFFFFF"/>
                <w:sz w:val="18"/>
                <w:szCs w:val="18"/>
              </w:rPr>
              <w:t> </w:t>
            </w:r>
            <w:r>
              <w:rPr>
                <w:rFonts w:cs="Arial"/>
                <w:b/>
                <w:bCs/>
                <w:color w:val="FFFFFF"/>
                <w:sz w:val="18"/>
                <w:szCs w:val="18"/>
              </w:rPr>
              <w:t>Indicator</w:t>
            </w:r>
          </w:p>
        </w:tc>
        <w:tc>
          <w:tcPr>
            <w:tcW w:w="1944" w:type="pct"/>
            <w:vMerge w:val="restar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Measure</w:t>
            </w:r>
          </w:p>
        </w:tc>
        <w:tc>
          <w:tcPr>
            <w:tcW w:w="285" w:type="pct"/>
            <w:vMerge w:val="restart"/>
            <w:tcBorders>
              <w:top w:val="nil"/>
              <w:left w:val="nil"/>
              <w:bottom w:val="nil"/>
              <w:right w:val="nil"/>
            </w:tcBorders>
            <w:shd w:val="clear" w:color="000000" w:fill="5B9BD5"/>
            <w:noWrap/>
            <w:textDirection w:val="btLr"/>
            <w:vAlign w:val="center"/>
            <w:hideMark/>
          </w:tcPr>
          <w:p w:rsidR="00DA21EF" w:rsidRDefault="00DA21EF">
            <w:pPr>
              <w:jc w:val="center"/>
              <w:rPr>
                <w:rFonts w:cs="Arial"/>
                <w:b/>
                <w:bCs/>
                <w:color w:val="FFFFFF"/>
                <w:sz w:val="18"/>
                <w:szCs w:val="18"/>
              </w:rPr>
            </w:pPr>
            <w:r>
              <w:rPr>
                <w:rFonts w:cs="Arial"/>
                <w:b/>
                <w:bCs/>
                <w:color w:val="FFFFFF"/>
                <w:sz w:val="18"/>
                <w:szCs w:val="18"/>
              </w:rPr>
              <w:t>Notes</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Actual</w:t>
            </w:r>
          </w:p>
        </w:tc>
        <w:tc>
          <w:tcPr>
            <w:tcW w:w="374"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Forecast</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 xml:space="preserve">Budget </w:t>
            </w:r>
          </w:p>
        </w:tc>
        <w:tc>
          <w:tcPr>
            <w:tcW w:w="842" w:type="pct"/>
            <w:gridSpan w:val="3"/>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Strategic Resource Plan Projections</w:t>
            </w:r>
          </w:p>
        </w:tc>
        <w:tc>
          <w:tcPr>
            <w:tcW w:w="280"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Trend</w:t>
            </w:r>
          </w:p>
        </w:tc>
      </w:tr>
      <w:tr w:rsidR="00DA21EF" w:rsidTr="00DA21EF">
        <w:trPr>
          <w:trHeight w:val="290"/>
        </w:trPr>
        <w:tc>
          <w:tcPr>
            <w:tcW w:w="713" w:type="pct"/>
            <w:vMerge/>
            <w:tcBorders>
              <w:top w:val="nil"/>
              <w:left w:val="nil"/>
              <w:bottom w:val="nil"/>
              <w:right w:val="nil"/>
            </w:tcBorders>
            <w:vAlign w:val="center"/>
            <w:hideMark/>
          </w:tcPr>
          <w:p w:rsidR="00DA21EF" w:rsidRDefault="00DA21EF">
            <w:pPr>
              <w:rPr>
                <w:rFonts w:cs="Arial"/>
                <w:color w:val="FFFFFF"/>
                <w:sz w:val="18"/>
                <w:szCs w:val="18"/>
              </w:rPr>
            </w:pPr>
          </w:p>
        </w:tc>
        <w:tc>
          <w:tcPr>
            <w:tcW w:w="1944" w:type="pct"/>
            <w:vMerge/>
            <w:tcBorders>
              <w:top w:val="nil"/>
              <w:left w:val="nil"/>
              <w:bottom w:val="nil"/>
              <w:right w:val="nil"/>
            </w:tcBorders>
            <w:vAlign w:val="center"/>
            <w:hideMark/>
          </w:tcPr>
          <w:p w:rsidR="00DA21EF" w:rsidRDefault="00DA21EF">
            <w:pPr>
              <w:rPr>
                <w:rFonts w:cs="Arial"/>
                <w:b/>
                <w:bCs/>
                <w:color w:val="FFFFFF"/>
                <w:sz w:val="18"/>
                <w:szCs w:val="18"/>
              </w:rPr>
            </w:pPr>
          </w:p>
        </w:tc>
        <w:tc>
          <w:tcPr>
            <w:tcW w:w="285" w:type="pct"/>
            <w:vMerge/>
            <w:tcBorders>
              <w:top w:val="nil"/>
              <w:left w:val="nil"/>
              <w:bottom w:val="nil"/>
              <w:right w:val="nil"/>
            </w:tcBorders>
            <w:vAlign w:val="center"/>
            <w:hideMark/>
          </w:tcPr>
          <w:p w:rsidR="00DA21EF" w:rsidRDefault="00DA21EF">
            <w:pPr>
              <w:rPr>
                <w:rFonts w:cs="Arial"/>
                <w:b/>
                <w:bCs/>
                <w:color w:val="FFFFFF"/>
                <w:sz w:val="18"/>
                <w:szCs w:val="18"/>
              </w:rPr>
            </w:pP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2018/19</w:t>
            </w:r>
          </w:p>
        </w:tc>
        <w:tc>
          <w:tcPr>
            <w:tcW w:w="374"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2019/20</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2020/21</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2021/22</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2022/23</w:t>
            </w:r>
          </w:p>
        </w:tc>
        <w:tc>
          <w:tcPr>
            <w:tcW w:w="281"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2023/24</w:t>
            </w:r>
          </w:p>
        </w:tc>
        <w:tc>
          <w:tcPr>
            <w:tcW w:w="280" w:type="pct"/>
            <w:tcBorders>
              <w:top w:val="nil"/>
              <w:left w:val="nil"/>
              <w:bottom w:val="nil"/>
              <w:right w:val="nil"/>
            </w:tcBorders>
            <w:shd w:val="clear" w:color="000000" w:fill="5B9BD5"/>
            <w:vAlign w:val="center"/>
            <w:hideMark/>
          </w:tcPr>
          <w:p w:rsidR="00DA21EF" w:rsidRDefault="00DA21EF">
            <w:pPr>
              <w:jc w:val="center"/>
              <w:rPr>
                <w:rFonts w:cs="Arial"/>
                <w:b/>
                <w:bCs/>
                <w:color w:val="FFFFFF"/>
                <w:sz w:val="18"/>
                <w:szCs w:val="18"/>
              </w:rPr>
            </w:pPr>
            <w:r>
              <w:rPr>
                <w:rFonts w:cs="Arial"/>
                <w:b/>
                <w:bCs/>
                <w:color w:val="FFFFFF"/>
                <w:sz w:val="18"/>
                <w:szCs w:val="18"/>
              </w:rPr>
              <w:t>+/o/-</w:t>
            </w:r>
          </w:p>
        </w:tc>
      </w:tr>
      <w:tr w:rsidR="00DA21EF" w:rsidTr="00DA21EF">
        <w:trPr>
          <w:trHeight w:val="290"/>
        </w:trPr>
        <w:tc>
          <w:tcPr>
            <w:tcW w:w="2657" w:type="pct"/>
            <w:gridSpan w:val="2"/>
            <w:tcBorders>
              <w:top w:val="nil"/>
              <w:left w:val="nil"/>
              <w:bottom w:val="nil"/>
              <w:right w:val="nil"/>
            </w:tcBorders>
            <w:shd w:val="clear" w:color="auto" w:fill="auto"/>
            <w:vAlign w:val="center"/>
            <w:hideMark/>
          </w:tcPr>
          <w:p w:rsidR="00DA21EF" w:rsidRDefault="00DA21EF">
            <w:pPr>
              <w:rPr>
                <w:rFonts w:cs="Arial"/>
                <w:b/>
                <w:bCs/>
                <w:i/>
                <w:iCs/>
                <w:sz w:val="20"/>
                <w:szCs w:val="20"/>
              </w:rPr>
            </w:pPr>
            <w:r>
              <w:rPr>
                <w:rFonts w:cs="Arial"/>
                <w:b/>
                <w:bCs/>
                <w:i/>
                <w:iCs/>
                <w:sz w:val="20"/>
                <w:szCs w:val="20"/>
              </w:rPr>
              <w:t>Operating position</w:t>
            </w:r>
          </w:p>
        </w:tc>
        <w:tc>
          <w:tcPr>
            <w:tcW w:w="285" w:type="pct"/>
            <w:tcBorders>
              <w:top w:val="nil"/>
              <w:left w:val="nil"/>
              <w:bottom w:val="nil"/>
              <w:right w:val="nil"/>
            </w:tcBorders>
            <w:shd w:val="clear" w:color="auto" w:fill="auto"/>
            <w:vAlign w:val="center"/>
            <w:hideMark/>
          </w:tcPr>
          <w:p w:rsidR="00DA21EF" w:rsidRDefault="00DA21EF">
            <w:pPr>
              <w:rPr>
                <w:rFonts w:cs="Arial"/>
                <w:b/>
                <w:bCs/>
                <w:i/>
                <w:iCs/>
                <w:sz w:val="20"/>
                <w:szCs w:val="20"/>
              </w:rPr>
            </w:pPr>
          </w:p>
        </w:tc>
        <w:tc>
          <w:tcPr>
            <w:tcW w:w="281" w:type="pct"/>
            <w:tcBorders>
              <w:top w:val="nil"/>
              <w:left w:val="nil"/>
              <w:bottom w:val="nil"/>
              <w:right w:val="nil"/>
            </w:tcBorders>
            <w:shd w:val="clear" w:color="000000" w:fill="FFFFFF"/>
            <w:vAlign w:val="center"/>
            <w:hideMark/>
          </w:tcPr>
          <w:p w:rsidR="00DA21EF" w:rsidRDefault="00DA21EF">
            <w:pPr>
              <w:jc w:val="right"/>
              <w:rPr>
                <w:rFonts w:cs="Arial"/>
                <w:b/>
                <w:bCs/>
                <w:sz w:val="20"/>
                <w:szCs w:val="20"/>
              </w:rPr>
            </w:pPr>
            <w:r>
              <w:rPr>
                <w:rFonts w:cs="Arial"/>
                <w:b/>
                <w:bCs/>
                <w:sz w:val="20"/>
                <w:szCs w:val="20"/>
              </w:rPr>
              <w:t> </w:t>
            </w:r>
          </w:p>
        </w:tc>
        <w:tc>
          <w:tcPr>
            <w:tcW w:w="374" w:type="pct"/>
            <w:tcBorders>
              <w:top w:val="nil"/>
              <w:left w:val="nil"/>
              <w:bottom w:val="nil"/>
              <w:right w:val="nil"/>
            </w:tcBorders>
            <w:shd w:val="clear" w:color="auto" w:fill="auto"/>
            <w:vAlign w:val="center"/>
            <w:hideMark/>
          </w:tcPr>
          <w:p w:rsidR="00DA21EF" w:rsidRDefault="00DA21EF">
            <w:pPr>
              <w:jc w:val="right"/>
              <w:rPr>
                <w:rFonts w:cs="Arial"/>
                <w:b/>
                <w:bCs/>
                <w:sz w:val="20"/>
                <w:szCs w:val="20"/>
              </w:rPr>
            </w:pPr>
          </w:p>
        </w:tc>
        <w:tc>
          <w:tcPr>
            <w:tcW w:w="281" w:type="pct"/>
            <w:tcBorders>
              <w:top w:val="nil"/>
              <w:left w:val="nil"/>
              <w:bottom w:val="nil"/>
              <w:right w:val="nil"/>
            </w:tcBorders>
            <w:shd w:val="clear" w:color="000000" w:fill="DDEBF7"/>
            <w:vAlign w:val="center"/>
            <w:hideMark/>
          </w:tcPr>
          <w:p w:rsidR="00DA21EF" w:rsidRDefault="00DA21EF">
            <w:pPr>
              <w:jc w:val="right"/>
              <w:rPr>
                <w:rFonts w:cs="Arial"/>
                <w:b/>
                <w:bCs/>
                <w:color w:val="FFFFFF"/>
                <w:sz w:val="20"/>
                <w:szCs w:val="20"/>
              </w:rPr>
            </w:pPr>
            <w:r>
              <w:rPr>
                <w:rFonts w:cs="Arial"/>
                <w:b/>
                <w:bCs/>
                <w:color w:val="FFFFFF"/>
                <w:sz w:val="20"/>
                <w:szCs w:val="20"/>
              </w:rPr>
              <w:t> </w:t>
            </w:r>
          </w:p>
        </w:tc>
        <w:tc>
          <w:tcPr>
            <w:tcW w:w="281" w:type="pct"/>
            <w:tcBorders>
              <w:top w:val="nil"/>
              <w:left w:val="nil"/>
              <w:bottom w:val="nil"/>
              <w:right w:val="nil"/>
            </w:tcBorders>
            <w:shd w:val="clear" w:color="auto" w:fill="auto"/>
            <w:vAlign w:val="center"/>
            <w:hideMark/>
          </w:tcPr>
          <w:p w:rsidR="00DA21EF" w:rsidRDefault="00DA21EF">
            <w:pPr>
              <w:jc w:val="right"/>
              <w:rPr>
                <w:rFonts w:cs="Arial"/>
                <w:b/>
                <w:bCs/>
                <w:color w:val="FFFFFF"/>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0" w:type="pct"/>
            <w:tcBorders>
              <w:top w:val="nil"/>
              <w:left w:val="nil"/>
              <w:bottom w:val="nil"/>
              <w:right w:val="nil"/>
            </w:tcBorders>
            <w:shd w:val="clear" w:color="auto" w:fill="auto"/>
            <w:noWrap/>
            <w:vAlign w:val="center"/>
            <w:hideMark/>
          </w:tcPr>
          <w:p w:rsidR="00DA21EF" w:rsidRDefault="00DA21EF">
            <w:pPr>
              <w:jc w:val="right"/>
              <w:rPr>
                <w:sz w:val="20"/>
                <w:szCs w:val="20"/>
              </w:rPr>
            </w:pPr>
          </w:p>
        </w:tc>
      </w:tr>
      <w:tr w:rsidR="00DA21EF" w:rsidTr="00DA21EF">
        <w:trPr>
          <w:trHeight w:val="300"/>
        </w:trPr>
        <w:tc>
          <w:tcPr>
            <w:tcW w:w="713"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Adjusted underlying result</w:t>
            </w:r>
          </w:p>
        </w:tc>
        <w:tc>
          <w:tcPr>
            <w:tcW w:w="1944"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Adjusted underlying surplus (deficit) / Adjusted underlying revenue</w:t>
            </w:r>
          </w:p>
        </w:tc>
        <w:tc>
          <w:tcPr>
            <w:tcW w:w="285" w:type="pct"/>
            <w:tcBorders>
              <w:top w:val="nil"/>
              <w:left w:val="nil"/>
              <w:bottom w:val="single" w:sz="8" w:space="0" w:color="auto"/>
              <w:right w:val="nil"/>
            </w:tcBorders>
            <w:shd w:val="clear" w:color="auto" w:fill="auto"/>
            <w:vAlign w:val="center"/>
            <w:hideMark/>
          </w:tcPr>
          <w:p w:rsidR="00DA21EF" w:rsidRDefault="00DA21EF">
            <w:pPr>
              <w:jc w:val="center"/>
              <w:rPr>
                <w:rFonts w:cs="Arial"/>
                <w:sz w:val="20"/>
                <w:szCs w:val="20"/>
              </w:rPr>
            </w:pPr>
            <w:r>
              <w:rPr>
                <w:rFonts w:cs="Arial"/>
                <w:sz w:val="20"/>
                <w:szCs w:val="20"/>
              </w:rPr>
              <w:t>1</w:t>
            </w:r>
          </w:p>
        </w:tc>
        <w:tc>
          <w:tcPr>
            <w:tcW w:w="281" w:type="pct"/>
            <w:tcBorders>
              <w:top w:val="nil"/>
              <w:left w:val="nil"/>
              <w:bottom w:val="single" w:sz="8" w:space="0" w:color="auto"/>
              <w:right w:val="nil"/>
            </w:tcBorders>
            <w:shd w:val="clear" w:color="000000" w:fill="FFFFFF"/>
            <w:vAlign w:val="center"/>
            <w:hideMark/>
          </w:tcPr>
          <w:p w:rsidR="00DA21EF" w:rsidRDefault="00DA21EF">
            <w:pPr>
              <w:jc w:val="right"/>
              <w:rPr>
                <w:rFonts w:cs="Arial"/>
                <w:sz w:val="20"/>
                <w:szCs w:val="20"/>
              </w:rPr>
            </w:pPr>
            <w:r>
              <w:rPr>
                <w:rFonts w:cs="Arial"/>
                <w:sz w:val="20"/>
                <w:szCs w:val="20"/>
              </w:rPr>
              <w:t>6.58%</w:t>
            </w:r>
          </w:p>
        </w:tc>
        <w:tc>
          <w:tcPr>
            <w:tcW w:w="374"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0.84%</w:t>
            </w:r>
          </w:p>
        </w:tc>
        <w:tc>
          <w:tcPr>
            <w:tcW w:w="281" w:type="pct"/>
            <w:tcBorders>
              <w:top w:val="nil"/>
              <w:left w:val="nil"/>
              <w:bottom w:val="single" w:sz="8" w:space="0" w:color="auto"/>
              <w:right w:val="nil"/>
            </w:tcBorders>
            <w:shd w:val="clear" w:color="000000" w:fill="DDEBF7"/>
            <w:vAlign w:val="center"/>
            <w:hideMark/>
          </w:tcPr>
          <w:p w:rsidR="00DA21EF" w:rsidRDefault="00DA21EF">
            <w:pPr>
              <w:jc w:val="right"/>
              <w:rPr>
                <w:rFonts w:cs="Arial"/>
                <w:sz w:val="20"/>
                <w:szCs w:val="20"/>
              </w:rPr>
            </w:pPr>
            <w:r>
              <w:rPr>
                <w:rFonts w:cs="Arial"/>
                <w:sz w:val="20"/>
                <w:szCs w:val="20"/>
              </w:rPr>
              <w:t>9.09%</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4.15%</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5.92%</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5.63%</w:t>
            </w:r>
          </w:p>
        </w:tc>
        <w:tc>
          <w:tcPr>
            <w:tcW w:w="280" w:type="pct"/>
            <w:tcBorders>
              <w:top w:val="nil"/>
              <w:left w:val="nil"/>
              <w:bottom w:val="single" w:sz="8" w:space="0" w:color="auto"/>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w:t>
            </w: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b/>
                <w:bCs/>
                <w:i/>
                <w:iCs/>
                <w:sz w:val="20"/>
                <w:szCs w:val="20"/>
              </w:rPr>
            </w:pPr>
            <w:r>
              <w:rPr>
                <w:rFonts w:cs="Arial"/>
                <w:b/>
                <w:bCs/>
                <w:i/>
                <w:iCs/>
                <w:sz w:val="20"/>
                <w:szCs w:val="20"/>
              </w:rPr>
              <w:t>Liquidity</w:t>
            </w:r>
          </w:p>
        </w:tc>
        <w:tc>
          <w:tcPr>
            <w:tcW w:w="1944" w:type="pct"/>
            <w:tcBorders>
              <w:top w:val="nil"/>
              <w:left w:val="nil"/>
              <w:bottom w:val="nil"/>
              <w:right w:val="nil"/>
            </w:tcBorders>
            <w:shd w:val="clear" w:color="auto" w:fill="auto"/>
            <w:vAlign w:val="center"/>
            <w:hideMark/>
          </w:tcPr>
          <w:p w:rsidR="00DA21EF" w:rsidRDefault="00DA21EF">
            <w:pPr>
              <w:rPr>
                <w:rFonts w:cs="Arial"/>
                <w:b/>
                <w:bCs/>
                <w:i/>
                <w:iCs/>
                <w:sz w:val="20"/>
                <w:szCs w:val="20"/>
              </w:rPr>
            </w:pPr>
          </w:p>
        </w:tc>
        <w:tc>
          <w:tcPr>
            <w:tcW w:w="285" w:type="pct"/>
            <w:tcBorders>
              <w:top w:val="nil"/>
              <w:left w:val="nil"/>
              <w:bottom w:val="nil"/>
              <w:right w:val="nil"/>
            </w:tcBorders>
            <w:shd w:val="clear" w:color="auto" w:fill="auto"/>
            <w:vAlign w:val="center"/>
            <w:hideMark/>
          </w:tcPr>
          <w:p w:rsidR="00DA21EF" w:rsidRDefault="00DA21EF">
            <w:pPr>
              <w:rPr>
                <w:sz w:val="20"/>
                <w:szCs w:val="20"/>
              </w:rPr>
            </w:pPr>
          </w:p>
        </w:tc>
        <w:tc>
          <w:tcPr>
            <w:tcW w:w="281" w:type="pct"/>
            <w:tcBorders>
              <w:top w:val="nil"/>
              <w:left w:val="nil"/>
              <w:bottom w:val="nil"/>
              <w:right w:val="nil"/>
            </w:tcBorders>
            <w:shd w:val="clear" w:color="000000" w:fill="FFFFFF"/>
            <w:vAlign w:val="center"/>
            <w:hideMark/>
          </w:tcPr>
          <w:p w:rsidR="00DA21EF" w:rsidRDefault="00DA21EF">
            <w:pPr>
              <w:jc w:val="right"/>
              <w:rPr>
                <w:rFonts w:cs="Arial"/>
                <w:color w:val="FF0000"/>
                <w:sz w:val="20"/>
                <w:szCs w:val="20"/>
              </w:rPr>
            </w:pPr>
            <w:r>
              <w:rPr>
                <w:rFonts w:cs="Arial"/>
                <w:color w:val="FF0000"/>
                <w:sz w:val="20"/>
                <w:szCs w:val="20"/>
              </w:rPr>
              <w:t> </w:t>
            </w:r>
          </w:p>
        </w:tc>
        <w:tc>
          <w:tcPr>
            <w:tcW w:w="374" w:type="pct"/>
            <w:tcBorders>
              <w:top w:val="nil"/>
              <w:left w:val="nil"/>
              <w:bottom w:val="nil"/>
              <w:right w:val="nil"/>
            </w:tcBorders>
            <w:shd w:val="clear" w:color="auto" w:fill="auto"/>
            <w:vAlign w:val="center"/>
            <w:hideMark/>
          </w:tcPr>
          <w:p w:rsidR="00DA21EF" w:rsidRDefault="00DA21EF">
            <w:pPr>
              <w:jc w:val="right"/>
              <w:rPr>
                <w:rFonts w:cs="Arial"/>
                <w:color w:val="FF0000"/>
                <w:sz w:val="20"/>
                <w:szCs w:val="20"/>
              </w:rPr>
            </w:pP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 </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0" w:type="pct"/>
            <w:tcBorders>
              <w:top w:val="nil"/>
              <w:left w:val="nil"/>
              <w:bottom w:val="nil"/>
              <w:right w:val="nil"/>
            </w:tcBorders>
            <w:shd w:val="clear" w:color="auto" w:fill="auto"/>
            <w:noWrap/>
            <w:vAlign w:val="center"/>
            <w:hideMark/>
          </w:tcPr>
          <w:p w:rsidR="00DA21EF" w:rsidRDefault="00DA21EF">
            <w:pPr>
              <w:jc w:val="right"/>
              <w:rPr>
                <w:sz w:val="20"/>
                <w:szCs w:val="20"/>
              </w:rPr>
            </w:pP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Working Capital</w:t>
            </w:r>
          </w:p>
        </w:tc>
        <w:tc>
          <w:tcPr>
            <w:tcW w:w="1944"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Current assets / current liabilities</w:t>
            </w:r>
          </w:p>
        </w:tc>
        <w:tc>
          <w:tcPr>
            <w:tcW w:w="285" w:type="pct"/>
            <w:tcBorders>
              <w:top w:val="nil"/>
              <w:left w:val="nil"/>
              <w:bottom w:val="nil"/>
              <w:right w:val="nil"/>
            </w:tcBorders>
            <w:shd w:val="clear" w:color="auto" w:fill="auto"/>
            <w:vAlign w:val="center"/>
            <w:hideMark/>
          </w:tcPr>
          <w:p w:rsidR="00DA21EF" w:rsidRDefault="00DA21EF">
            <w:pPr>
              <w:jc w:val="center"/>
              <w:rPr>
                <w:rFonts w:cs="Arial"/>
                <w:sz w:val="20"/>
                <w:szCs w:val="20"/>
              </w:rPr>
            </w:pPr>
            <w:r>
              <w:rPr>
                <w:rFonts w:cs="Arial"/>
                <w:sz w:val="20"/>
                <w:szCs w:val="20"/>
              </w:rPr>
              <w:t>2</w:t>
            </w:r>
          </w:p>
        </w:tc>
        <w:tc>
          <w:tcPr>
            <w:tcW w:w="281" w:type="pct"/>
            <w:tcBorders>
              <w:top w:val="nil"/>
              <w:left w:val="nil"/>
              <w:bottom w:val="nil"/>
              <w:right w:val="nil"/>
            </w:tcBorders>
            <w:shd w:val="clear" w:color="000000" w:fill="FFFFFF"/>
            <w:vAlign w:val="center"/>
            <w:hideMark/>
          </w:tcPr>
          <w:p w:rsidR="00DA21EF" w:rsidRDefault="00DA21EF">
            <w:pPr>
              <w:jc w:val="right"/>
              <w:rPr>
                <w:rFonts w:cs="Arial"/>
                <w:sz w:val="20"/>
                <w:szCs w:val="20"/>
              </w:rPr>
            </w:pPr>
            <w:r>
              <w:rPr>
                <w:rFonts w:cs="Arial"/>
                <w:sz w:val="20"/>
                <w:szCs w:val="20"/>
              </w:rPr>
              <w:t>199.1%</w:t>
            </w:r>
          </w:p>
        </w:tc>
        <w:tc>
          <w:tcPr>
            <w:tcW w:w="374"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160.2%</w:t>
            </w: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113.6%</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110.2%</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112.6%</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100.4%</w:t>
            </w:r>
          </w:p>
        </w:tc>
        <w:tc>
          <w:tcPr>
            <w:tcW w:w="280" w:type="pct"/>
            <w:tcBorders>
              <w:top w:val="nil"/>
              <w:left w:val="nil"/>
              <w:bottom w:val="nil"/>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w:t>
            </w:r>
          </w:p>
        </w:tc>
      </w:tr>
      <w:tr w:rsidR="00DA21EF" w:rsidTr="00DA21EF">
        <w:trPr>
          <w:trHeight w:val="300"/>
        </w:trPr>
        <w:tc>
          <w:tcPr>
            <w:tcW w:w="713"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Unrestricted cash</w:t>
            </w:r>
          </w:p>
        </w:tc>
        <w:tc>
          <w:tcPr>
            <w:tcW w:w="1944"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Unrestricted cash / current liabilities</w:t>
            </w:r>
          </w:p>
        </w:tc>
        <w:tc>
          <w:tcPr>
            <w:tcW w:w="285" w:type="pct"/>
            <w:tcBorders>
              <w:top w:val="nil"/>
              <w:left w:val="nil"/>
              <w:bottom w:val="single" w:sz="8" w:space="0" w:color="auto"/>
              <w:right w:val="nil"/>
            </w:tcBorders>
            <w:shd w:val="clear" w:color="auto" w:fill="auto"/>
            <w:vAlign w:val="center"/>
            <w:hideMark/>
          </w:tcPr>
          <w:p w:rsidR="00DA21EF" w:rsidRDefault="00DA21EF">
            <w:pPr>
              <w:jc w:val="center"/>
              <w:rPr>
                <w:rFonts w:cs="Arial"/>
                <w:color w:val="FF0000"/>
                <w:sz w:val="20"/>
                <w:szCs w:val="20"/>
              </w:rPr>
            </w:pPr>
            <w:r>
              <w:rPr>
                <w:rFonts w:cs="Arial"/>
                <w:color w:val="FF0000"/>
                <w:sz w:val="20"/>
                <w:szCs w:val="20"/>
              </w:rPr>
              <w:t> </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9.7%</w:t>
            </w:r>
          </w:p>
        </w:tc>
        <w:tc>
          <w:tcPr>
            <w:tcW w:w="374"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47.9%</w:t>
            </w:r>
          </w:p>
        </w:tc>
        <w:tc>
          <w:tcPr>
            <w:tcW w:w="281" w:type="pct"/>
            <w:tcBorders>
              <w:top w:val="nil"/>
              <w:left w:val="nil"/>
              <w:bottom w:val="single" w:sz="8" w:space="0" w:color="auto"/>
              <w:right w:val="nil"/>
            </w:tcBorders>
            <w:shd w:val="clear" w:color="000000" w:fill="DDEBF7"/>
            <w:vAlign w:val="center"/>
            <w:hideMark/>
          </w:tcPr>
          <w:p w:rsidR="00DA21EF" w:rsidRDefault="00DA21EF">
            <w:pPr>
              <w:jc w:val="right"/>
              <w:rPr>
                <w:rFonts w:cs="Arial"/>
                <w:sz w:val="20"/>
                <w:szCs w:val="20"/>
              </w:rPr>
            </w:pPr>
            <w:r>
              <w:rPr>
                <w:rFonts w:cs="Arial"/>
                <w:sz w:val="20"/>
                <w:szCs w:val="20"/>
              </w:rPr>
              <w:t>28%</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21%</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17%</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7%</w:t>
            </w:r>
          </w:p>
        </w:tc>
        <w:tc>
          <w:tcPr>
            <w:tcW w:w="280" w:type="pct"/>
            <w:tcBorders>
              <w:top w:val="nil"/>
              <w:left w:val="nil"/>
              <w:bottom w:val="single" w:sz="8" w:space="0" w:color="auto"/>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w:t>
            </w: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b/>
                <w:bCs/>
                <w:i/>
                <w:iCs/>
                <w:sz w:val="20"/>
                <w:szCs w:val="20"/>
              </w:rPr>
            </w:pPr>
            <w:r>
              <w:rPr>
                <w:rFonts w:cs="Arial"/>
                <w:b/>
                <w:bCs/>
                <w:i/>
                <w:iCs/>
                <w:sz w:val="20"/>
                <w:szCs w:val="20"/>
              </w:rPr>
              <w:t>Obligations</w:t>
            </w:r>
          </w:p>
        </w:tc>
        <w:tc>
          <w:tcPr>
            <w:tcW w:w="1944" w:type="pct"/>
            <w:tcBorders>
              <w:top w:val="nil"/>
              <w:left w:val="nil"/>
              <w:bottom w:val="nil"/>
              <w:right w:val="nil"/>
            </w:tcBorders>
            <w:shd w:val="clear" w:color="auto" w:fill="auto"/>
            <w:vAlign w:val="center"/>
            <w:hideMark/>
          </w:tcPr>
          <w:p w:rsidR="00DA21EF" w:rsidRDefault="00DA21EF">
            <w:pPr>
              <w:rPr>
                <w:rFonts w:cs="Arial"/>
                <w:b/>
                <w:bCs/>
                <w:i/>
                <w:iCs/>
                <w:sz w:val="20"/>
                <w:szCs w:val="20"/>
              </w:rPr>
            </w:pPr>
          </w:p>
        </w:tc>
        <w:tc>
          <w:tcPr>
            <w:tcW w:w="285" w:type="pct"/>
            <w:tcBorders>
              <w:top w:val="nil"/>
              <w:left w:val="nil"/>
              <w:bottom w:val="nil"/>
              <w:right w:val="nil"/>
            </w:tcBorders>
            <w:shd w:val="clear" w:color="auto" w:fill="auto"/>
            <w:vAlign w:val="center"/>
            <w:hideMark/>
          </w:tcPr>
          <w:p w:rsidR="00DA21EF" w:rsidRDefault="00DA21EF">
            <w:pPr>
              <w:rPr>
                <w:sz w:val="20"/>
                <w:szCs w:val="20"/>
              </w:rPr>
            </w:pPr>
          </w:p>
        </w:tc>
        <w:tc>
          <w:tcPr>
            <w:tcW w:w="281" w:type="pct"/>
            <w:tcBorders>
              <w:top w:val="nil"/>
              <w:left w:val="nil"/>
              <w:bottom w:val="nil"/>
              <w:right w:val="nil"/>
            </w:tcBorders>
            <w:shd w:val="clear" w:color="auto" w:fill="auto"/>
            <w:vAlign w:val="center"/>
            <w:hideMark/>
          </w:tcPr>
          <w:p w:rsidR="00DA21EF" w:rsidRDefault="00DA21EF">
            <w:pPr>
              <w:jc w:val="center"/>
              <w:rPr>
                <w:sz w:val="20"/>
                <w:szCs w:val="20"/>
              </w:rPr>
            </w:pPr>
          </w:p>
        </w:tc>
        <w:tc>
          <w:tcPr>
            <w:tcW w:w="374"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 </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0" w:type="pct"/>
            <w:tcBorders>
              <w:top w:val="nil"/>
              <w:left w:val="nil"/>
              <w:bottom w:val="nil"/>
              <w:right w:val="nil"/>
            </w:tcBorders>
            <w:shd w:val="clear" w:color="auto" w:fill="auto"/>
            <w:noWrap/>
            <w:vAlign w:val="center"/>
            <w:hideMark/>
          </w:tcPr>
          <w:p w:rsidR="00DA21EF" w:rsidRDefault="00DA21EF">
            <w:pPr>
              <w:jc w:val="right"/>
              <w:rPr>
                <w:sz w:val="20"/>
                <w:szCs w:val="20"/>
              </w:rPr>
            </w:pP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Loans and borrowings</w:t>
            </w:r>
          </w:p>
        </w:tc>
        <w:tc>
          <w:tcPr>
            <w:tcW w:w="1944"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Interest bearing loans and borrowings / rate revenue</w:t>
            </w:r>
          </w:p>
        </w:tc>
        <w:tc>
          <w:tcPr>
            <w:tcW w:w="285" w:type="pct"/>
            <w:tcBorders>
              <w:top w:val="nil"/>
              <w:left w:val="nil"/>
              <w:bottom w:val="nil"/>
              <w:right w:val="nil"/>
            </w:tcBorders>
            <w:shd w:val="clear" w:color="auto" w:fill="auto"/>
            <w:vAlign w:val="center"/>
            <w:hideMark/>
          </w:tcPr>
          <w:p w:rsidR="00DA21EF" w:rsidRDefault="00DA21EF">
            <w:pPr>
              <w:jc w:val="center"/>
              <w:rPr>
                <w:rFonts w:cs="Arial"/>
                <w:sz w:val="20"/>
                <w:szCs w:val="20"/>
              </w:rPr>
            </w:pPr>
            <w:r>
              <w:rPr>
                <w:rFonts w:cs="Arial"/>
                <w:sz w:val="20"/>
                <w:szCs w:val="20"/>
              </w:rPr>
              <w:t>3</w:t>
            </w:r>
          </w:p>
        </w:tc>
        <w:tc>
          <w:tcPr>
            <w:tcW w:w="281" w:type="pct"/>
            <w:tcBorders>
              <w:top w:val="nil"/>
              <w:left w:val="nil"/>
              <w:bottom w:val="nil"/>
              <w:right w:val="nil"/>
            </w:tcBorders>
            <w:shd w:val="clear" w:color="000000" w:fill="FFFFFF"/>
            <w:vAlign w:val="center"/>
            <w:hideMark/>
          </w:tcPr>
          <w:p w:rsidR="00DA21EF" w:rsidRDefault="00DA21EF">
            <w:pPr>
              <w:jc w:val="right"/>
              <w:rPr>
                <w:rFonts w:cs="Arial"/>
                <w:sz w:val="20"/>
                <w:szCs w:val="20"/>
              </w:rPr>
            </w:pPr>
            <w:r>
              <w:rPr>
                <w:rFonts w:cs="Arial"/>
                <w:sz w:val="20"/>
                <w:szCs w:val="20"/>
              </w:rPr>
              <w:t>20.7%</w:t>
            </w:r>
          </w:p>
        </w:tc>
        <w:tc>
          <w:tcPr>
            <w:tcW w:w="374"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19.9%</w:t>
            </w: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17.5%</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24.4%</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20.9%</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17.4%</w:t>
            </w:r>
          </w:p>
        </w:tc>
        <w:tc>
          <w:tcPr>
            <w:tcW w:w="280" w:type="pct"/>
            <w:tcBorders>
              <w:top w:val="nil"/>
              <w:left w:val="nil"/>
              <w:bottom w:val="nil"/>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w:t>
            </w:r>
          </w:p>
        </w:tc>
      </w:tr>
      <w:tr w:rsidR="00DA21EF" w:rsidTr="00DA21EF">
        <w:trPr>
          <w:trHeight w:val="460"/>
        </w:trPr>
        <w:tc>
          <w:tcPr>
            <w:tcW w:w="713"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Loans and borrowings</w:t>
            </w:r>
          </w:p>
        </w:tc>
        <w:tc>
          <w:tcPr>
            <w:tcW w:w="1944"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Interest and principal repayments on interest bearing loans and borrowings / rate revenue</w:t>
            </w:r>
          </w:p>
        </w:tc>
        <w:tc>
          <w:tcPr>
            <w:tcW w:w="285" w:type="pct"/>
            <w:tcBorders>
              <w:top w:val="nil"/>
              <w:left w:val="nil"/>
              <w:bottom w:val="nil"/>
              <w:right w:val="nil"/>
            </w:tcBorders>
            <w:shd w:val="clear" w:color="auto" w:fill="auto"/>
            <w:vAlign w:val="center"/>
            <w:hideMark/>
          </w:tcPr>
          <w:p w:rsidR="00DA21EF" w:rsidRDefault="00DA21EF">
            <w:pPr>
              <w:rPr>
                <w:rFonts w:cs="Arial"/>
                <w:sz w:val="18"/>
                <w:szCs w:val="18"/>
              </w:rPr>
            </w:pPr>
          </w:p>
        </w:tc>
        <w:tc>
          <w:tcPr>
            <w:tcW w:w="281" w:type="pct"/>
            <w:tcBorders>
              <w:top w:val="nil"/>
              <w:left w:val="nil"/>
              <w:bottom w:val="nil"/>
              <w:right w:val="nil"/>
            </w:tcBorders>
            <w:shd w:val="clear" w:color="000000" w:fill="FFFFFF"/>
            <w:vAlign w:val="center"/>
            <w:hideMark/>
          </w:tcPr>
          <w:p w:rsidR="00DA21EF" w:rsidRDefault="00DA21EF">
            <w:pPr>
              <w:jc w:val="right"/>
              <w:rPr>
                <w:rFonts w:cs="Arial"/>
                <w:sz w:val="20"/>
                <w:szCs w:val="20"/>
              </w:rPr>
            </w:pPr>
            <w:r>
              <w:rPr>
                <w:rFonts w:cs="Arial"/>
                <w:sz w:val="20"/>
                <w:szCs w:val="20"/>
              </w:rPr>
              <w:t>2.6%</w:t>
            </w:r>
          </w:p>
        </w:tc>
        <w:tc>
          <w:tcPr>
            <w:tcW w:w="374"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2.0%</w:t>
            </w: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2.5%</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3.6%</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3.4%</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3.3%</w:t>
            </w:r>
          </w:p>
        </w:tc>
        <w:tc>
          <w:tcPr>
            <w:tcW w:w="280" w:type="pct"/>
            <w:tcBorders>
              <w:top w:val="nil"/>
              <w:left w:val="nil"/>
              <w:bottom w:val="nil"/>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o</w:t>
            </w: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Indebtedness</w:t>
            </w:r>
          </w:p>
        </w:tc>
        <w:tc>
          <w:tcPr>
            <w:tcW w:w="1944"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Non-current liabilities / own source revenue</w:t>
            </w:r>
          </w:p>
        </w:tc>
        <w:tc>
          <w:tcPr>
            <w:tcW w:w="285" w:type="pct"/>
            <w:tcBorders>
              <w:top w:val="nil"/>
              <w:left w:val="nil"/>
              <w:bottom w:val="nil"/>
              <w:right w:val="nil"/>
            </w:tcBorders>
            <w:shd w:val="clear" w:color="auto" w:fill="auto"/>
            <w:vAlign w:val="center"/>
            <w:hideMark/>
          </w:tcPr>
          <w:p w:rsidR="00DA21EF" w:rsidRDefault="00DA21EF">
            <w:pPr>
              <w:rPr>
                <w:rFonts w:cs="Arial"/>
                <w:sz w:val="18"/>
                <w:szCs w:val="18"/>
              </w:rPr>
            </w:pP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15.4%</w:t>
            </w:r>
          </w:p>
        </w:tc>
        <w:tc>
          <w:tcPr>
            <w:tcW w:w="374"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13.5%</w:t>
            </w: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10.9%</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15.9%</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13.5%</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11.5%</w:t>
            </w:r>
          </w:p>
        </w:tc>
        <w:tc>
          <w:tcPr>
            <w:tcW w:w="280" w:type="pct"/>
            <w:tcBorders>
              <w:top w:val="nil"/>
              <w:left w:val="nil"/>
              <w:bottom w:val="nil"/>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w:t>
            </w:r>
          </w:p>
        </w:tc>
      </w:tr>
      <w:tr w:rsidR="00DA21EF" w:rsidTr="00DA21EF">
        <w:trPr>
          <w:trHeight w:val="300"/>
        </w:trPr>
        <w:tc>
          <w:tcPr>
            <w:tcW w:w="713"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Asset renewal</w:t>
            </w:r>
          </w:p>
        </w:tc>
        <w:tc>
          <w:tcPr>
            <w:tcW w:w="1944"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Asset renewal expenses / Asset depreciation</w:t>
            </w:r>
          </w:p>
        </w:tc>
        <w:tc>
          <w:tcPr>
            <w:tcW w:w="285" w:type="pct"/>
            <w:tcBorders>
              <w:top w:val="nil"/>
              <w:left w:val="nil"/>
              <w:bottom w:val="single" w:sz="8" w:space="0" w:color="auto"/>
              <w:right w:val="nil"/>
            </w:tcBorders>
            <w:shd w:val="clear" w:color="auto" w:fill="auto"/>
            <w:vAlign w:val="center"/>
            <w:hideMark/>
          </w:tcPr>
          <w:p w:rsidR="00DA21EF" w:rsidRDefault="00DA21EF">
            <w:pPr>
              <w:jc w:val="center"/>
              <w:rPr>
                <w:rFonts w:cs="Arial"/>
                <w:sz w:val="20"/>
                <w:szCs w:val="20"/>
              </w:rPr>
            </w:pPr>
            <w:r>
              <w:rPr>
                <w:rFonts w:cs="Arial"/>
                <w:sz w:val="20"/>
                <w:szCs w:val="20"/>
              </w:rPr>
              <w:t>4</w:t>
            </w:r>
          </w:p>
        </w:tc>
        <w:tc>
          <w:tcPr>
            <w:tcW w:w="281" w:type="pct"/>
            <w:tcBorders>
              <w:top w:val="nil"/>
              <w:left w:val="nil"/>
              <w:bottom w:val="single" w:sz="8" w:space="0" w:color="auto"/>
              <w:right w:val="nil"/>
            </w:tcBorders>
            <w:shd w:val="clear" w:color="000000" w:fill="FFFFFF"/>
            <w:vAlign w:val="center"/>
            <w:hideMark/>
          </w:tcPr>
          <w:p w:rsidR="00DA21EF" w:rsidRDefault="00DA21EF">
            <w:pPr>
              <w:jc w:val="right"/>
              <w:rPr>
                <w:rFonts w:cs="Arial"/>
                <w:sz w:val="20"/>
                <w:szCs w:val="20"/>
              </w:rPr>
            </w:pPr>
            <w:r>
              <w:rPr>
                <w:rFonts w:cs="Arial"/>
                <w:sz w:val="20"/>
                <w:szCs w:val="20"/>
              </w:rPr>
              <w:t>85.3%</w:t>
            </w:r>
          </w:p>
        </w:tc>
        <w:tc>
          <w:tcPr>
            <w:tcW w:w="374"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150.1%</w:t>
            </w:r>
          </w:p>
        </w:tc>
        <w:tc>
          <w:tcPr>
            <w:tcW w:w="281" w:type="pct"/>
            <w:tcBorders>
              <w:top w:val="nil"/>
              <w:left w:val="nil"/>
              <w:bottom w:val="single" w:sz="8" w:space="0" w:color="auto"/>
              <w:right w:val="nil"/>
            </w:tcBorders>
            <w:shd w:val="clear" w:color="000000" w:fill="DDEBF7"/>
            <w:vAlign w:val="center"/>
            <w:hideMark/>
          </w:tcPr>
          <w:p w:rsidR="00DA21EF" w:rsidRDefault="00DA21EF">
            <w:pPr>
              <w:jc w:val="right"/>
              <w:rPr>
                <w:rFonts w:cs="Arial"/>
                <w:sz w:val="20"/>
                <w:szCs w:val="20"/>
              </w:rPr>
            </w:pPr>
            <w:r>
              <w:rPr>
                <w:rFonts w:cs="Arial"/>
                <w:sz w:val="20"/>
                <w:szCs w:val="20"/>
              </w:rPr>
              <w:t>125.4%</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162.9%</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109.7%</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118.3%</w:t>
            </w:r>
          </w:p>
        </w:tc>
        <w:tc>
          <w:tcPr>
            <w:tcW w:w="280" w:type="pct"/>
            <w:tcBorders>
              <w:top w:val="nil"/>
              <w:left w:val="nil"/>
              <w:bottom w:val="single" w:sz="8" w:space="0" w:color="auto"/>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o</w:t>
            </w: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b/>
                <w:bCs/>
                <w:i/>
                <w:iCs/>
                <w:sz w:val="20"/>
                <w:szCs w:val="20"/>
              </w:rPr>
            </w:pPr>
            <w:r>
              <w:rPr>
                <w:rFonts w:cs="Arial"/>
                <w:b/>
                <w:bCs/>
                <w:i/>
                <w:iCs/>
                <w:sz w:val="20"/>
                <w:szCs w:val="20"/>
              </w:rPr>
              <w:t>Stability</w:t>
            </w:r>
          </w:p>
        </w:tc>
        <w:tc>
          <w:tcPr>
            <w:tcW w:w="1944" w:type="pct"/>
            <w:tcBorders>
              <w:top w:val="nil"/>
              <w:left w:val="nil"/>
              <w:bottom w:val="nil"/>
              <w:right w:val="nil"/>
            </w:tcBorders>
            <w:shd w:val="clear" w:color="auto" w:fill="auto"/>
            <w:vAlign w:val="center"/>
            <w:hideMark/>
          </w:tcPr>
          <w:p w:rsidR="00DA21EF" w:rsidRDefault="00DA21EF">
            <w:pPr>
              <w:rPr>
                <w:rFonts w:cs="Arial"/>
                <w:b/>
                <w:bCs/>
                <w:i/>
                <w:iCs/>
                <w:sz w:val="20"/>
                <w:szCs w:val="20"/>
              </w:rPr>
            </w:pPr>
          </w:p>
        </w:tc>
        <w:tc>
          <w:tcPr>
            <w:tcW w:w="285" w:type="pct"/>
            <w:tcBorders>
              <w:top w:val="nil"/>
              <w:left w:val="nil"/>
              <w:bottom w:val="nil"/>
              <w:right w:val="nil"/>
            </w:tcBorders>
            <w:shd w:val="clear" w:color="auto" w:fill="auto"/>
            <w:vAlign w:val="center"/>
            <w:hideMark/>
          </w:tcPr>
          <w:p w:rsidR="00DA21EF" w:rsidRDefault="00DA21EF">
            <w:pPr>
              <w:rPr>
                <w:sz w:val="20"/>
                <w:szCs w:val="20"/>
              </w:rPr>
            </w:pPr>
          </w:p>
        </w:tc>
        <w:tc>
          <w:tcPr>
            <w:tcW w:w="281" w:type="pct"/>
            <w:tcBorders>
              <w:top w:val="nil"/>
              <w:left w:val="nil"/>
              <w:bottom w:val="nil"/>
              <w:right w:val="nil"/>
            </w:tcBorders>
            <w:shd w:val="clear" w:color="000000" w:fill="FFFFFF"/>
            <w:vAlign w:val="center"/>
            <w:hideMark/>
          </w:tcPr>
          <w:p w:rsidR="00DA21EF" w:rsidRDefault="00DA21EF">
            <w:pPr>
              <w:jc w:val="right"/>
              <w:rPr>
                <w:rFonts w:cs="Arial"/>
                <w:color w:val="FF0000"/>
                <w:sz w:val="20"/>
                <w:szCs w:val="20"/>
              </w:rPr>
            </w:pPr>
            <w:r>
              <w:rPr>
                <w:rFonts w:cs="Arial"/>
                <w:color w:val="FF0000"/>
                <w:sz w:val="20"/>
                <w:szCs w:val="20"/>
              </w:rPr>
              <w:t> </w:t>
            </w:r>
          </w:p>
        </w:tc>
        <w:tc>
          <w:tcPr>
            <w:tcW w:w="374" w:type="pct"/>
            <w:tcBorders>
              <w:top w:val="nil"/>
              <w:left w:val="nil"/>
              <w:bottom w:val="nil"/>
              <w:right w:val="nil"/>
            </w:tcBorders>
            <w:shd w:val="clear" w:color="auto" w:fill="auto"/>
            <w:vAlign w:val="center"/>
            <w:hideMark/>
          </w:tcPr>
          <w:p w:rsidR="00DA21EF" w:rsidRDefault="00DA21EF">
            <w:pPr>
              <w:jc w:val="right"/>
              <w:rPr>
                <w:rFonts w:cs="Arial"/>
                <w:color w:val="FF0000"/>
                <w:sz w:val="20"/>
                <w:szCs w:val="20"/>
              </w:rPr>
            </w:pP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 </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1" w:type="pct"/>
            <w:tcBorders>
              <w:top w:val="nil"/>
              <w:left w:val="nil"/>
              <w:bottom w:val="nil"/>
              <w:right w:val="nil"/>
            </w:tcBorders>
            <w:shd w:val="clear" w:color="auto" w:fill="auto"/>
            <w:vAlign w:val="center"/>
            <w:hideMark/>
          </w:tcPr>
          <w:p w:rsidR="00DA21EF" w:rsidRDefault="00DA21EF">
            <w:pPr>
              <w:jc w:val="right"/>
              <w:rPr>
                <w:sz w:val="20"/>
                <w:szCs w:val="20"/>
              </w:rPr>
            </w:pPr>
          </w:p>
        </w:tc>
        <w:tc>
          <w:tcPr>
            <w:tcW w:w="280" w:type="pct"/>
            <w:tcBorders>
              <w:top w:val="nil"/>
              <w:left w:val="nil"/>
              <w:bottom w:val="nil"/>
              <w:right w:val="nil"/>
            </w:tcBorders>
            <w:shd w:val="clear" w:color="auto" w:fill="auto"/>
            <w:noWrap/>
            <w:vAlign w:val="center"/>
            <w:hideMark/>
          </w:tcPr>
          <w:p w:rsidR="00DA21EF" w:rsidRDefault="00DA21EF">
            <w:pPr>
              <w:jc w:val="right"/>
              <w:rPr>
                <w:sz w:val="20"/>
                <w:szCs w:val="20"/>
              </w:rPr>
            </w:pPr>
          </w:p>
        </w:tc>
      </w:tr>
      <w:tr w:rsidR="00DA21EF" w:rsidTr="00DA21EF">
        <w:trPr>
          <w:trHeight w:val="290"/>
        </w:trPr>
        <w:tc>
          <w:tcPr>
            <w:tcW w:w="713"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Rates concentration</w:t>
            </w:r>
          </w:p>
        </w:tc>
        <w:tc>
          <w:tcPr>
            <w:tcW w:w="1944" w:type="pct"/>
            <w:tcBorders>
              <w:top w:val="nil"/>
              <w:left w:val="nil"/>
              <w:bottom w:val="nil"/>
              <w:right w:val="nil"/>
            </w:tcBorders>
            <w:shd w:val="clear" w:color="auto" w:fill="auto"/>
            <w:vAlign w:val="center"/>
            <w:hideMark/>
          </w:tcPr>
          <w:p w:rsidR="00DA21EF" w:rsidRDefault="00DA21EF">
            <w:pPr>
              <w:rPr>
                <w:rFonts w:cs="Arial"/>
                <w:sz w:val="18"/>
                <w:szCs w:val="18"/>
              </w:rPr>
            </w:pPr>
            <w:r>
              <w:rPr>
                <w:rFonts w:cs="Arial"/>
                <w:sz w:val="18"/>
                <w:szCs w:val="18"/>
              </w:rPr>
              <w:t>Rate revenue / adjusted underlying revenue</w:t>
            </w:r>
          </w:p>
        </w:tc>
        <w:tc>
          <w:tcPr>
            <w:tcW w:w="285" w:type="pct"/>
            <w:tcBorders>
              <w:top w:val="nil"/>
              <w:left w:val="nil"/>
              <w:bottom w:val="nil"/>
              <w:right w:val="nil"/>
            </w:tcBorders>
            <w:shd w:val="clear" w:color="auto" w:fill="auto"/>
            <w:vAlign w:val="center"/>
            <w:hideMark/>
          </w:tcPr>
          <w:p w:rsidR="00DA21EF" w:rsidRDefault="00DA21EF">
            <w:pPr>
              <w:jc w:val="center"/>
              <w:rPr>
                <w:rFonts w:cs="Arial"/>
                <w:sz w:val="20"/>
                <w:szCs w:val="20"/>
              </w:rPr>
            </w:pPr>
            <w:r>
              <w:rPr>
                <w:rFonts w:cs="Arial"/>
                <w:sz w:val="20"/>
                <w:szCs w:val="20"/>
              </w:rPr>
              <w:t>5</w:t>
            </w:r>
          </w:p>
        </w:tc>
        <w:tc>
          <w:tcPr>
            <w:tcW w:w="281" w:type="pct"/>
            <w:tcBorders>
              <w:top w:val="nil"/>
              <w:left w:val="nil"/>
              <w:bottom w:val="nil"/>
              <w:right w:val="nil"/>
            </w:tcBorders>
            <w:shd w:val="clear" w:color="000000" w:fill="FFFFFF"/>
            <w:vAlign w:val="center"/>
            <w:hideMark/>
          </w:tcPr>
          <w:p w:rsidR="00DA21EF" w:rsidRDefault="00DA21EF">
            <w:pPr>
              <w:jc w:val="right"/>
              <w:rPr>
                <w:rFonts w:cs="Arial"/>
                <w:sz w:val="20"/>
                <w:szCs w:val="20"/>
              </w:rPr>
            </w:pPr>
            <w:r>
              <w:rPr>
                <w:rFonts w:cs="Arial"/>
                <w:sz w:val="20"/>
                <w:szCs w:val="20"/>
              </w:rPr>
              <w:t>63.09%</w:t>
            </w:r>
          </w:p>
        </w:tc>
        <w:tc>
          <w:tcPr>
            <w:tcW w:w="374"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70.8%</w:t>
            </w:r>
          </w:p>
        </w:tc>
        <w:tc>
          <w:tcPr>
            <w:tcW w:w="281" w:type="pct"/>
            <w:tcBorders>
              <w:top w:val="nil"/>
              <w:left w:val="nil"/>
              <w:bottom w:val="nil"/>
              <w:right w:val="nil"/>
            </w:tcBorders>
            <w:shd w:val="clear" w:color="000000" w:fill="DDEBF7"/>
            <w:vAlign w:val="center"/>
            <w:hideMark/>
          </w:tcPr>
          <w:p w:rsidR="00DA21EF" w:rsidRDefault="00DA21EF">
            <w:pPr>
              <w:jc w:val="right"/>
              <w:rPr>
                <w:rFonts w:cs="Arial"/>
                <w:sz w:val="20"/>
                <w:szCs w:val="20"/>
              </w:rPr>
            </w:pPr>
            <w:r>
              <w:rPr>
                <w:rFonts w:cs="Arial"/>
                <w:sz w:val="20"/>
                <w:szCs w:val="20"/>
              </w:rPr>
              <w:t>65.3%</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67.3%</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66.8%</w:t>
            </w:r>
          </w:p>
        </w:tc>
        <w:tc>
          <w:tcPr>
            <w:tcW w:w="281" w:type="pct"/>
            <w:tcBorders>
              <w:top w:val="nil"/>
              <w:left w:val="nil"/>
              <w:bottom w:val="nil"/>
              <w:right w:val="nil"/>
            </w:tcBorders>
            <w:shd w:val="clear" w:color="auto" w:fill="auto"/>
            <w:vAlign w:val="center"/>
            <w:hideMark/>
          </w:tcPr>
          <w:p w:rsidR="00DA21EF" w:rsidRDefault="00DA21EF">
            <w:pPr>
              <w:jc w:val="right"/>
              <w:rPr>
                <w:rFonts w:cs="Arial"/>
                <w:sz w:val="20"/>
                <w:szCs w:val="20"/>
              </w:rPr>
            </w:pPr>
            <w:r>
              <w:rPr>
                <w:rFonts w:cs="Arial"/>
                <w:sz w:val="20"/>
                <w:szCs w:val="20"/>
              </w:rPr>
              <w:t>68.2%</w:t>
            </w:r>
          </w:p>
        </w:tc>
        <w:tc>
          <w:tcPr>
            <w:tcW w:w="280" w:type="pct"/>
            <w:tcBorders>
              <w:top w:val="nil"/>
              <w:left w:val="nil"/>
              <w:bottom w:val="nil"/>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o</w:t>
            </w:r>
          </w:p>
        </w:tc>
      </w:tr>
      <w:tr w:rsidR="00DA21EF" w:rsidTr="00DA21EF">
        <w:trPr>
          <w:trHeight w:val="300"/>
        </w:trPr>
        <w:tc>
          <w:tcPr>
            <w:tcW w:w="713"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Rates effort</w:t>
            </w:r>
          </w:p>
        </w:tc>
        <w:tc>
          <w:tcPr>
            <w:tcW w:w="1944" w:type="pct"/>
            <w:tcBorders>
              <w:top w:val="nil"/>
              <w:left w:val="nil"/>
              <w:bottom w:val="single" w:sz="8" w:space="0" w:color="auto"/>
              <w:right w:val="nil"/>
            </w:tcBorders>
            <w:shd w:val="clear" w:color="auto" w:fill="auto"/>
            <w:vAlign w:val="center"/>
            <w:hideMark/>
          </w:tcPr>
          <w:p w:rsidR="00DA21EF" w:rsidRDefault="00DA21EF">
            <w:pPr>
              <w:rPr>
                <w:rFonts w:cs="Arial"/>
                <w:sz w:val="18"/>
                <w:szCs w:val="18"/>
              </w:rPr>
            </w:pPr>
            <w:r>
              <w:rPr>
                <w:rFonts w:cs="Arial"/>
                <w:sz w:val="18"/>
                <w:szCs w:val="18"/>
              </w:rPr>
              <w:t>Rate revenue / CIV of rateable properties in the municipality</w:t>
            </w:r>
          </w:p>
        </w:tc>
        <w:tc>
          <w:tcPr>
            <w:tcW w:w="285" w:type="pct"/>
            <w:tcBorders>
              <w:top w:val="nil"/>
              <w:left w:val="nil"/>
              <w:bottom w:val="single" w:sz="8" w:space="0" w:color="auto"/>
              <w:right w:val="nil"/>
            </w:tcBorders>
            <w:shd w:val="clear" w:color="auto" w:fill="auto"/>
            <w:vAlign w:val="center"/>
            <w:hideMark/>
          </w:tcPr>
          <w:p w:rsidR="00DA21EF" w:rsidRDefault="00DA21EF">
            <w:pPr>
              <w:jc w:val="center"/>
              <w:rPr>
                <w:rFonts w:cs="Arial"/>
                <w:sz w:val="20"/>
                <w:szCs w:val="20"/>
              </w:rPr>
            </w:pPr>
            <w:r>
              <w:rPr>
                <w:rFonts w:cs="Arial"/>
                <w:sz w:val="20"/>
                <w:szCs w:val="20"/>
              </w:rPr>
              <w:t> </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0.23%</w:t>
            </w:r>
          </w:p>
        </w:tc>
        <w:tc>
          <w:tcPr>
            <w:tcW w:w="374"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0.3%</w:t>
            </w:r>
          </w:p>
        </w:tc>
        <w:tc>
          <w:tcPr>
            <w:tcW w:w="281" w:type="pct"/>
            <w:tcBorders>
              <w:top w:val="nil"/>
              <w:left w:val="nil"/>
              <w:bottom w:val="single" w:sz="8" w:space="0" w:color="auto"/>
              <w:right w:val="nil"/>
            </w:tcBorders>
            <w:shd w:val="clear" w:color="000000" w:fill="DDEBF7"/>
            <w:vAlign w:val="center"/>
            <w:hideMark/>
          </w:tcPr>
          <w:p w:rsidR="00DA21EF" w:rsidRDefault="00DA21EF">
            <w:pPr>
              <w:jc w:val="right"/>
              <w:rPr>
                <w:rFonts w:cs="Arial"/>
                <w:sz w:val="20"/>
                <w:szCs w:val="20"/>
              </w:rPr>
            </w:pPr>
            <w:r>
              <w:rPr>
                <w:rFonts w:cs="Arial"/>
                <w:sz w:val="20"/>
                <w:szCs w:val="20"/>
              </w:rPr>
              <w:t>0.3%</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0.3%</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0.3%</w:t>
            </w:r>
          </w:p>
        </w:tc>
        <w:tc>
          <w:tcPr>
            <w:tcW w:w="281" w:type="pct"/>
            <w:tcBorders>
              <w:top w:val="nil"/>
              <w:left w:val="nil"/>
              <w:bottom w:val="single" w:sz="8" w:space="0" w:color="auto"/>
              <w:right w:val="nil"/>
            </w:tcBorders>
            <w:shd w:val="clear" w:color="auto" w:fill="auto"/>
            <w:vAlign w:val="center"/>
            <w:hideMark/>
          </w:tcPr>
          <w:p w:rsidR="00DA21EF" w:rsidRDefault="00DA21EF">
            <w:pPr>
              <w:jc w:val="right"/>
              <w:rPr>
                <w:rFonts w:cs="Arial"/>
                <w:sz w:val="20"/>
                <w:szCs w:val="20"/>
              </w:rPr>
            </w:pPr>
            <w:r>
              <w:rPr>
                <w:rFonts w:cs="Arial"/>
                <w:sz w:val="20"/>
                <w:szCs w:val="20"/>
              </w:rPr>
              <w:t>0.3%</w:t>
            </w:r>
          </w:p>
        </w:tc>
        <w:tc>
          <w:tcPr>
            <w:tcW w:w="280" w:type="pct"/>
            <w:tcBorders>
              <w:top w:val="nil"/>
              <w:left w:val="nil"/>
              <w:bottom w:val="single" w:sz="8" w:space="0" w:color="auto"/>
              <w:right w:val="nil"/>
            </w:tcBorders>
            <w:shd w:val="clear" w:color="auto" w:fill="auto"/>
            <w:noWrap/>
            <w:vAlign w:val="center"/>
            <w:hideMark/>
          </w:tcPr>
          <w:p w:rsidR="00DA21EF" w:rsidRDefault="00DA21EF">
            <w:pPr>
              <w:jc w:val="right"/>
              <w:rPr>
                <w:rFonts w:cs="Arial"/>
                <w:b/>
                <w:bCs/>
                <w:sz w:val="20"/>
                <w:szCs w:val="20"/>
              </w:rPr>
            </w:pPr>
            <w:r>
              <w:rPr>
                <w:rFonts w:cs="Arial"/>
                <w:b/>
                <w:bCs/>
                <w:sz w:val="20"/>
                <w:szCs w:val="20"/>
              </w:rPr>
              <w:t>o</w:t>
            </w:r>
          </w:p>
        </w:tc>
      </w:tr>
    </w:tbl>
    <w:p w:rsidR="005A5B94" w:rsidRDefault="00DA21EF">
      <w:r>
        <w:t xml:space="preserve"> </w:t>
      </w:r>
      <w:r w:rsidR="005A5B94">
        <w:br w:type="page"/>
      </w:r>
    </w:p>
    <w:tbl>
      <w:tblPr>
        <w:tblW w:w="5000" w:type="pct"/>
        <w:tblLook w:val="04A0" w:firstRow="1" w:lastRow="0" w:firstColumn="1" w:lastColumn="0" w:noHBand="0" w:noVBand="1"/>
      </w:tblPr>
      <w:tblGrid>
        <w:gridCol w:w="1910"/>
        <w:gridCol w:w="5363"/>
        <w:gridCol w:w="712"/>
        <w:gridCol w:w="867"/>
        <w:gridCol w:w="967"/>
        <w:gridCol w:w="867"/>
        <w:gridCol w:w="867"/>
        <w:gridCol w:w="867"/>
        <w:gridCol w:w="867"/>
        <w:gridCol w:w="717"/>
      </w:tblGrid>
      <w:tr w:rsidR="00273FA5" w:rsidRPr="00273FA5" w:rsidTr="00273FA5">
        <w:trPr>
          <w:trHeight w:val="495"/>
        </w:trPr>
        <w:tc>
          <w:tcPr>
            <w:tcW w:w="713" w:type="pct"/>
            <w:vMerge w:val="restart"/>
            <w:tcBorders>
              <w:top w:val="nil"/>
              <w:left w:val="nil"/>
              <w:bottom w:val="single" w:sz="8" w:space="0" w:color="000000"/>
              <w:right w:val="nil"/>
            </w:tcBorders>
            <w:shd w:val="clear" w:color="000000" w:fill="5B9BD5"/>
            <w:vAlign w:val="center"/>
            <w:hideMark/>
          </w:tcPr>
          <w:p w:rsidR="00273FA5" w:rsidRPr="00273FA5" w:rsidRDefault="00273FA5" w:rsidP="00273FA5">
            <w:pPr>
              <w:jc w:val="center"/>
              <w:rPr>
                <w:rFonts w:eastAsia="Times New Roman" w:cs="Arial"/>
                <w:color w:val="FFFFFF"/>
                <w:sz w:val="18"/>
                <w:szCs w:val="18"/>
                <w:lang w:eastAsia="en-AU"/>
              </w:rPr>
            </w:pPr>
            <w:r w:rsidRPr="00273FA5">
              <w:rPr>
                <w:rFonts w:eastAsia="Times New Roman" w:cs="Arial"/>
                <w:color w:val="FFFFFF"/>
                <w:sz w:val="18"/>
                <w:szCs w:val="18"/>
                <w:lang w:eastAsia="en-AU"/>
              </w:rPr>
              <w:lastRenderedPageBreak/>
              <w:t> </w:t>
            </w:r>
            <w:r w:rsidRPr="00273FA5">
              <w:rPr>
                <w:rFonts w:eastAsia="Times New Roman" w:cs="Arial"/>
                <w:b/>
                <w:bCs/>
                <w:color w:val="FFFFFF"/>
                <w:sz w:val="18"/>
                <w:szCs w:val="18"/>
                <w:lang w:eastAsia="en-AU"/>
              </w:rPr>
              <w:t>Indicator</w:t>
            </w:r>
          </w:p>
        </w:tc>
        <w:tc>
          <w:tcPr>
            <w:tcW w:w="1945" w:type="pct"/>
            <w:vMerge w:val="restart"/>
            <w:tcBorders>
              <w:top w:val="nil"/>
              <w:left w:val="nil"/>
              <w:bottom w:val="single" w:sz="8" w:space="0" w:color="000000"/>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Measure</w:t>
            </w:r>
          </w:p>
        </w:tc>
        <w:tc>
          <w:tcPr>
            <w:tcW w:w="285" w:type="pct"/>
            <w:vMerge w:val="restart"/>
            <w:tcBorders>
              <w:top w:val="nil"/>
              <w:left w:val="nil"/>
              <w:bottom w:val="single" w:sz="8" w:space="0" w:color="000000"/>
              <w:right w:val="nil"/>
            </w:tcBorders>
            <w:shd w:val="clear" w:color="000000" w:fill="5B9BD5"/>
            <w:noWrap/>
            <w:textDirection w:val="btLr"/>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Notes</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Actual</w:t>
            </w:r>
          </w:p>
        </w:tc>
        <w:tc>
          <w:tcPr>
            <w:tcW w:w="374"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Forecast</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 xml:space="preserve">Budget </w:t>
            </w:r>
          </w:p>
        </w:tc>
        <w:tc>
          <w:tcPr>
            <w:tcW w:w="841" w:type="pct"/>
            <w:gridSpan w:val="3"/>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Strategic Resource Plan Projections</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Trend</w:t>
            </w:r>
          </w:p>
        </w:tc>
      </w:tr>
      <w:tr w:rsidR="00273FA5" w:rsidRPr="00273FA5" w:rsidTr="00273FA5">
        <w:trPr>
          <w:trHeight w:val="300"/>
        </w:trPr>
        <w:tc>
          <w:tcPr>
            <w:tcW w:w="713"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color w:val="FFFFFF"/>
                <w:sz w:val="18"/>
                <w:szCs w:val="18"/>
                <w:lang w:eastAsia="en-AU"/>
              </w:rPr>
            </w:pPr>
          </w:p>
        </w:tc>
        <w:tc>
          <w:tcPr>
            <w:tcW w:w="1945"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b/>
                <w:bCs/>
                <w:color w:val="FFFFFF"/>
                <w:sz w:val="18"/>
                <w:szCs w:val="18"/>
                <w:lang w:eastAsia="en-AU"/>
              </w:rPr>
            </w:pPr>
          </w:p>
        </w:tc>
        <w:tc>
          <w:tcPr>
            <w:tcW w:w="285"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b/>
                <w:bCs/>
                <w:color w:val="FFFFFF"/>
                <w:sz w:val="18"/>
                <w:szCs w:val="18"/>
                <w:lang w:eastAsia="en-AU"/>
              </w:rPr>
            </w:pP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2018/19</w:t>
            </w:r>
          </w:p>
        </w:tc>
        <w:tc>
          <w:tcPr>
            <w:tcW w:w="374"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2019/20</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2020/21</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2021/22</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2022/23</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2023/24</w:t>
            </w:r>
          </w:p>
        </w:tc>
        <w:tc>
          <w:tcPr>
            <w:tcW w:w="280" w:type="pct"/>
            <w:tcBorders>
              <w:top w:val="nil"/>
              <w:left w:val="nil"/>
              <w:bottom w:val="nil"/>
              <w:right w:val="nil"/>
            </w:tcBorders>
            <w:shd w:val="clear" w:color="000000" w:fill="5B9BD5"/>
            <w:vAlign w:val="center"/>
            <w:hideMark/>
          </w:tcPr>
          <w:p w:rsidR="00273FA5" w:rsidRPr="00273FA5" w:rsidRDefault="00273FA5" w:rsidP="00273FA5">
            <w:pPr>
              <w:jc w:val="center"/>
              <w:rPr>
                <w:rFonts w:eastAsia="Times New Roman" w:cs="Arial"/>
                <w:b/>
                <w:bCs/>
                <w:color w:val="FFFFFF"/>
                <w:sz w:val="18"/>
                <w:szCs w:val="18"/>
                <w:lang w:eastAsia="en-AU"/>
              </w:rPr>
            </w:pPr>
            <w:r w:rsidRPr="00273FA5">
              <w:rPr>
                <w:rFonts w:eastAsia="Times New Roman" w:cs="Arial"/>
                <w:b/>
                <w:bCs/>
                <w:color w:val="FFFFFF"/>
                <w:sz w:val="18"/>
                <w:szCs w:val="18"/>
                <w:lang w:eastAsia="en-AU"/>
              </w:rPr>
              <w:t>+/o/-</w:t>
            </w:r>
          </w:p>
        </w:tc>
      </w:tr>
      <w:tr w:rsidR="00273FA5" w:rsidRPr="00273FA5" w:rsidTr="00273FA5">
        <w:trPr>
          <w:trHeight w:val="290"/>
        </w:trPr>
        <w:tc>
          <w:tcPr>
            <w:tcW w:w="713"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b/>
                <w:bCs/>
                <w:i/>
                <w:iCs/>
                <w:sz w:val="20"/>
                <w:szCs w:val="20"/>
                <w:lang w:eastAsia="en-AU"/>
              </w:rPr>
            </w:pPr>
            <w:r w:rsidRPr="00273FA5">
              <w:rPr>
                <w:rFonts w:eastAsia="Times New Roman" w:cs="Arial"/>
                <w:b/>
                <w:bCs/>
                <w:i/>
                <w:iCs/>
                <w:sz w:val="20"/>
                <w:szCs w:val="20"/>
                <w:lang w:eastAsia="en-AU"/>
              </w:rPr>
              <w:t>Efficiency</w:t>
            </w:r>
          </w:p>
        </w:tc>
        <w:tc>
          <w:tcPr>
            <w:tcW w:w="1945"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 </w:t>
            </w:r>
          </w:p>
        </w:tc>
        <w:tc>
          <w:tcPr>
            <w:tcW w:w="285" w:type="pct"/>
            <w:tcBorders>
              <w:top w:val="nil"/>
              <w:left w:val="nil"/>
              <w:bottom w:val="nil"/>
              <w:right w:val="nil"/>
            </w:tcBorders>
            <w:shd w:val="clear" w:color="auto" w:fill="auto"/>
            <w:vAlign w:val="center"/>
            <w:hideMark/>
          </w:tcPr>
          <w:p w:rsidR="00273FA5" w:rsidRPr="00273FA5" w:rsidRDefault="00273FA5" w:rsidP="00273FA5">
            <w:pPr>
              <w:jc w:val="center"/>
              <w:rPr>
                <w:rFonts w:eastAsia="Times New Roman" w:cs="Arial"/>
                <w:sz w:val="20"/>
                <w:szCs w:val="20"/>
                <w:lang w:eastAsia="en-AU"/>
              </w:rPr>
            </w:pPr>
            <w:r w:rsidRPr="00273FA5">
              <w:rPr>
                <w:rFonts w:eastAsia="Times New Roman" w:cs="Arial"/>
                <w:sz w:val="20"/>
                <w:szCs w:val="20"/>
                <w:lang w:eastAsia="en-AU"/>
              </w:rPr>
              <w:t> </w:t>
            </w:r>
          </w:p>
        </w:tc>
        <w:tc>
          <w:tcPr>
            <w:tcW w:w="280" w:type="pct"/>
            <w:tcBorders>
              <w:top w:val="single" w:sz="8" w:space="0" w:color="auto"/>
              <w:left w:val="nil"/>
              <w:bottom w:val="nil"/>
              <w:right w:val="nil"/>
            </w:tcBorders>
            <w:shd w:val="clear" w:color="auto" w:fill="auto"/>
            <w:vAlign w:val="center"/>
            <w:hideMark/>
          </w:tcPr>
          <w:p w:rsidR="00273FA5" w:rsidRPr="00273FA5" w:rsidRDefault="00273FA5" w:rsidP="00273FA5">
            <w:pPr>
              <w:jc w:val="right"/>
              <w:rPr>
                <w:rFonts w:eastAsia="Times New Roman" w:cs="Arial"/>
                <w:color w:val="FF0000"/>
                <w:sz w:val="20"/>
                <w:szCs w:val="20"/>
                <w:lang w:eastAsia="en-AU"/>
              </w:rPr>
            </w:pPr>
            <w:r w:rsidRPr="00273FA5">
              <w:rPr>
                <w:rFonts w:eastAsia="Times New Roman" w:cs="Arial"/>
                <w:color w:val="FF0000"/>
                <w:sz w:val="20"/>
                <w:szCs w:val="20"/>
                <w:lang w:eastAsia="en-AU"/>
              </w:rPr>
              <w:t> </w:t>
            </w:r>
          </w:p>
        </w:tc>
        <w:tc>
          <w:tcPr>
            <w:tcW w:w="374" w:type="pct"/>
            <w:tcBorders>
              <w:top w:val="single" w:sz="8" w:space="0" w:color="auto"/>
              <w:left w:val="nil"/>
              <w:bottom w:val="nil"/>
              <w:right w:val="nil"/>
            </w:tcBorders>
            <w:shd w:val="clear" w:color="auto" w:fill="auto"/>
            <w:vAlign w:val="center"/>
            <w:hideMark/>
          </w:tcPr>
          <w:p w:rsidR="00273FA5" w:rsidRPr="00273FA5" w:rsidRDefault="00273FA5" w:rsidP="00273FA5">
            <w:pPr>
              <w:jc w:val="right"/>
              <w:rPr>
                <w:rFonts w:eastAsia="Times New Roman" w:cs="Arial"/>
                <w:b/>
                <w:bCs/>
                <w:color w:val="FFFFFF"/>
                <w:sz w:val="20"/>
                <w:szCs w:val="20"/>
                <w:lang w:eastAsia="en-AU"/>
              </w:rPr>
            </w:pPr>
            <w:r w:rsidRPr="00273FA5">
              <w:rPr>
                <w:rFonts w:eastAsia="Times New Roman" w:cs="Arial"/>
                <w:b/>
                <w:bCs/>
                <w:color w:val="FFFFFF"/>
                <w:sz w:val="20"/>
                <w:szCs w:val="20"/>
                <w:lang w:eastAsia="en-AU"/>
              </w:rPr>
              <w:t> </w:t>
            </w:r>
          </w:p>
        </w:tc>
        <w:tc>
          <w:tcPr>
            <w:tcW w:w="280" w:type="pct"/>
            <w:tcBorders>
              <w:top w:val="single" w:sz="8" w:space="0" w:color="auto"/>
              <w:left w:val="nil"/>
              <w:bottom w:val="nil"/>
              <w:right w:val="nil"/>
            </w:tcBorders>
            <w:shd w:val="clear" w:color="000000" w:fill="DDEBF7"/>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w:t>
            </w:r>
          </w:p>
        </w:tc>
        <w:tc>
          <w:tcPr>
            <w:tcW w:w="280" w:type="pct"/>
            <w:tcBorders>
              <w:top w:val="single" w:sz="8" w:space="0" w:color="auto"/>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w:t>
            </w:r>
          </w:p>
        </w:tc>
        <w:tc>
          <w:tcPr>
            <w:tcW w:w="280" w:type="pct"/>
            <w:tcBorders>
              <w:top w:val="single" w:sz="8" w:space="0" w:color="auto"/>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w:t>
            </w:r>
          </w:p>
        </w:tc>
        <w:tc>
          <w:tcPr>
            <w:tcW w:w="280" w:type="pct"/>
            <w:tcBorders>
              <w:top w:val="single" w:sz="8" w:space="0" w:color="auto"/>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w:t>
            </w:r>
          </w:p>
        </w:tc>
        <w:tc>
          <w:tcPr>
            <w:tcW w:w="280" w:type="pct"/>
            <w:tcBorders>
              <w:top w:val="single" w:sz="8" w:space="0" w:color="auto"/>
              <w:left w:val="nil"/>
              <w:bottom w:val="nil"/>
              <w:right w:val="nil"/>
            </w:tcBorders>
            <w:shd w:val="clear" w:color="auto" w:fill="auto"/>
            <w:noWrap/>
            <w:vAlign w:val="center"/>
            <w:hideMark/>
          </w:tcPr>
          <w:p w:rsidR="00273FA5" w:rsidRPr="00273FA5" w:rsidRDefault="00273FA5" w:rsidP="00273FA5">
            <w:pPr>
              <w:jc w:val="right"/>
              <w:rPr>
                <w:rFonts w:eastAsia="Times New Roman" w:cs="Arial"/>
                <w:b/>
                <w:bCs/>
                <w:color w:val="FF0000"/>
                <w:sz w:val="20"/>
                <w:szCs w:val="20"/>
                <w:lang w:eastAsia="en-AU"/>
              </w:rPr>
            </w:pPr>
            <w:r w:rsidRPr="00273FA5">
              <w:rPr>
                <w:rFonts w:eastAsia="Times New Roman" w:cs="Arial"/>
                <w:b/>
                <w:bCs/>
                <w:color w:val="FF0000"/>
                <w:sz w:val="20"/>
                <w:szCs w:val="20"/>
                <w:lang w:eastAsia="en-AU"/>
              </w:rPr>
              <w:t> </w:t>
            </w:r>
          </w:p>
        </w:tc>
      </w:tr>
      <w:tr w:rsidR="00273FA5" w:rsidRPr="00273FA5" w:rsidTr="00273FA5">
        <w:trPr>
          <w:trHeight w:val="290"/>
        </w:trPr>
        <w:tc>
          <w:tcPr>
            <w:tcW w:w="713"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Expenditure level</w:t>
            </w:r>
          </w:p>
        </w:tc>
        <w:tc>
          <w:tcPr>
            <w:tcW w:w="1945"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Total expenses/ no. of property assessments</w:t>
            </w:r>
          </w:p>
        </w:tc>
        <w:tc>
          <w:tcPr>
            <w:tcW w:w="285"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$2,654 </w:t>
            </w:r>
          </w:p>
        </w:tc>
        <w:tc>
          <w:tcPr>
            <w:tcW w:w="374"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$2,893 </w:t>
            </w:r>
          </w:p>
        </w:tc>
        <w:tc>
          <w:tcPr>
            <w:tcW w:w="280" w:type="pct"/>
            <w:tcBorders>
              <w:top w:val="nil"/>
              <w:left w:val="nil"/>
              <w:bottom w:val="nil"/>
              <w:right w:val="nil"/>
            </w:tcBorders>
            <w:shd w:val="clear" w:color="000000" w:fill="DDEBF7"/>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$2,929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$3,097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$3,151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$3,212 </w:t>
            </w:r>
          </w:p>
        </w:tc>
        <w:tc>
          <w:tcPr>
            <w:tcW w:w="280" w:type="pct"/>
            <w:tcBorders>
              <w:top w:val="nil"/>
              <w:left w:val="nil"/>
              <w:bottom w:val="nil"/>
              <w:right w:val="nil"/>
            </w:tcBorders>
            <w:shd w:val="clear" w:color="auto" w:fill="auto"/>
            <w:noWrap/>
            <w:vAlign w:val="center"/>
            <w:hideMark/>
          </w:tcPr>
          <w:p w:rsidR="00273FA5" w:rsidRPr="00273FA5" w:rsidRDefault="0056713C" w:rsidP="00273FA5">
            <w:pPr>
              <w:jc w:val="right"/>
              <w:rPr>
                <w:rFonts w:eastAsia="Times New Roman" w:cs="Arial"/>
                <w:b/>
                <w:bCs/>
                <w:sz w:val="20"/>
                <w:szCs w:val="20"/>
                <w:lang w:eastAsia="en-AU"/>
              </w:rPr>
            </w:pPr>
            <w:r>
              <w:rPr>
                <w:rFonts w:eastAsia="Times New Roman" w:cs="Arial"/>
                <w:b/>
                <w:bCs/>
                <w:sz w:val="20"/>
                <w:szCs w:val="20"/>
                <w:lang w:eastAsia="en-AU"/>
              </w:rPr>
              <w:t>+</w:t>
            </w:r>
          </w:p>
        </w:tc>
      </w:tr>
      <w:tr w:rsidR="00273FA5" w:rsidRPr="00273FA5" w:rsidTr="00273FA5">
        <w:trPr>
          <w:trHeight w:val="290"/>
        </w:trPr>
        <w:tc>
          <w:tcPr>
            <w:tcW w:w="713"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Revenue level</w:t>
            </w:r>
          </w:p>
        </w:tc>
        <w:tc>
          <w:tcPr>
            <w:tcW w:w="1945"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Residential rate revenue / no. of residential property assessments</w:t>
            </w:r>
          </w:p>
        </w:tc>
        <w:tc>
          <w:tcPr>
            <w:tcW w:w="285" w:type="pct"/>
            <w:tcBorders>
              <w:top w:val="nil"/>
              <w:left w:val="nil"/>
              <w:bottom w:val="nil"/>
              <w:right w:val="nil"/>
            </w:tcBorders>
            <w:shd w:val="clear" w:color="auto" w:fill="auto"/>
            <w:vAlign w:val="center"/>
            <w:hideMark/>
          </w:tcPr>
          <w:p w:rsidR="00273FA5" w:rsidRPr="00273FA5" w:rsidRDefault="00273FA5" w:rsidP="00273FA5">
            <w:pPr>
              <w:rPr>
                <w:rFonts w:eastAsia="Times New Roman" w:cs="Arial"/>
                <w:sz w:val="18"/>
                <w:szCs w:val="18"/>
                <w:lang w:eastAsia="en-AU"/>
              </w:rPr>
            </w:pP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$1,718 </w:t>
            </w:r>
          </w:p>
        </w:tc>
        <w:tc>
          <w:tcPr>
            <w:tcW w:w="374"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$1,747 </w:t>
            </w:r>
          </w:p>
        </w:tc>
        <w:tc>
          <w:tcPr>
            <w:tcW w:w="280" w:type="pct"/>
            <w:tcBorders>
              <w:top w:val="nil"/>
              <w:left w:val="nil"/>
              <w:bottom w:val="nil"/>
              <w:right w:val="nil"/>
            </w:tcBorders>
            <w:shd w:val="clear" w:color="000000" w:fill="DDEBF7"/>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$1,785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$1,845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$1,900 </w:t>
            </w:r>
          </w:p>
        </w:tc>
        <w:tc>
          <w:tcPr>
            <w:tcW w:w="280" w:type="pct"/>
            <w:tcBorders>
              <w:top w:val="nil"/>
              <w:left w:val="nil"/>
              <w:bottom w:val="nil"/>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 xml:space="preserve">$1,969 </w:t>
            </w:r>
          </w:p>
        </w:tc>
        <w:tc>
          <w:tcPr>
            <w:tcW w:w="280" w:type="pct"/>
            <w:tcBorders>
              <w:top w:val="nil"/>
              <w:left w:val="nil"/>
              <w:bottom w:val="nil"/>
              <w:right w:val="nil"/>
            </w:tcBorders>
            <w:shd w:val="clear" w:color="auto" w:fill="auto"/>
            <w:noWrap/>
            <w:vAlign w:val="center"/>
            <w:hideMark/>
          </w:tcPr>
          <w:p w:rsidR="00273FA5" w:rsidRPr="00273FA5" w:rsidRDefault="00273FA5" w:rsidP="00273FA5">
            <w:pPr>
              <w:jc w:val="right"/>
              <w:rPr>
                <w:rFonts w:eastAsia="Times New Roman" w:cs="Arial"/>
                <w:b/>
                <w:bCs/>
                <w:sz w:val="20"/>
                <w:szCs w:val="20"/>
                <w:lang w:eastAsia="en-AU"/>
              </w:rPr>
            </w:pPr>
            <w:r w:rsidRPr="00273FA5">
              <w:rPr>
                <w:rFonts w:eastAsia="Times New Roman" w:cs="Arial"/>
                <w:b/>
                <w:bCs/>
                <w:sz w:val="20"/>
                <w:szCs w:val="20"/>
                <w:lang w:eastAsia="en-AU"/>
              </w:rPr>
              <w:t>+</w:t>
            </w:r>
          </w:p>
        </w:tc>
      </w:tr>
      <w:tr w:rsidR="00273FA5" w:rsidRPr="00273FA5" w:rsidTr="00273FA5">
        <w:trPr>
          <w:trHeight w:val="290"/>
        </w:trPr>
        <w:tc>
          <w:tcPr>
            <w:tcW w:w="713"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Workforce turnover</w:t>
            </w:r>
          </w:p>
        </w:tc>
        <w:tc>
          <w:tcPr>
            <w:tcW w:w="1945"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rPr>
                <w:rFonts w:eastAsia="Times New Roman" w:cs="Arial"/>
                <w:sz w:val="18"/>
                <w:szCs w:val="18"/>
                <w:lang w:eastAsia="en-AU"/>
              </w:rPr>
            </w:pPr>
            <w:r w:rsidRPr="00273FA5">
              <w:rPr>
                <w:rFonts w:eastAsia="Times New Roman" w:cs="Arial"/>
                <w:sz w:val="18"/>
                <w:szCs w:val="18"/>
                <w:lang w:eastAsia="en-AU"/>
              </w:rPr>
              <w:t>No. of permanent staff resignations &amp; terminations / average no. of permanent staff for the financial year</w:t>
            </w:r>
          </w:p>
        </w:tc>
        <w:tc>
          <w:tcPr>
            <w:tcW w:w="285"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rPr>
                <w:rFonts w:eastAsia="Times New Roman" w:cs="Arial"/>
                <w:sz w:val="18"/>
                <w:szCs w:val="18"/>
                <w:lang w:eastAsia="en-AU"/>
              </w:rPr>
            </w:pPr>
          </w:p>
        </w:tc>
        <w:tc>
          <w:tcPr>
            <w:tcW w:w="280"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13.0%</w:t>
            </w:r>
          </w:p>
        </w:tc>
        <w:tc>
          <w:tcPr>
            <w:tcW w:w="374"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9.7%</w:t>
            </w:r>
          </w:p>
        </w:tc>
        <w:tc>
          <w:tcPr>
            <w:tcW w:w="280" w:type="pct"/>
            <w:vMerge w:val="restart"/>
            <w:tcBorders>
              <w:top w:val="nil"/>
              <w:left w:val="nil"/>
              <w:bottom w:val="single" w:sz="8" w:space="0" w:color="000000"/>
              <w:right w:val="nil"/>
            </w:tcBorders>
            <w:shd w:val="clear" w:color="000000" w:fill="DDEBF7"/>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9.9%</w:t>
            </w:r>
          </w:p>
        </w:tc>
        <w:tc>
          <w:tcPr>
            <w:tcW w:w="280"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9.9%</w:t>
            </w:r>
          </w:p>
        </w:tc>
        <w:tc>
          <w:tcPr>
            <w:tcW w:w="280"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9.9%</w:t>
            </w:r>
          </w:p>
        </w:tc>
        <w:tc>
          <w:tcPr>
            <w:tcW w:w="280" w:type="pct"/>
            <w:vMerge w:val="restart"/>
            <w:tcBorders>
              <w:top w:val="nil"/>
              <w:left w:val="nil"/>
              <w:bottom w:val="single" w:sz="8" w:space="0" w:color="000000"/>
              <w:right w:val="nil"/>
            </w:tcBorders>
            <w:shd w:val="clear" w:color="auto" w:fill="auto"/>
            <w:vAlign w:val="center"/>
            <w:hideMark/>
          </w:tcPr>
          <w:p w:rsidR="00273FA5" w:rsidRPr="00273FA5" w:rsidRDefault="00273FA5" w:rsidP="00273FA5">
            <w:pPr>
              <w:jc w:val="right"/>
              <w:rPr>
                <w:rFonts w:eastAsia="Times New Roman" w:cs="Arial"/>
                <w:sz w:val="20"/>
                <w:szCs w:val="20"/>
                <w:lang w:eastAsia="en-AU"/>
              </w:rPr>
            </w:pPr>
            <w:r w:rsidRPr="00273FA5">
              <w:rPr>
                <w:rFonts w:eastAsia="Times New Roman" w:cs="Arial"/>
                <w:sz w:val="20"/>
                <w:szCs w:val="20"/>
                <w:lang w:eastAsia="en-AU"/>
              </w:rPr>
              <w:t>9.9%</w:t>
            </w:r>
          </w:p>
        </w:tc>
        <w:tc>
          <w:tcPr>
            <w:tcW w:w="280" w:type="pct"/>
            <w:vMerge w:val="restart"/>
            <w:tcBorders>
              <w:top w:val="nil"/>
              <w:left w:val="nil"/>
              <w:bottom w:val="single" w:sz="8" w:space="0" w:color="000000"/>
              <w:right w:val="nil"/>
            </w:tcBorders>
            <w:shd w:val="clear" w:color="auto" w:fill="auto"/>
            <w:noWrap/>
            <w:vAlign w:val="center"/>
            <w:hideMark/>
          </w:tcPr>
          <w:p w:rsidR="00273FA5" w:rsidRPr="00273FA5" w:rsidRDefault="00273FA5" w:rsidP="00273FA5">
            <w:pPr>
              <w:jc w:val="right"/>
              <w:rPr>
                <w:rFonts w:eastAsia="Times New Roman" w:cs="Arial"/>
                <w:b/>
                <w:bCs/>
                <w:sz w:val="20"/>
                <w:szCs w:val="20"/>
                <w:lang w:eastAsia="en-AU"/>
              </w:rPr>
            </w:pPr>
            <w:r w:rsidRPr="00273FA5">
              <w:rPr>
                <w:rFonts w:eastAsia="Times New Roman" w:cs="Arial"/>
                <w:b/>
                <w:bCs/>
                <w:sz w:val="20"/>
                <w:szCs w:val="20"/>
                <w:lang w:eastAsia="en-AU"/>
              </w:rPr>
              <w:t>o</w:t>
            </w:r>
          </w:p>
        </w:tc>
      </w:tr>
      <w:tr w:rsidR="00273FA5" w:rsidRPr="00273FA5" w:rsidTr="00273FA5">
        <w:trPr>
          <w:trHeight w:val="300"/>
        </w:trPr>
        <w:tc>
          <w:tcPr>
            <w:tcW w:w="713"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18"/>
                <w:szCs w:val="18"/>
                <w:lang w:eastAsia="en-AU"/>
              </w:rPr>
            </w:pPr>
          </w:p>
        </w:tc>
        <w:tc>
          <w:tcPr>
            <w:tcW w:w="1945"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18"/>
                <w:szCs w:val="18"/>
                <w:lang w:eastAsia="en-AU"/>
              </w:rPr>
            </w:pPr>
          </w:p>
        </w:tc>
        <w:tc>
          <w:tcPr>
            <w:tcW w:w="285"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18"/>
                <w:szCs w:val="18"/>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374"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sz w:val="20"/>
                <w:szCs w:val="20"/>
                <w:lang w:eastAsia="en-AU"/>
              </w:rPr>
            </w:pPr>
          </w:p>
        </w:tc>
        <w:tc>
          <w:tcPr>
            <w:tcW w:w="280" w:type="pct"/>
            <w:vMerge/>
            <w:tcBorders>
              <w:top w:val="nil"/>
              <w:left w:val="nil"/>
              <w:bottom w:val="single" w:sz="8" w:space="0" w:color="000000"/>
              <w:right w:val="nil"/>
            </w:tcBorders>
            <w:vAlign w:val="center"/>
            <w:hideMark/>
          </w:tcPr>
          <w:p w:rsidR="00273FA5" w:rsidRPr="00273FA5" w:rsidRDefault="00273FA5" w:rsidP="00273FA5">
            <w:pPr>
              <w:rPr>
                <w:rFonts w:eastAsia="Times New Roman" w:cs="Arial"/>
                <w:b/>
                <w:bCs/>
                <w:sz w:val="20"/>
                <w:szCs w:val="20"/>
                <w:lang w:eastAsia="en-AU"/>
              </w:rPr>
            </w:pPr>
          </w:p>
        </w:tc>
      </w:tr>
    </w:tbl>
    <w:p w:rsidR="006E0921" w:rsidRPr="00E04AAA" w:rsidRDefault="006E0921" w:rsidP="006E0921">
      <w:pPr>
        <w:jc w:val="both"/>
        <w:rPr>
          <w:rFonts w:eastAsia="Times New Roman" w:cs="Arial"/>
          <w:sz w:val="18"/>
          <w:szCs w:val="18"/>
        </w:rPr>
      </w:pPr>
      <w:r w:rsidRPr="00E04AAA">
        <w:rPr>
          <w:rFonts w:eastAsia="Times New Roman" w:cs="Arial"/>
          <w:sz w:val="18"/>
          <w:szCs w:val="18"/>
        </w:rPr>
        <w:t>Key to Forecast Trend:</w:t>
      </w:r>
    </w:p>
    <w:p w:rsidR="006E0921" w:rsidRPr="00E04AAA" w:rsidRDefault="006E0921" w:rsidP="006E0921">
      <w:pPr>
        <w:jc w:val="both"/>
        <w:rPr>
          <w:rFonts w:eastAsia="Times New Roman" w:cs="Arial"/>
          <w:sz w:val="18"/>
          <w:szCs w:val="18"/>
        </w:rPr>
      </w:pPr>
      <w:r w:rsidRPr="00E04AAA">
        <w:rPr>
          <w:rFonts w:eastAsia="Times New Roman" w:cs="Arial"/>
          <w:sz w:val="18"/>
          <w:szCs w:val="18"/>
        </w:rPr>
        <w:t>+ Forecasts improvement in Council's financial performance/financial position indicator</w:t>
      </w:r>
    </w:p>
    <w:p w:rsidR="006E0921" w:rsidRPr="00E04AAA" w:rsidRDefault="006E0921" w:rsidP="006E0921">
      <w:pPr>
        <w:jc w:val="both"/>
        <w:rPr>
          <w:rFonts w:eastAsia="Times New Roman" w:cs="Arial"/>
          <w:sz w:val="18"/>
          <w:szCs w:val="18"/>
        </w:rPr>
      </w:pPr>
      <w:r w:rsidRPr="00E04AAA">
        <w:rPr>
          <w:rFonts w:eastAsia="Times New Roman" w:cs="Arial"/>
          <w:sz w:val="18"/>
          <w:szCs w:val="18"/>
        </w:rPr>
        <w:t>o Forecasts that Council's financial performance/financial position indicator will be steady</w:t>
      </w:r>
    </w:p>
    <w:p w:rsidR="006E0921" w:rsidRPr="00E04AAA" w:rsidRDefault="006E0921" w:rsidP="006E0921">
      <w:pPr>
        <w:jc w:val="both"/>
        <w:rPr>
          <w:rFonts w:eastAsia="Times New Roman" w:cs="Arial"/>
          <w:sz w:val="18"/>
          <w:szCs w:val="18"/>
        </w:rPr>
      </w:pPr>
      <w:r w:rsidRPr="00E04AAA">
        <w:rPr>
          <w:rFonts w:eastAsia="Times New Roman" w:cs="Arial"/>
          <w:sz w:val="18"/>
          <w:szCs w:val="18"/>
        </w:rPr>
        <w:t xml:space="preserve"> - Forecasts deterioration in Council's financial performance/financial position indicator</w:t>
      </w:r>
    </w:p>
    <w:p w:rsidR="006E0921" w:rsidRPr="00E04AAA" w:rsidRDefault="006E0921" w:rsidP="006E0921">
      <w:pPr>
        <w:jc w:val="both"/>
        <w:rPr>
          <w:rFonts w:eastAsia="Times New Roman" w:cs="Arial"/>
          <w:sz w:val="20"/>
          <w:szCs w:val="20"/>
        </w:rPr>
      </w:pPr>
    </w:p>
    <w:p w:rsidR="006E0921" w:rsidRPr="00E04AAA" w:rsidRDefault="006E0921" w:rsidP="006E0921">
      <w:pPr>
        <w:rPr>
          <w:rFonts w:eastAsia="Times New Roman" w:cs="Arial"/>
          <w:b/>
          <w:sz w:val="20"/>
          <w:szCs w:val="20"/>
        </w:rPr>
      </w:pPr>
      <w:r w:rsidRPr="00E04AAA">
        <w:rPr>
          <w:rFonts w:eastAsia="Times New Roman" w:cs="Arial"/>
          <w:b/>
          <w:sz w:val="20"/>
          <w:szCs w:val="20"/>
        </w:rPr>
        <w:t>Notes to indicators</w:t>
      </w:r>
    </w:p>
    <w:p w:rsidR="006E0921" w:rsidRPr="000C4F75" w:rsidRDefault="006E0921" w:rsidP="006E0921">
      <w:pPr>
        <w:jc w:val="both"/>
        <w:rPr>
          <w:rFonts w:eastAsia="Times New Roman" w:cs="Arial"/>
          <w:sz w:val="20"/>
          <w:szCs w:val="20"/>
        </w:rPr>
      </w:pPr>
      <w:r w:rsidRPr="000C4F75">
        <w:rPr>
          <w:rFonts w:eastAsia="Times New Roman" w:cs="Arial"/>
          <w:b/>
          <w:i/>
          <w:sz w:val="20"/>
          <w:szCs w:val="20"/>
        </w:rPr>
        <w:t>1 Adjusted underlying result</w:t>
      </w:r>
      <w:r w:rsidRPr="000C4F75">
        <w:rPr>
          <w:rFonts w:eastAsia="Times New Roman" w:cs="Arial"/>
          <w:i/>
          <w:sz w:val="20"/>
          <w:szCs w:val="20"/>
        </w:rPr>
        <w:t xml:space="preserve"> </w:t>
      </w:r>
      <w:r w:rsidRPr="000C4F75">
        <w:rPr>
          <w:rFonts w:eastAsia="Times New Roman" w:cs="Arial"/>
          <w:sz w:val="20"/>
          <w:szCs w:val="20"/>
        </w:rPr>
        <w:t xml:space="preserve">– An indicator of the sustainable operating result required to enable Council to continue to provide core services and meet its objectives. There is </w:t>
      </w:r>
      <w:r w:rsidRPr="00273FA5">
        <w:rPr>
          <w:rFonts w:eastAsia="Times New Roman" w:cs="Arial"/>
          <w:sz w:val="20"/>
          <w:szCs w:val="20"/>
        </w:rPr>
        <w:t xml:space="preserve">an improvement in </w:t>
      </w:r>
      <w:r w:rsidRPr="000C4F75">
        <w:rPr>
          <w:rFonts w:eastAsia="Times New Roman" w:cs="Arial"/>
          <w:sz w:val="20"/>
          <w:szCs w:val="20"/>
        </w:rPr>
        <w:t>financial perfor</w:t>
      </w:r>
      <w:r w:rsidR="001A1939">
        <w:rPr>
          <w:rFonts w:eastAsia="Times New Roman" w:cs="Arial"/>
          <w:sz w:val="20"/>
          <w:szCs w:val="20"/>
        </w:rPr>
        <w:t>mance expected over the period</w:t>
      </w:r>
      <w:r w:rsidRPr="000C4F75">
        <w:rPr>
          <w:rFonts w:eastAsia="Times New Roman" w:cs="Arial"/>
          <w:sz w:val="20"/>
          <w:szCs w:val="20"/>
        </w:rPr>
        <w:t>.</w:t>
      </w:r>
    </w:p>
    <w:p w:rsidR="006E0921" w:rsidRPr="00A96FA7" w:rsidRDefault="006E0921" w:rsidP="006E0921">
      <w:pPr>
        <w:jc w:val="both"/>
        <w:rPr>
          <w:rFonts w:eastAsia="Times New Roman" w:cs="Arial"/>
          <w:sz w:val="20"/>
          <w:szCs w:val="20"/>
          <w:highlight w:val="red"/>
        </w:rPr>
      </w:pPr>
    </w:p>
    <w:p w:rsidR="006E0921" w:rsidRPr="000C4F75" w:rsidRDefault="006E0921" w:rsidP="006E0921">
      <w:pPr>
        <w:jc w:val="both"/>
        <w:rPr>
          <w:rFonts w:eastAsia="Times New Roman" w:cs="Arial"/>
          <w:sz w:val="20"/>
          <w:szCs w:val="20"/>
        </w:rPr>
      </w:pPr>
      <w:r w:rsidRPr="000C4F75">
        <w:rPr>
          <w:rFonts w:eastAsia="Times New Roman" w:cs="Arial"/>
          <w:b/>
          <w:i/>
          <w:sz w:val="20"/>
          <w:szCs w:val="20"/>
        </w:rPr>
        <w:t>2</w:t>
      </w:r>
      <w:r w:rsidRPr="000C4F75">
        <w:rPr>
          <w:rFonts w:eastAsia="Times New Roman" w:cs="Arial"/>
          <w:b/>
          <w:i/>
          <w:color w:val="CC0000"/>
          <w:sz w:val="20"/>
          <w:szCs w:val="20"/>
        </w:rPr>
        <w:t xml:space="preserve"> </w:t>
      </w:r>
      <w:r w:rsidRPr="000C4F75">
        <w:rPr>
          <w:rFonts w:eastAsia="Times New Roman" w:cs="Arial"/>
          <w:b/>
          <w:i/>
          <w:sz w:val="20"/>
          <w:szCs w:val="20"/>
        </w:rPr>
        <w:t xml:space="preserve">Working capital </w:t>
      </w:r>
      <w:r w:rsidRPr="000C4F75">
        <w:rPr>
          <w:rFonts w:eastAsia="Times New Roman" w:cs="Arial"/>
          <w:sz w:val="20"/>
          <w:szCs w:val="20"/>
        </w:rPr>
        <w:t xml:space="preserve">– The proportion of current liabilities represented by current assets. </w:t>
      </w:r>
      <w:r w:rsidR="000C4F75" w:rsidRPr="000C4F75">
        <w:rPr>
          <w:rFonts w:eastAsia="Times New Roman" w:cs="Arial"/>
          <w:sz w:val="20"/>
          <w:szCs w:val="20"/>
        </w:rPr>
        <w:t xml:space="preserve">Working capital is forecast to </w:t>
      </w:r>
      <w:r w:rsidR="00273FA5">
        <w:rPr>
          <w:rFonts w:eastAsia="Times New Roman" w:cs="Arial"/>
          <w:sz w:val="20"/>
          <w:szCs w:val="20"/>
        </w:rPr>
        <w:t>de</w:t>
      </w:r>
      <w:r w:rsidRPr="000C4F75">
        <w:rPr>
          <w:rFonts w:eastAsia="Times New Roman" w:cs="Arial"/>
          <w:sz w:val="20"/>
          <w:szCs w:val="20"/>
        </w:rPr>
        <w:t>crease from 201</w:t>
      </w:r>
      <w:r w:rsidR="00BE78DE">
        <w:rPr>
          <w:rFonts w:eastAsia="Times New Roman" w:cs="Arial"/>
          <w:sz w:val="20"/>
          <w:szCs w:val="20"/>
        </w:rPr>
        <w:t>9</w:t>
      </w:r>
      <w:r w:rsidRPr="000C4F75">
        <w:rPr>
          <w:rFonts w:eastAsia="Times New Roman" w:cs="Arial"/>
          <w:sz w:val="20"/>
          <w:szCs w:val="20"/>
        </w:rPr>
        <w:t>/</w:t>
      </w:r>
      <w:r w:rsidR="00BE78DE">
        <w:rPr>
          <w:rFonts w:eastAsia="Times New Roman" w:cs="Arial"/>
          <w:sz w:val="20"/>
          <w:szCs w:val="20"/>
        </w:rPr>
        <w:t>20</w:t>
      </w:r>
      <w:r w:rsidRPr="000C4F75">
        <w:rPr>
          <w:rFonts w:eastAsia="Times New Roman" w:cs="Arial"/>
          <w:sz w:val="20"/>
          <w:szCs w:val="20"/>
        </w:rPr>
        <w:t xml:space="preserve"> to 20</w:t>
      </w:r>
      <w:r w:rsidR="00BE78DE">
        <w:rPr>
          <w:rFonts w:eastAsia="Times New Roman" w:cs="Arial"/>
          <w:sz w:val="20"/>
          <w:szCs w:val="20"/>
        </w:rPr>
        <w:t>20</w:t>
      </w:r>
      <w:r w:rsidRPr="000C4F75">
        <w:rPr>
          <w:rFonts w:eastAsia="Times New Roman" w:cs="Arial"/>
          <w:sz w:val="20"/>
          <w:szCs w:val="20"/>
        </w:rPr>
        <w:t>/</w:t>
      </w:r>
      <w:r w:rsidR="004B753E">
        <w:rPr>
          <w:rFonts w:eastAsia="Times New Roman" w:cs="Arial"/>
          <w:sz w:val="20"/>
          <w:szCs w:val="20"/>
        </w:rPr>
        <w:t>2</w:t>
      </w:r>
      <w:r w:rsidR="00BE78DE">
        <w:rPr>
          <w:rFonts w:eastAsia="Times New Roman" w:cs="Arial"/>
          <w:sz w:val="20"/>
          <w:szCs w:val="20"/>
        </w:rPr>
        <w:t>1</w:t>
      </w:r>
      <w:r w:rsidRPr="000C4F75">
        <w:rPr>
          <w:rFonts w:eastAsia="Times New Roman" w:cs="Arial"/>
          <w:sz w:val="20"/>
          <w:szCs w:val="20"/>
        </w:rPr>
        <w:t>.  This trend is forecast to</w:t>
      </w:r>
      <w:r w:rsidR="00A3372D">
        <w:rPr>
          <w:rFonts w:eastAsia="Times New Roman" w:cs="Arial"/>
          <w:sz w:val="20"/>
          <w:szCs w:val="20"/>
        </w:rPr>
        <w:t xml:space="preserve"> </w:t>
      </w:r>
      <w:r w:rsidR="00A3372D" w:rsidRPr="00273FA5">
        <w:rPr>
          <w:rFonts w:eastAsia="Times New Roman" w:cs="Arial"/>
          <w:sz w:val="20"/>
          <w:szCs w:val="20"/>
        </w:rPr>
        <w:t xml:space="preserve">reduce slightly </w:t>
      </w:r>
      <w:r w:rsidRPr="00273FA5">
        <w:rPr>
          <w:rFonts w:eastAsia="Times New Roman" w:cs="Arial"/>
          <w:sz w:val="20"/>
          <w:szCs w:val="20"/>
        </w:rPr>
        <w:t>in later years</w:t>
      </w:r>
      <w:r w:rsidR="00A3372D" w:rsidRPr="00273FA5">
        <w:rPr>
          <w:rFonts w:eastAsia="Times New Roman" w:cs="Arial"/>
          <w:sz w:val="20"/>
          <w:szCs w:val="20"/>
        </w:rPr>
        <w:t xml:space="preserve"> ho</w:t>
      </w:r>
      <w:r w:rsidR="00A3372D">
        <w:rPr>
          <w:rFonts w:eastAsia="Times New Roman" w:cs="Arial"/>
          <w:sz w:val="20"/>
          <w:szCs w:val="20"/>
        </w:rPr>
        <w:t xml:space="preserve">wever </w:t>
      </w:r>
      <w:r w:rsidRPr="000C4F75">
        <w:rPr>
          <w:rFonts w:eastAsia="Times New Roman" w:cs="Arial"/>
          <w:sz w:val="20"/>
          <w:szCs w:val="20"/>
        </w:rPr>
        <w:t>with the ratio</w:t>
      </w:r>
      <w:r w:rsidR="00A3372D">
        <w:rPr>
          <w:rFonts w:eastAsia="Times New Roman" w:cs="Arial"/>
          <w:sz w:val="20"/>
          <w:szCs w:val="20"/>
        </w:rPr>
        <w:t xml:space="preserve"> remaining </w:t>
      </w:r>
      <w:r w:rsidRPr="000C4F75">
        <w:rPr>
          <w:rFonts w:eastAsia="Times New Roman" w:cs="Arial"/>
          <w:sz w:val="20"/>
          <w:szCs w:val="20"/>
        </w:rPr>
        <w:t xml:space="preserve">at a </w:t>
      </w:r>
      <w:r w:rsidR="00273FA5">
        <w:rPr>
          <w:rFonts w:eastAsia="Times New Roman" w:cs="Arial"/>
          <w:sz w:val="20"/>
          <w:szCs w:val="20"/>
        </w:rPr>
        <w:t>h</w:t>
      </w:r>
      <w:r w:rsidRPr="000C4F75">
        <w:rPr>
          <w:rFonts w:eastAsia="Times New Roman" w:cs="Arial"/>
          <w:sz w:val="20"/>
          <w:szCs w:val="20"/>
        </w:rPr>
        <w:t>ealthy level.</w:t>
      </w:r>
    </w:p>
    <w:p w:rsidR="006E0921" w:rsidRPr="00A96FA7" w:rsidRDefault="006E0921" w:rsidP="006E0921">
      <w:pPr>
        <w:jc w:val="both"/>
        <w:rPr>
          <w:rFonts w:eastAsia="Times New Roman" w:cs="Arial"/>
          <w:sz w:val="20"/>
          <w:szCs w:val="20"/>
          <w:highlight w:val="red"/>
        </w:rPr>
      </w:pPr>
    </w:p>
    <w:p w:rsidR="006E0921" w:rsidRPr="00A96FA7" w:rsidRDefault="006E0921" w:rsidP="006E0921">
      <w:pPr>
        <w:jc w:val="both"/>
        <w:rPr>
          <w:rFonts w:eastAsia="Times New Roman" w:cs="Arial"/>
          <w:sz w:val="20"/>
          <w:szCs w:val="20"/>
          <w:highlight w:val="red"/>
        </w:rPr>
      </w:pPr>
      <w:r w:rsidRPr="00F66ABD">
        <w:rPr>
          <w:rFonts w:eastAsia="Times New Roman" w:cs="Arial"/>
          <w:b/>
          <w:i/>
          <w:sz w:val="20"/>
          <w:szCs w:val="20"/>
        </w:rPr>
        <w:t xml:space="preserve">3 Debt compared to rates </w:t>
      </w:r>
      <w:r w:rsidRPr="00F66ABD">
        <w:rPr>
          <w:rFonts w:eastAsia="Times New Roman" w:cs="Arial"/>
          <w:sz w:val="20"/>
          <w:szCs w:val="20"/>
        </w:rPr>
        <w:t xml:space="preserve">- Trend indicates Council's reducing reliance on debt against its annual rate revenue through redemption of long term debt. </w:t>
      </w:r>
    </w:p>
    <w:p w:rsidR="006E0921" w:rsidRPr="00A96FA7" w:rsidRDefault="006E0921" w:rsidP="006E0921">
      <w:pPr>
        <w:jc w:val="both"/>
        <w:rPr>
          <w:rFonts w:eastAsia="Times New Roman" w:cs="Arial"/>
          <w:sz w:val="20"/>
          <w:szCs w:val="20"/>
          <w:highlight w:val="red"/>
        </w:rPr>
      </w:pPr>
    </w:p>
    <w:p w:rsidR="006E0921" w:rsidRPr="00F66ABD" w:rsidRDefault="006E0921" w:rsidP="006E0921">
      <w:pPr>
        <w:jc w:val="both"/>
        <w:rPr>
          <w:rFonts w:eastAsia="Times New Roman" w:cs="Arial"/>
          <w:sz w:val="20"/>
          <w:szCs w:val="20"/>
        </w:rPr>
      </w:pPr>
      <w:r w:rsidRPr="00F66ABD">
        <w:rPr>
          <w:rFonts w:eastAsia="Times New Roman" w:cs="Arial"/>
          <w:b/>
          <w:i/>
          <w:sz w:val="20"/>
          <w:szCs w:val="20"/>
        </w:rPr>
        <w:t xml:space="preserve">4 Asset renewal </w:t>
      </w:r>
      <w:r w:rsidRPr="00F66ABD">
        <w:rPr>
          <w:rFonts w:eastAsia="Times New Roman" w:cs="Arial"/>
          <w:sz w:val="20"/>
          <w:szCs w:val="20"/>
        </w:rPr>
        <w:t>- This percentage indicates the extent of Council's renewals against its depreciation charge (an indication of the decline in value of its existing capital assets). A percentage greater than 100 indicates Council is maintaining its existing assets.</w:t>
      </w:r>
    </w:p>
    <w:p w:rsidR="006E0921" w:rsidRPr="00A96FA7" w:rsidRDefault="006E0921" w:rsidP="006E0921">
      <w:pPr>
        <w:jc w:val="both"/>
        <w:rPr>
          <w:rFonts w:eastAsia="Times New Roman" w:cs="Arial"/>
          <w:sz w:val="20"/>
          <w:szCs w:val="20"/>
          <w:highlight w:val="red"/>
        </w:rPr>
      </w:pPr>
      <w:r w:rsidRPr="00A96FA7">
        <w:rPr>
          <w:rFonts w:eastAsia="Times New Roman" w:cs="Arial"/>
          <w:sz w:val="20"/>
          <w:szCs w:val="20"/>
          <w:highlight w:val="red"/>
        </w:rPr>
        <w:t xml:space="preserve"> </w:t>
      </w:r>
    </w:p>
    <w:p w:rsidR="006E0921" w:rsidRPr="004C6A76" w:rsidRDefault="006E0921" w:rsidP="005D5C82">
      <w:pPr>
        <w:jc w:val="both"/>
        <w:rPr>
          <w:rFonts w:eastAsia="Times New Roman" w:cs="Arial"/>
          <w:sz w:val="20"/>
          <w:szCs w:val="20"/>
        </w:rPr>
      </w:pPr>
      <w:r w:rsidRPr="00667BD9">
        <w:rPr>
          <w:rFonts w:eastAsia="Times New Roman" w:cs="Arial"/>
          <w:b/>
          <w:i/>
          <w:sz w:val="20"/>
          <w:szCs w:val="20"/>
        </w:rPr>
        <w:t>5 Rates concentration</w:t>
      </w:r>
      <w:r w:rsidRPr="00667BD9">
        <w:rPr>
          <w:rFonts w:eastAsia="Times New Roman" w:cs="Arial"/>
          <w:sz w:val="20"/>
          <w:szCs w:val="20"/>
        </w:rPr>
        <w:t xml:space="preserve"> - Reflects extent of reliance on rate revenues to fund all of Council's on-going services. </w:t>
      </w:r>
      <w:r w:rsidRPr="004C6A76">
        <w:rPr>
          <w:rFonts w:eastAsia="Times New Roman" w:cs="Arial"/>
          <w:sz w:val="20"/>
          <w:szCs w:val="20"/>
        </w:rPr>
        <w:t>Trend indicates Council will have a steady reliance on rate revenue compared to all other revenue sources.</w:t>
      </w:r>
      <w:r w:rsidR="005D5C82" w:rsidRPr="004C6A76">
        <w:rPr>
          <w:rFonts w:eastAsia="Times New Roman" w:cs="Arial"/>
          <w:sz w:val="20"/>
          <w:szCs w:val="20"/>
        </w:rPr>
        <w:t xml:space="preserve"> </w:t>
      </w:r>
    </w:p>
    <w:p w:rsidR="00E72A24" w:rsidRDefault="00E72A24" w:rsidP="00D53814">
      <w:pPr>
        <w:jc w:val="both"/>
        <w:rPr>
          <w:rFonts w:eastAsia="Times New Roman" w:cs="Arial"/>
          <w:sz w:val="20"/>
          <w:szCs w:val="20"/>
        </w:rPr>
        <w:sectPr w:rsidR="00E72A24" w:rsidSect="005D5C82">
          <w:footerReference w:type="default" r:id="rId26"/>
          <w:pgSz w:w="16840" w:h="11907" w:orient="landscape" w:code="9"/>
          <w:pgMar w:top="1440" w:right="1418" w:bottom="1440" w:left="1418" w:header="567" w:footer="567" w:gutter="0"/>
          <w:cols w:space="720"/>
          <w:docGrid w:linePitch="299"/>
        </w:sectPr>
      </w:pPr>
    </w:p>
    <w:p w:rsidR="00CE0EDC" w:rsidRDefault="00D53814" w:rsidP="008251F8">
      <w:pPr>
        <w:pStyle w:val="Heading1"/>
      </w:pPr>
      <w:bookmarkStart w:id="134" w:name="_Toc4056380"/>
      <w:r w:rsidRPr="00522963">
        <w:lastRenderedPageBreak/>
        <w:t>Appendices</w:t>
      </w:r>
      <w:bookmarkEnd w:id="134"/>
    </w:p>
    <w:p w:rsidR="00CE0EDC" w:rsidRDefault="00CE0EDC" w:rsidP="00CE0EDC">
      <w:pPr>
        <w:rPr>
          <w:lang w:val="en-US"/>
        </w:rPr>
      </w:pPr>
    </w:p>
    <w:p w:rsidR="00D53814" w:rsidRPr="00D53814" w:rsidRDefault="00D53814" w:rsidP="00D53814">
      <w:pPr>
        <w:jc w:val="both"/>
        <w:rPr>
          <w:rFonts w:eastAsia="Times New Roman" w:cs="Arial"/>
        </w:rPr>
      </w:pPr>
      <w:r w:rsidRPr="00D53814">
        <w:rPr>
          <w:rFonts w:eastAsia="Times New Roman" w:cs="Arial"/>
        </w:rPr>
        <w:t>The contents of the appendices following are summarised below:</w:t>
      </w:r>
    </w:p>
    <w:p w:rsidR="00D53814" w:rsidRPr="00D53814" w:rsidRDefault="00D53814" w:rsidP="00D53814">
      <w:pPr>
        <w:rPr>
          <w:rFonts w:eastAsia="Times New Roman" w:cs="Arial"/>
        </w:rPr>
      </w:pPr>
    </w:p>
    <w:tbl>
      <w:tblPr>
        <w:tblW w:w="6452" w:type="dxa"/>
        <w:tblInd w:w="103" w:type="dxa"/>
        <w:tblLook w:val="0000" w:firstRow="0" w:lastRow="0" w:firstColumn="0" w:lastColumn="0" w:noHBand="0" w:noVBand="0"/>
      </w:tblPr>
      <w:tblGrid>
        <w:gridCol w:w="1423"/>
        <w:gridCol w:w="4179"/>
        <w:gridCol w:w="850"/>
      </w:tblGrid>
      <w:tr w:rsidR="00D53814" w:rsidRPr="00D53814" w:rsidTr="00E11E56">
        <w:tc>
          <w:tcPr>
            <w:tcW w:w="1423" w:type="dxa"/>
            <w:tcBorders>
              <w:top w:val="single" w:sz="4" w:space="0" w:color="auto"/>
              <w:left w:val="single" w:sz="4" w:space="0" w:color="auto"/>
              <w:bottom w:val="nil"/>
              <w:right w:val="nil"/>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Appendix</w:t>
            </w:r>
          </w:p>
        </w:tc>
        <w:tc>
          <w:tcPr>
            <w:tcW w:w="4179" w:type="dxa"/>
            <w:tcBorders>
              <w:top w:val="single" w:sz="4" w:space="0" w:color="auto"/>
              <w:left w:val="nil"/>
              <w:bottom w:val="nil"/>
              <w:right w:val="nil"/>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Nature of information</w:t>
            </w:r>
          </w:p>
        </w:tc>
        <w:tc>
          <w:tcPr>
            <w:tcW w:w="850" w:type="dxa"/>
            <w:tcBorders>
              <w:top w:val="single" w:sz="4" w:space="0" w:color="auto"/>
              <w:left w:val="nil"/>
              <w:bottom w:val="nil"/>
              <w:right w:val="single" w:sz="4" w:space="0" w:color="auto"/>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Page</w:t>
            </w:r>
          </w:p>
        </w:tc>
      </w:tr>
      <w:tr w:rsidR="00D53814" w:rsidRPr="00A50934" w:rsidTr="00507EC1">
        <w:tc>
          <w:tcPr>
            <w:tcW w:w="1423" w:type="dxa"/>
            <w:tcBorders>
              <w:top w:val="nil"/>
              <w:left w:val="nil"/>
              <w:bottom w:val="nil"/>
              <w:right w:val="nil"/>
            </w:tcBorders>
            <w:noWrap/>
            <w:vAlign w:val="bottom"/>
          </w:tcPr>
          <w:p w:rsidR="00D53814" w:rsidRPr="00A50934" w:rsidRDefault="00D53814" w:rsidP="00D53814">
            <w:pPr>
              <w:jc w:val="center"/>
              <w:rPr>
                <w:rFonts w:ascii="Book Antiqua" w:eastAsia="Times New Roman" w:hAnsi="Book Antiqua"/>
                <w:szCs w:val="20"/>
              </w:rPr>
            </w:pPr>
            <w:r w:rsidRPr="00A50934">
              <w:rPr>
                <w:rFonts w:ascii="Book Antiqua" w:eastAsia="Times New Roman" w:hAnsi="Book Antiqua"/>
                <w:szCs w:val="20"/>
              </w:rPr>
              <w:t>A</w:t>
            </w:r>
          </w:p>
        </w:tc>
        <w:tc>
          <w:tcPr>
            <w:tcW w:w="4179" w:type="dxa"/>
            <w:tcBorders>
              <w:top w:val="nil"/>
              <w:left w:val="nil"/>
              <w:bottom w:val="nil"/>
              <w:right w:val="nil"/>
            </w:tcBorders>
            <w:vAlign w:val="bottom"/>
          </w:tcPr>
          <w:p w:rsidR="00D53814" w:rsidRPr="00A50934" w:rsidRDefault="00D53814" w:rsidP="00D53814">
            <w:pPr>
              <w:ind w:firstLineChars="100" w:firstLine="220"/>
              <w:rPr>
                <w:rFonts w:eastAsia="Times New Roman" w:cs="Arial"/>
                <w:lang w:eastAsia="en-AU"/>
              </w:rPr>
            </w:pPr>
            <w:r w:rsidRPr="00A50934">
              <w:rPr>
                <w:rFonts w:eastAsia="Times New Roman" w:cs="Arial"/>
                <w:lang w:eastAsia="en-AU"/>
              </w:rPr>
              <w:t>Budget process</w:t>
            </w:r>
          </w:p>
        </w:tc>
        <w:tc>
          <w:tcPr>
            <w:tcW w:w="850" w:type="dxa"/>
            <w:tcBorders>
              <w:top w:val="nil"/>
              <w:left w:val="nil"/>
              <w:bottom w:val="nil"/>
              <w:right w:val="nil"/>
            </w:tcBorders>
            <w:vAlign w:val="bottom"/>
          </w:tcPr>
          <w:p w:rsidR="00D53814" w:rsidRPr="00522963" w:rsidRDefault="00782D3B" w:rsidP="00D53814">
            <w:pPr>
              <w:ind w:firstLineChars="100" w:firstLine="220"/>
              <w:jc w:val="center"/>
              <w:rPr>
                <w:rFonts w:eastAsia="Times New Roman" w:cs="Arial"/>
                <w:lang w:eastAsia="en-AU"/>
              </w:rPr>
            </w:pPr>
            <w:r w:rsidRPr="00522963">
              <w:rPr>
                <w:rFonts w:eastAsia="Times New Roman" w:cs="Arial"/>
                <w:lang w:eastAsia="en-AU"/>
              </w:rPr>
              <w:t>7</w:t>
            </w:r>
            <w:r w:rsidR="00140079">
              <w:rPr>
                <w:rFonts w:eastAsia="Times New Roman" w:cs="Arial"/>
                <w:lang w:eastAsia="en-AU"/>
              </w:rPr>
              <w:t>5</w:t>
            </w:r>
          </w:p>
        </w:tc>
      </w:tr>
      <w:tr w:rsidR="00D53814" w:rsidRPr="00A50934" w:rsidTr="00507EC1">
        <w:tc>
          <w:tcPr>
            <w:tcW w:w="1423" w:type="dxa"/>
            <w:tcBorders>
              <w:top w:val="nil"/>
              <w:left w:val="nil"/>
              <w:bottom w:val="nil"/>
              <w:right w:val="nil"/>
            </w:tcBorders>
            <w:noWrap/>
            <w:vAlign w:val="bottom"/>
          </w:tcPr>
          <w:p w:rsidR="00D53814" w:rsidRPr="00A50934" w:rsidRDefault="00D53814" w:rsidP="00D53814">
            <w:pPr>
              <w:jc w:val="center"/>
              <w:rPr>
                <w:rFonts w:ascii="Book Antiqua" w:eastAsia="Times New Roman" w:hAnsi="Book Antiqua"/>
                <w:szCs w:val="20"/>
              </w:rPr>
            </w:pPr>
            <w:r w:rsidRPr="00A50934">
              <w:rPr>
                <w:rFonts w:ascii="Book Antiqua" w:eastAsia="Times New Roman" w:hAnsi="Book Antiqua"/>
                <w:szCs w:val="20"/>
              </w:rPr>
              <w:t>B</w:t>
            </w:r>
          </w:p>
        </w:tc>
        <w:tc>
          <w:tcPr>
            <w:tcW w:w="4179" w:type="dxa"/>
            <w:tcBorders>
              <w:top w:val="nil"/>
              <w:left w:val="nil"/>
              <w:bottom w:val="nil"/>
              <w:right w:val="nil"/>
            </w:tcBorders>
            <w:vAlign w:val="bottom"/>
          </w:tcPr>
          <w:p w:rsidR="00D53814" w:rsidRPr="00A50934" w:rsidRDefault="00D53814" w:rsidP="00D53814">
            <w:pPr>
              <w:ind w:firstLineChars="100" w:firstLine="220"/>
              <w:rPr>
                <w:rFonts w:eastAsia="Times New Roman" w:cs="Arial"/>
                <w:lang w:eastAsia="en-AU"/>
              </w:rPr>
            </w:pPr>
            <w:r w:rsidRPr="00A50934">
              <w:rPr>
                <w:rFonts w:eastAsia="Times New Roman" w:cs="Arial"/>
                <w:lang w:eastAsia="en-AU"/>
              </w:rPr>
              <w:t>Statutory disclosures</w:t>
            </w:r>
          </w:p>
        </w:tc>
        <w:tc>
          <w:tcPr>
            <w:tcW w:w="850" w:type="dxa"/>
            <w:tcBorders>
              <w:top w:val="nil"/>
              <w:left w:val="nil"/>
              <w:bottom w:val="nil"/>
              <w:right w:val="nil"/>
            </w:tcBorders>
            <w:vAlign w:val="bottom"/>
          </w:tcPr>
          <w:p w:rsidR="00D53814" w:rsidRPr="00522963" w:rsidRDefault="00782D3B" w:rsidP="00D53814">
            <w:pPr>
              <w:ind w:firstLineChars="100" w:firstLine="220"/>
              <w:jc w:val="center"/>
              <w:rPr>
                <w:rFonts w:eastAsia="Times New Roman" w:cs="Arial"/>
                <w:lang w:eastAsia="en-AU"/>
              </w:rPr>
            </w:pPr>
            <w:r w:rsidRPr="00522963">
              <w:rPr>
                <w:rFonts w:eastAsia="Times New Roman" w:cs="Arial"/>
                <w:lang w:eastAsia="en-AU"/>
              </w:rPr>
              <w:t>7</w:t>
            </w:r>
            <w:r w:rsidR="00140079">
              <w:rPr>
                <w:rFonts w:eastAsia="Times New Roman" w:cs="Arial"/>
                <w:lang w:eastAsia="en-AU"/>
              </w:rPr>
              <w:t>7</w:t>
            </w:r>
          </w:p>
        </w:tc>
      </w:tr>
      <w:tr w:rsidR="00260C58" w:rsidRPr="00A50934" w:rsidTr="00507EC1">
        <w:tc>
          <w:tcPr>
            <w:tcW w:w="1423" w:type="dxa"/>
            <w:tcBorders>
              <w:top w:val="nil"/>
              <w:left w:val="nil"/>
              <w:bottom w:val="nil"/>
              <w:right w:val="nil"/>
            </w:tcBorders>
            <w:noWrap/>
            <w:vAlign w:val="bottom"/>
          </w:tcPr>
          <w:p w:rsidR="00260C58" w:rsidRPr="00A50934" w:rsidRDefault="00260C58" w:rsidP="00D53814">
            <w:pPr>
              <w:jc w:val="center"/>
              <w:rPr>
                <w:rFonts w:ascii="Book Antiqua" w:eastAsia="Times New Roman" w:hAnsi="Book Antiqua"/>
                <w:szCs w:val="20"/>
              </w:rPr>
            </w:pPr>
            <w:r w:rsidRPr="00A50934">
              <w:rPr>
                <w:rFonts w:ascii="Book Antiqua" w:eastAsia="Times New Roman" w:hAnsi="Book Antiqua"/>
                <w:szCs w:val="20"/>
              </w:rPr>
              <w:t>C</w:t>
            </w:r>
          </w:p>
        </w:tc>
        <w:tc>
          <w:tcPr>
            <w:tcW w:w="4179" w:type="dxa"/>
            <w:tcBorders>
              <w:top w:val="nil"/>
              <w:left w:val="nil"/>
              <w:bottom w:val="nil"/>
              <w:right w:val="nil"/>
            </w:tcBorders>
            <w:vAlign w:val="bottom"/>
          </w:tcPr>
          <w:p w:rsidR="00260C58" w:rsidRPr="00A50934" w:rsidRDefault="00260C58" w:rsidP="00D53814">
            <w:pPr>
              <w:ind w:firstLineChars="100" w:firstLine="220"/>
              <w:rPr>
                <w:rFonts w:eastAsia="Times New Roman" w:cs="Arial"/>
                <w:lang w:eastAsia="en-AU"/>
              </w:rPr>
            </w:pPr>
            <w:r w:rsidRPr="00A50934">
              <w:rPr>
                <w:rFonts w:eastAsia="Times New Roman" w:cs="Arial"/>
                <w:lang w:eastAsia="en-AU"/>
              </w:rPr>
              <w:t>Fees and Charges</w:t>
            </w:r>
          </w:p>
        </w:tc>
        <w:tc>
          <w:tcPr>
            <w:tcW w:w="850" w:type="dxa"/>
            <w:tcBorders>
              <w:top w:val="nil"/>
              <w:left w:val="nil"/>
              <w:bottom w:val="nil"/>
              <w:right w:val="nil"/>
            </w:tcBorders>
            <w:vAlign w:val="bottom"/>
          </w:tcPr>
          <w:p w:rsidR="00260C58" w:rsidRPr="00522963" w:rsidRDefault="00A50934" w:rsidP="00D53814">
            <w:pPr>
              <w:ind w:firstLineChars="100" w:firstLine="220"/>
              <w:jc w:val="center"/>
              <w:rPr>
                <w:rFonts w:eastAsia="Times New Roman" w:cs="Arial"/>
                <w:lang w:eastAsia="en-AU"/>
              </w:rPr>
            </w:pPr>
            <w:r w:rsidRPr="00522963">
              <w:rPr>
                <w:rFonts w:eastAsia="Times New Roman" w:cs="Arial"/>
                <w:lang w:eastAsia="en-AU"/>
              </w:rPr>
              <w:t>7</w:t>
            </w:r>
            <w:r w:rsidR="00140079">
              <w:rPr>
                <w:rFonts w:eastAsia="Times New Roman" w:cs="Arial"/>
                <w:lang w:eastAsia="en-AU"/>
              </w:rPr>
              <w:t>9</w:t>
            </w:r>
          </w:p>
        </w:tc>
      </w:tr>
    </w:tbl>
    <w:p w:rsidR="00CE0EDC" w:rsidRPr="00A50934" w:rsidRDefault="00CE0EDC" w:rsidP="00CE0EDC">
      <w:pPr>
        <w:rPr>
          <w:lang w:val="en-US"/>
        </w:rPr>
      </w:pPr>
    </w:p>
    <w:p w:rsidR="00D53814" w:rsidRPr="0074329C" w:rsidRDefault="00D53814" w:rsidP="003A56CD">
      <w:pPr>
        <w:pStyle w:val="Heading2"/>
        <w:rPr>
          <w:rFonts w:eastAsia="Times New Roman"/>
          <w:color w:val="629DD1" w:themeColor="accent2"/>
          <w:sz w:val="28"/>
          <w:lang w:eastAsia="en-AU"/>
        </w:rPr>
      </w:pPr>
      <w:bookmarkStart w:id="135" w:name="_Toc4056381"/>
      <w:r w:rsidRPr="006D5E17">
        <w:rPr>
          <w:rFonts w:eastAsia="Times New Roman"/>
          <w:color w:val="629DD1" w:themeColor="accent2"/>
          <w:sz w:val="28"/>
          <w:lang w:eastAsia="en-AU"/>
        </w:rPr>
        <w:t>Appendix A</w:t>
      </w:r>
      <w:r w:rsidR="003A56CD" w:rsidRPr="006D5E17">
        <w:rPr>
          <w:rFonts w:eastAsia="Times New Roman"/>
          <w:color w:val="629DD1" w:themeColor="accent2"/>
          <w:sz w:val="28"/>
          <w:lang w:eastAsia="en-AU"/>
        </w:rPr>
        <w:t xml:space="preserve"> - </w:t>
      </w:r>
      <w:r w:rsidRPr="006D5E17">
        <w:rPr>
          <w:rFonts w:eastAsia="Times New Roman"/>
          <w:color w:val="629DD1" w:themeColor="accent2"/>
          <w:sz w:val="28"/>
          <w:lang w:eastAsia="en-AU"/>
        </w:rPr>
        <w:t>Budget Process</w:t>
      </w:r>
      <w:bookmarkEnd w:id="135"/>
    </w:p>
    <w:p w:rsidR="00D53814" w:rsidRPr="00D53814" w:rsidRDefault="00D53814" w:rsidP="00D53814">
      <w:pPr>
        <w:jc w:val="both"/>
        <w:rPr>
          <w:rFonts w:eastAsia="Times New Roman" w:cs="Arial"/>
          <w:b/>
          <w:bCs/>
          <w:color w:val="CC0000"/>
          <w:sz w:val="24"/>
          <w:szCs w:val="24"/>
          <w:lang w:eastAsia="en-AU"/>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The preparation of the budget begins with Council’s employees preparing the annual budget in accordance with the Local Government Act 1989 (the Act) and Local Government (Planning and Reporting) Regulations 2014</w:t>
      </w:r>
      <w:r w:rsidRPr="00D53814">
        <w:rPr>
          <w:rFonts w:eastAsia="Times New Roman" w:cs="Arial"/>
          <w:color w:val="FF0000"/>
          <w:szCs w:val="20"/>
        </w:rPr>
        <w:t xml:space="preserve"> </w:t>
      </w:r>
      <w:r w:rsidRPr="00D53814">
        <w:rPr>
          <w:rFonts w:eastAsia="Times New Roman" w:cs="Arial"/>
          <w:szCs w:val="20"/>
        </w:rPr>
        <w:t xml:space="preserve">(the Regulations) and submitting the “proposed” budget to Council for approval “in principle”.  Council is then required to give “public notice” that it intends to “adopt” the budget. It must give a minimum 28 days notice of its intention to adopt the proposed budget and make the budget available for inspection at its offices. A person is able to make a submission on any proposal contained in the budget and Council must consider any submission before adoption of the budget. </w:t>
      </w:r>
    </w:p>
    <w:p w:rsidR="00177BAA" w:rsidRDefault="00177BAA" w:rsidP="00177BAA">
      <w:pPr>
        <w:autoSpaceDE w:val="0"/>
        <w:autoSpaceDN w:val="0"/>
        <w:adjustRightInd w:val="0"/>
        <w:jc w:val="both"/>
        <w:rPr>
          <w:rFonts w:cs="Arial"/>
          <w:lang w:eastAsia="en-AU"/>
        </w:rPr>
      </w:pPr>
      <w:r w:rsidRPr="00177BAA">
        <w:rPr>
          <w:rFonts w:cs="Arial"/>
          <w:lang w:eastAsia="en-AU"/>
        </w:rPr>
        <w:t>This section lists the budget processes to be undertaken in order to adopt the Budget in accordance</w:t>
      </w:r>
      <w:r>
        <w:rPr>
          <w:rFonts w:cs="Arial"/>
          <w:lang w:eastAsia="en-AU"/>
        </w:rPr>
        <w:t xml:space="preserve"> </w:t>
      </w:r>
      <w:r w:rsidRPr="00177BAA">
        <w:rPr>
          <w:rFonts w:cs="Arial"/>
          <w:lang w:eastAsia="en-AU"/>
        </w:rPr>
        <w:t>with the Local Government Act 1989 (the Act) and Local Government (Planning and Reporting)</w:t>
      </w:r>
      <w:r>
        <w:rPr>
          <w:rFonts w:cs="Arial"/>
          <w:lang w:eastAsia="en-AU"/>
        </w:rPr>
        <w:t xml:space="preserve"> </w:t>
      </w:r>
      <w:r w:rsidRPr="00177BAA">
        <w:rPr>
          <w:rFonts w:cs="Arial"/>
          <w:lang w:eastAsia="en-AU"/>
        </w:rPr>
        <w:t>Regulations 2014 (the Regulations).</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Under the Act, Council is required to prepare and adopt an annual budget for each financial year. The</w:t>
      </w:r>
      <w:r>
        <w:rPr>
          <w:rFonts w:cs="Arial"/>
          <w:lang w:eastAsia="en-AU"/>
        </w:rPr>
        <w:t xml:space="preserve"> </w:t>
      </w:r>
      <w:r w:rsidRPr="00177BAA">
        <w:rPr>
          <w:rFonts w:cs="Arial"/>
          <w:lang w:eastAsia="en-AU"/>
        </w:rPr>
        <w:t>budget is required to include certain information about the rates and charges that Council intends to</w:t>
      </w:r>
      <w:r>
        <w:rPr>
          <w:rFonts w:cs="Arial"/>
          <w:lang w:eastAsia="en-AU"/>
        </w:rPr>
        <w:t xml:space="preserve"> </w:t>
      </w:r>
      <w:r w:rsidRPr="00177BAA">
        <w:rPr>
          <w:rFonts w:cs="Arial"/>
          <w:lang w:eastAsia="en-AU"/>
        </w:rPr>
        <w:t>levy as well as a range of other information required by the Regulations which support the Act.</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The 20</w:t>
      </w:r>
      <w:r w:rsidR="004A18BC">
        <w:rPr>
          <w:rFonts w:cs="Arial"/>
          <w:lang w:eastAsia="en-AU"/>
        </w:rPr>
        <w:t>20</w:t>
      </w:r>
      <w:r w:rsidRPr="00177BAA">
        <w:rPr>
          <w:rFonts w:cs="Arial"/>
          <w:lang w:eastAsia="en-AU"/>
        </w:rPr>
        <w:t>/</w:t>
      </w:r>
      <w:r w:rsidR="00BB1DF7">
        <w:rPr>
          <w:rFonts w:cs="Arial"/>
          <w:lang w:eastAsia="en-AU"/>
        </w:rPr>
        <w:t>2</w:t>
      </w:r>
      <w:r w:rsidR="004A18BC">
        <w:rPr>
          <w:rFonts w:cs="Arial"/>
          <w:lang w:eastAsia="en-AU"/>
        </w:rPr>
        <w:t>1</w:t>
      </w:r>
      <w:r w:rsidRPr="00177BAA">
        <w:rPr>
          <w:rFonts w:cs="Arial"/>
          <w:lang w:eastAsia="en-AU"/>
        </w:rPr>
        <w:t xml:space="preserve"> budget is for the year 1 July 20</w:t>
      </w:r>
      <w:r w:rsidR="004A18BC">
        <w:rPr>
          <w:rFonts w:cs="Arial"/>
          <w:lang w:eastAsia="en-AU"/>
        </w:rPr>
        <w:t>20</w:t>
      </w:r>
      <w:r w:rsidRPr="00177BAA">
        <w:rPr>
          <w:rFonts w:cs="Arial"/>
          <w:lang w:eastAsia="en-AU"/>
        </w:rPr>
        <w:t xml:space="preserve"> to 30 June 20</w:t>
      </w:r>
      <w:r w:rsidR="00BB1DF7">
        <w:rPr>
          <w:rFonts w:cs="Arial"/>
          <w:lang w:eastAsia="en-AU"/>
        </w:rPr>
        <w:t>2</w:t>
      </w:r>
      <w:r w:rsidR="004A18BC">
        <w:rPr>
          <w:rFonts w:cs="Arial"/>
          <w:lang w:eastAsia="en-AU"/>
        </w:rPr>
        <w:t>1</w:t>
      </w:r>
      <w:r w:rsidRPr="00177BAA">
        <w:rPr>
          <w:rFonts w:cs="Arial"/>
          <w:lang w:eastAsia="en-AU"/>
        </w:rPr>
        <w:t xml:space="preserve"> and is</w:t>
      </w:r>
      <w:r>
        <w:rPr>
          <w:rFonts w:cs="Arial"/>
          <w:lang w:eastAsia="en-AU"/>
        </w:rPr>
        <w:t xml:space="preserve"> </w:t>
      </w:r>
      <w:r w:rsidRPr="00177BAA">
        <w:rPr>
          <w:rFonts w:cs="Arial"/>
          <w:lang w:eastAsia="en-AU"/>
        </w:rPr>
        <w:t>prepared in accordance with the Act and Regulations. The budget includes financial statements being</w:t>
      </w:r>
      <w:r>
        <w:rPr>
          <w:rFonts w:cs="Arial"/>
          <w:lang w:eastAsia="en-AU"/>
        </w:rPr>
        <w:t xml:space="preserve"> </w:t>
      </w:r>
      <w:r w:rsidRPr="00177BAA">
        <w:rPr>
          <w:rFonts w:cs="Arial"/>
          <w:lang w:eastAsia="en-AU"/>
        </w:rPr>
        <w:t>a Comprehensive Income Statement, Balance Sheet, Statement of Changes in Equity, Statement of</w:t>
      </w:r>
      <w:r>
        <w:rPr>
          <w:rFonts w:cs="Arial"/>
          <w:lang w:eastAsia="en-AU"/>
        </w:rPr>
        <w:t xml:space="preserve"> </w:t>
      </w:r>
      <w:r w:rsidRPr="00177BAA">
        <w:rPr>
          <w:rFonts w:cs="Arial"/>
          <w:lang w:eastAsia="en-AU"/>
        </w:rPr>
        <w:t xml:space="preserve">Cash Flows </w:t>
      </w:r>
      <w:r w:rsidR="00FD2965">
        <w:rPr>
          <w:rFonts w:cs="Arial"/>
          <w:lang w:eastAsia="en-AU"/>
        </w:rPr>
        <w:t xml:space="preserve">and Statement of Capital Works and Statement of Human Resources. </w:t>
      </w:r>
      <w:r w:rsidRPr="00177BAA">
        <w:rPr>
          <w:rFonts w:cs="Arial"/>
          <w:lang w:eastAsia="en-AU"/>
        </w:rPr>
        <w:t>These statements have been prepared for the year ending</w:t>
      </w:r>
      <w:r>
        <w:rPr>
          <w:rFonts w:cs="Arial"/>
          <w:lang w:eastAsia="en-AU"/>
        </w:rPr>
        <w:t xml:space="preserve"> </w:t>
      </w:r>
      <w:r w:rsidRPr="00177BAA">
        <w:rPr>
          <w:rFonts w:cs="Arial"/>
          <w:lang w:eastAsia="en-AU"/>
        </w:rPr>
        <w:t>30 June 20</w:t>
      </w:r>
      <w:r w:rsidR="00CC46A0">
        <w:rPr>
          <w:rFonts w:cs="Arial"/>
          <w:lang w:eastAsia="en-AU"/>
        </w:rPr>
        <w:t>2</w:t>
      </w:r>
      <w:r w:rsidR="004A18BC">
        <w:rPr>
          <w:rFonts w:cs="Arial"/>
          <w:lang w:eastAsia="en-AU"/>
        </w:rPr>
        <w:t>1</w:t>
      </w:r>
      <w:r w:rsidRPr="00177BAA">
        <w:rPr>
          <w:rFonts w:cs="Arial"/>
          <w:lang w:eastAsia="en-AU"/>
        </w:rPr>
        <w:t xml:space="preserve"> in accordance with the Act and Regulations, and consistent with the annual financial</w:t>
      </w:r>
      <w:r>
        <w:rPr>
          <w:rFonts w:cs="Arial"/>
          <w:lang w:eastAsia="en-AU"/>
        </w:rPr>
        <w:t xml:space="preserve"> </w:t>
      </w:r>
      <w:r w:rsidRPr="00177BAA">
        <w:rPr>
          <w:rFonts w:cs="Arial"/>
          <w:lang w:eastAsia="en-AU"/>
        </w:rPr>
        <w:t>statements which are prepared in accordance with Australian Accounting Standards and the Local</w:t>
      </w:r>
      <w:r>
        <w:rPr>
          <w:rFonts w:cs="Arial"/>
          <w:lang w:eastAsia="en-AU"/>
        </w:rPr>
        <w:t xml:space="preserve"> </w:t>
      </w:r>
      <w:r w:rsidRPr="00177BAA">
        <w:rPr>
          <w:rFonts w:cs="Arial"/>
          <w:lang w:eastAsia="en-AU"/>
        </w:rPr>
        <w:t>Government Model Accounts. The budget also includes information about the rates and charges to be</w:t>
      </w:r>
      <w:r w:rsidR="00DC2655">
        <w:rPr>
          <w:rFonts w:cs="Arial"/>
          <w:lang w:eastAsia="en-AU"/>
        </w:rPr>
        <w:t xml:space="preserve"> </w:t>
      </w:r>
      <w:r w:rsidRPr="00177BAA">
        <w:rPr>
          <w:rFonts w:cs="Arial"/>
          <w:lang w:eastAsia="en-AU"/>
        </w:rPr>
        <w:t>levied, the capital works program to be undertaken, the human resources required, and other financial</w:t>
      </w:r>
      <w:r>
        <w:rPr>
          <w:rFonts w:cs="Arial"/>
          <w:lang w:eastAsia="en-AU"/>
        </w:rPr>
        <w:t xml:space="preserve"> </w:t>
      </w:r>
      <w:r w:rsidRPr="00177BAA">
        <w:rPr>
          <w:rFonts w:cs="Arial"/>
          <w:lang w:eastAsia="en-AU"/>
        </w:rPr>
        <w:t>information Council requires in order to make an informed decision about the adoption of the budget.</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 xml:space="preserve">A ‘proposed’ budget is prepared in accordance with the Act and submitted to </w:t>
      </w:r>
      <w:r w:rsidRPr="00CD5AE7">
        <w:rPr>
          <w:rFonts w:cs="Arial"/>
          <w:lang w:eastAsia="en-AU"/>
        </w:rPr>
        <w:t xml:space="preserve">Council in </w:t>
      </w:r>
      <w:r w:rsidR="000B2CC3">
        <w:rPr>
          <w:rFonts w:cs="Arial"/>
          <w:lang w:eastAsia="en-AU"/>
        </w:rPr>
        <w:t>April</w:t>
      </w:r>
      <w:r w:rsidRPr="00177BAA">
        <w:rPr>
          <w:rFonts w:cs="Arial"/>
          <w:lang w:eastAsia="en-AU"/>
        </w:rPr>
        <w:t xml:space="preserve"> for approval</w:t>
      </w:r>
      <w:r>
        <w:rPr>
          <w:rFonts w:cs="Arial"/>
          <w:lang w:eastAsia="en-AU"/>
        </w:rPr>
        <w:t xml:space="preserve"> </w:t>
      </w:r>
      <w:r w:rsidRPr="00177BAA">
        <w:rPr>
          <w:rFonts w:cs="Arial"/>
          <w:lang w:eastAsia="en-AU"/>
        </w:rPr>
        <w:t>’in principle’. Council is then required to give ’public notice’ that it intends to ’adopt’ the budget. It must</w:t>
      </w:r>
      <w:r>
        <w:rPr>
          <w:rFonts w:cs="Arial"/>
          <w:lang w:eastAsia="en-AU"/>
        </w:rPr>
        <w:t xml:space="preserve"> </w:t>
      </w:r>
      <w:r w:rsidRPr="00177BAA">
        <w:rPr>
          <w:rFonts w:cs="Arial"/>
          <w:lang w:eastAsia="en-AU"/>
        </w:rPr>
        <w:t xml:space="preserve">give 28 </w:t>
      </w:r>
      <w:r>
        <w:rPr>
          <w:rFonts w:cs="Arial"/>
          <w:lang w:eastAsia="en-AU"/>
        </w:rPr>
        <w:t>days</w:t>
      </w:r>
      <w:r w:rsidRPr="00177BAA">
        <w:rPr>
          <w:rFonts w:cs="Arial"/>
          <w:lang w:eastAsia="en-AU"/>
        </w:rPr>
        <w:t xml:space="preserve"> notice of its intention to adopt the proposed budget and make the budget available for</w:t>
      </w:r>
      <w:r>
        <w:rPr>
          <w:rFonts w:cs="Arial"/>
          <w:lang w:eastAsia="en-AU"/>
        </w:rPr>
        <w:t xml:space="preserve"> </w:t>
      </w:r>
      <w:r w:rsidRPr="00177BAA">
        <w:rPr>
          <w:rFonts w:cs="Arial"/>
          <w:lang w:eastAsia="en-AU"/>
        </w:rPr>
        <w:t>inspection at its offices and on its web site. A person has a right to make a submission on any proposal</w:t>
      </w:r>
      <w:r>
        <w:rPr>
          <w:rFonts w:cs="Arial"/>
          <w:lang w:eastAsia="en-AU"/>
        </w:rPr>
        <w:t xml:space="preserve"> </w:t>
      </w:r>
      <w:r w:rsidRPr="00177BAA">
        <w:rPr>
          <w:rFonts w:cs="Arial"/>
          <w:lang w:eastAsia="en-AU"/>
        </w:rPr>
        <w:t>contained in the budget and any submission must be considered before adoption of the budget by</w:t>
      </w:r>
      <w:r>
        <w:rPr>
          <w:rFonts w:cs="Arial"/>
          <w:lang w:eastAsia="en-AU"/>
        </w:rPr>
        <w:t xml:space="preserve"> </w:t>
      </w:r>
      <w:r w:rsidRPr="00177BAA">
        <w:rPr>
          <w:rFonts w:cs="Arial"/>
          <w:lang w:eastAsia="en-AU"/>
        </w:rPr>
        <w:t>Council.</w:t>
      </w:r>
    </w:p>
    <w:p w:rsidR="00177BAA" w:rsidRPr="00177BAA" w:rsidRDefault="00177BAA" w:rsidP="00177BAA">
      <w:pPr>
        <w:autoSpaceDE w:val="0"/>
        <w:autoSpaceDN w:val="0"/>
        <w:adjustRightInd w:val="0"/>
        <w:jc w:val="both"/>
        <w:rPr>
          <w:rFonts w:cs="Arial"/>
          <w:lang w:eastAsia="en-AU"/>
        </w:rPr>
      </w:pPr>
    </w:p>
    <w:p w:rsidR="00F73F5F" w:rsidRDefault="00177BAA" w:rsidP="00177BAA">
      <w:pPr>
        <w:autoSpaceDE w:val="0"/>
        <w:autoSpaceDN w:val="0"/>
        <w:adjustRightInd w:val="0"/>
        <w:jc w:val="both"/>
        <w:rPr>
          <w:rFonts w:cs="Arial"/>
          <w:lang w:eastAsia="en-AU"/>
        </w:rPr>
      </w:pPr>
      <w:r w:rsidRPr="00177BAA">
        <w:rPr>
          <w:rFonts w:cs="Arial"/>
          <w:lang w:eastAsia="en-AU"/>
        </w:rPr>
        <w:t>With the introduction of the State Governments Rate Capping legislation in 2015 Councils are now</w:t>
      </w:r>
      <w:r>
        <w:rPr>
          <w:rFonts w:cs="Arial"/>
          <w:lang w:eastAsia="en-AU"/>
        </w:rPr>
        <w:t xml:space="preserve"> </w:t>
      </w:r>
      <w:r w:rsidRPr="00177BAA">
        <w:rPr>
          <w:rFonts w:cs="Arial"/>
          <w:lang w:eastAsia="en-AU"/>
        </w:rPr>
        <w:t>unable to determine the level of rate increase and instead must use a maximum rate increase</w:t>
      </w:r>
      <w:r>
        <w:rPr>
          <w:rFonts w:cs="Arial"/>
          <w:lang w:eastAsia="en-AU"/>
        </w:rPr>
        <w:t xml:space="preserve"> </w:t>
      </w:r>
      <w:r w:rsidRPr="00177BAA">
        <w:rPr>
          <w:rFonts w:cs="Arial"/>
          <w:lang w:eastAsia="en-AU"/>
        </w:rPr>
        <w:t>determined by the Minister for Local Government which is announced in December for application in</w:t>
      </w:r>
      <w:r>
        <w:rPr>
          <w:rFonts w:cs="Arial"/>
          <w:lang w:eastAsia="en-AU"/>
        </w:rPr>
        <w:t xml:space="preserve"> </w:t>
      </w:r>
      <w:r w:rsidRPr="00177BAA">
        <w:rPr>
          <w:rFonts w:cs="Arial"/>
          <w:lang w:eastAsia="en-AU"/>
        </w:rPr>
        <w:t>the following financial year.</w:t>
      </w:r>
    </w:p>
    <w:p w:rsidR="00F73F5F" w:rsidRDefault="00F73F5F">
      <w:pPr>
        <w:rPr>
          <w:rFonts w:cs="Arial"/>
          <w:lang w:eastAsia="en-AU"/>
        </w:rPr>
      </w:pPr>
      <w:r>
        <w:rPr>
          <w:rFonts w:cs="Arial"/>
          <w:lang w:eastAsia="en-AU"/>
        </w:rPr>
        <w:br w:type="page"/>
      </w:r>
    </w:p>
    <w:p w:rsidR="005C4EE7" w:rsidRDefault="005C4EE7" w:rsidP="00177BAA">
      <w:pPr>
        <w:autoSpaceDE w:val="0"/>
        <w:autoSpaceDN w:val="0"/>
        <w:adjustRightInd w:val="0"/>
        <w:jc w:val="both"/>
        <w:rPr>
          <w:rFonts w:cs="Arial"/>
          <w:lang w:eastAsia="en-AU"/>
        </w:rPr>
      </w:pPr>
    </w:p>
    <w:p w:rsidR="00177BAA" w:rsidRDefault="005C4EE7" w:rsidP="00C35983">
      <w:pPr>
        <w:autoSpaceDE w:val="0"/>
        <w:autoSpaceDN w:val="0"/>
        <w:adjustRightInd w:val="0"/>
        <w:jc w:val="both"/>
        <w:rPr>
          <w:rFonts w:cs="Arial"/>
          <w:lang w:eastAsia="en-AU"/>
        </w:rPr>
      </w:pPr>
      <w:r w:rsidRPr="00AF3812">
        <w:rPr>
          <w:rFonts w:cs="Arial"/>
          <w:lang w:eastAsia="en-AU"/>
        </w:rPr>
        <w:t xml:space="preserve">If a Council wishes to seek a rate increase above the maximum allowable it must submit a rate variation submission to the Essential Services Commission (ESC). </w:t>
      </w:r>
      <w:r w:rsidR="00493661" w:rsidRPr="00493661">
        <w:rPr>
          <w:rFonts w:cs="Arial"/>
          <w:lang w:eastAsia="en-AU"/>
        </w:rPr>
        <w:t>The Commission will endeavour to notify councils of its decision in respect of an application within two months of receipt</w:t>
      </w:r>
      <w:r w:rsidR="00493661">
        <w:rPr>
          <w:rFonts w:cs="Arial"/>
          <w:lang w:eastAsia="en-AU"/>
        </w:rPr>
        <w:t xml:space="preserve"> of application</w:t>
      </w:r>
      <w:r w:rsidR="00493661" w:rsidRPr="00493661">
        <w:rPr>
          <w:rFonts w:cs="Arial"/>
          <w:lang w:eastAsia="en-AU"/>
        </w:rPr>
        <w:t>.</w:t>
      </w:r>
      <w:r w:rsidRPr="00AF3812">
        <w:rPr>
          <w:rFonts w:cs="Arial"/>
          <w:lang w:eastAsia="en-AU"/>
        </w:rPr>
        <w:t xml:space="preserve"> In many cases this will require Councils to undertake ‘public notice’ on two separate proposed budgets simultaneously, i.e. the Ministers maximum rate increase and the Council’s required rate increase.</w:t>
      </w:r>
      <w:r>
        <w:rPr>
          <w:rFonts w:cs="Arial"/>
          <w:lang w:eastAsia="en-AU"/>
        </w:rPr>
        <w:t xml:space="preserve"> </w:t>
      </w:r>
      <w:r w:rsidRPr="005C4EE7">
        <w:rPr>
          <w:rFonts w:cs="Arial"/>
          <w:lang w:eastAsia="en-AU"/>
        </w:rPr>
        <w:t>The final step is for Council to adopt the budget after receiving and considering any submissions from</w:t>
      </w:r>
      <w:r>
        <w:rPr>
          <w:rFonts w:cs="Arial"/>
          <w:lang w:eastAsia="en-AU"/>
        </w:rPr>
        <w:t xml:space="preserve"> </w:t>
      </w:r>
      <w:r w:rsidRPr="005C4EE7">
        <w:rPr>
          <w:rFonts w:cs="Arial"/>
          <w:lang w:eastAsia="en-AU"/>
        </w:rPr>
        <w:t>interested parties</w:t>
      </w:r>
      <w:r w:rsidRPr="00064BDA">
        <w:rPr>
          <w:rFonts w:cs="Arial"/>
          <w:lang w:eastAsia="en-AU"/>
        </w:rPr>
        <w:t xml:space="preserve">. </w:t>
      </w:r>
      <w:r w:rsidR="009D5ACD">
        <w:rPr>
          <w:rFonts w:cs="Arial"/>
          <w:lang w:eastAsia="en-AU"/>
        </w:rPr>
        <w:t>A copy of the</w:t>
      </w:r>
      <w:r w:rsidRPr="00064BDA">
        <w:rPr>
          <w:rFonts w:cs="Arial"/>
          <w:lang w:eastAsia="en-AU"/>
        </w:rPr>
        <w:t xml:space="preserve"> budget is required to be submitted to the Minister within 28 days after adoption.</w:t>
      </w:r>
    </w:p>
    <w:p w:rsidR="005C4EE7" w:rsidRPr="005C4EE7" w:rsidRDefault="005C4EE7" w:rsidP="005C4EE7">
      <w:pPr>
        <w:autoSpaceDE w:val="0"/>
        <w:autoSpaceDN w:val="0"/>
        <w:adjustRightInd w:val="0"/>
        <w:rPr>
          <w:rFonts w:eastAsia="Times New Roman" w:cs="Arial"/>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This 20</w:t>
      </w:r>
      <w:r w:rsidR="004A18BC">
        <w:rPr>
          <w:rFonts w:eastAsia="Times New Roman" w:cs="Arial"/>
          <w:szCs w:val="20"/>
        </w:rPr>
        <w:t>20</w:t>
      </w:r>
      <w:r w:rsidRPr="00D53814">
        <w:rPr>
          <w:rFonts w:eastAsia="Times New Roman" w:cs="Arial"/>
          <w:szCs w:val="20"/>
        </w:rPr>
        <w:t>/</w:t>
      </w:r>
      <w:r w:rsidR="00BB1DF7">
        <w:rPr>
          <w:rFonts w:eastAsia="Times New Roman" w:cs="Arial"/>
          <w:szCs w:val="20"/>
        </w:rPr>
        <w:t>2</w:t>
      </w:r>
      <w:r w:rsidR="004A18BC">
        <w:rPr>
          <w:rFonts w:eastAsia="Times New Roman" w:cs="Arial"/>
          <w:szCs w:val="20"/>
        </w:rPr>
        <w:t>1</w:t>
      </w:r>
      <w:r w:rsidRPr="00D53814">
        <w:rPr>
          <w:rFonts w:eastAsia="Times New Roman" w:cs="Arial"/>
          <w:szCs w:val="20"/>
        </w:rPr>
        <w:t xml:space="preserve"> Budget has been prepared in compliance with the Act and the Regulations that set out the required preparation process.</w:t>
      </w:r>
      <w:r w:rsidR="00CF1CBD">
        <w:rPr>
          <w:rFonts w:eastAsia="Times New Roman" w:cs="Arial"/>
          <w:szCs w:val="20"/>
        </w:rPr>
        <w:t xml:space="preserve"> Council is not seeking a rate increase above the maximum allowable by the ESC.</w:t>
      </w:r>
      <w:r w:rsidRPr="00D53814">
        <w:rPr>
          <w:rFonts w:eastAsia="Times New Roman" w:cs="Arial"/>
          <w:szCs w:val="20"/>
        </w:rPr>
        <w:t xml:space="preserve">  </w:t>
      </w:r>
    </w:p>
    <w:p w:rsidR="00D53814" w:rsidRPr="00D53814" w:rsidRDefault="00D53814" w:rsidP="00D53814">
      <w:pPr>
        <w:rPr>
          <w:rFonts w:eastAsia="Times New Roman" w:cs="Arial"/>
          <w:sz w:val="20"/>
          <w:szCs w:val="20"/>
        </w:rPr>
      </w:pPr>
    </w:p>
    <w:p w:rsidR="00D53814" w:rsidRPr="00D53814" w:rsidRDefault="00D53814" w:rsidP="00D53814">
      <w:pPr>
        <w:rPr>
          <w:rFonts w:eastAsia="Times New Roman" w:cs="Arial"/>
          <w:b/>
          <w:sz w:val="24"/>
          <w:szCs w:val="24"/>
        </w:rPr>
      </w:pPr>
      <w:r w:rsidRPr="00D53814">
        <w:rPr>
          <w:rFonts w:eastAsia="Times New Roman" w:cs="Arial"/>
          <w:b/>
          <w:sz w:val="24"/>
          <w:szCs w:val="24"/>
        </w:rPr>
        <w:t>Community Consultation</w:t>
      </w:r>
    </w:p>
    <w:p w:rsidR="00D53814" w:rsidRPr="00D53814" w:rsidRDefault="00D53814" w:rsidP="00D53814">
      <w:pPr>
        <w:rPr>
          <w:rFonts w:eastAsia="Times New Roman" w:cs="Arial"/>
          <w:b/>
          <w:sz w:val="24"/>
          <w:szCs w:val="24"/>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 xml:space="preserve">Section 129 of the Act provides that Council follows a public consultation process prior to formal Budget adoption.  This commences with a public notice by Council announcing the preparation of the Proposed Budget.  Copies of the Budget are made available on Council’s website </w:t>
      </w:r>
      <w:hyperlink r:id="rId27" w:history="1">
        <w:r w:rsidRPr="00D53814">
          <w:rPr>
            <w:rFonts w:eastAsiaTheme="majorEastAsia" w:cs="Arial"/>
            <w:color w:val="0000FF"/>
            <w:szCs w:val="20"/>
            <w:u w:val="single"/>
          </w:rPr>
          <w:t>www.maroondah.vic.gov.au</w:t>
        </w:r>
      </w:hyperlink>
      <w:r w:rsidRPr="00D53814">
        <w:rPr>
          <w:rFonts w:eastAsia="Times New Roman" w:cs="Arial"/>
          <w:szCs w:val="20"/>
        </w:rPr>
        <w:t xml:space="preserve"> and for inspection at Council’s service centres and libraries and the public may obtain further information on the Budget content from Council Officers by appointment.</w:t>
      </w:r>
    </w:p>
    <w:p w:rsidR="00D53814" w:rsidRPr="00D53814" w:rsidRDefault="00D53814" w:rsidP="00D53814">
      <w:pPr>
        <w:jc w:val="both"/>
        <w:rPr>
          <w:rFonts w:eastAsia="Times New Roman" w:cs="Arial"/>
          <w:sz w:val="20"/>
          <w:szCs w:val="20"/>
        </w:rPr>
        <w:sectPr w:rsidR="00D53814" w:rsidRPr="00D53814" w:rsidSect="00145E56">
          <w:footerReference w:type="default" r:id="rId28"/>
          <w:pgSz w:w="11907" w:h="16840" w:code="9"/>
          <w:pgMar w:top="1418" w:right="709" w:bottom="1418" w:left="851" w:header="567" w:footer="567" w:gutter="0"/>
          <w:cols w:space="720"/>
          <w:docGrid w:linePitch="299"/>
        </w:sectPr>
      </w:pPr>
      <w:r w:rsidRPr="00D53814">
        <w:rPr>
          <w:rFonts w:eastAsia="Times New Roman" w:cs="Arial"/>
          <w:szCs w:val="20"/>
        </w:rPr>
        <w:t xml:space="preserve">The public notice invites submissions to be made to Council under Section 223 of the Act.  This Section also gives those making submissions the right to speak to their submission before a sub-committee of Council.  The legislation also requires Council to formally respond to any submissions in writing and to provide reasons for such response. </w:t>
      </w:r>
    </w:p>
    <w:p w:rsidR="00A24BC2" w:rsidRPr="001A1939" w:rsidRDefault="00D53814" w:rsidP="001A1939">
      <w:pPr>
        <w:pStyle w:val="Heading2"/>
        <w:rPr>
          <w:rFonts w:eastAsia="Times New Roman"/>
          <w:color w:val="629DD1" w:themeColor="accent2"/>
          <w:lang w:eastAsia="en-AU"/>
        </w:rPr>
      </w:pPr>
      <w:bookmarkStart w:id="136" w:name="_Toc4056382"/>
      <w:r w:rsidRPr="00987AD2">
        <w:rPr>
          <w:rFonts w:eastAsia="Times New Roman"/>
          <w:color w:val="629DD1" w:themeColor="accent2"/>
          <w:lang w:eastAsia="en-AU"/>
        </w:rPr>
        <w:lastRenderedPageBreak/>
        <w:t>Appendix B</w:t>
      </w:r>
      <w:r w:rsidR="003A56CD" w:rsidRPr="00987AD2">
        <w:rPr>
          <w:rFonts w:eastAsia="Times New Roman"/>
          <w:color w:val="629DD1" w:themeColor="accent2"/>
          <w:lang w:eastAsia="en-AU"/>
        </w:rPr>
        <w:t xml:space="preserve"> - </w:t>
      </w:r>
      <w:r w:rsidRPr="00987AD2">
        <w:rPr>
          <w:rFonts w:eastAsia="Times New Roman"/>
          <w:color w:val="629DD1" w:themeColor="accent2"/>
          <w:lang w:eastAsia="en-AU"/>
        </w:rPr>
        <w:t>Statutory Disclosures</w:t>
      </w:r>
      <w:bookmarkEnd w:id="136"/>
    </w:p>
    <w:p w:rsidR="00ED3F50" w:rsidRDefault="00A24BC2" w:rsidP="00D53814">
      <w:pPr>
        <w:jc w:val="both"/>
        <w:rPr>
          <w:rFonts w:eastAsia="Cambria"/>
          <w:lang w:val="en-GB"/>
        </w:rPr>
      </w:pPr>
      <w:r w:rsidRPr="00902E7F">
        <w:rPr>
          <w:rFonts w:eastAsia="Cambria"/>
          <w:lang w:val="en-GB"/>
        </w:rPr>
        <w:t xml:space="preserve">This </w:t>
      </w:r>
      <w:r>
        <w:rPr>
          <w:rFonts w:eastAsia="Cambria"/>
          <w:lang w:val="en-GB"/>
        </w:rPr>
        <w:t>appendix</w:t>
      </w:r>
      <w:r w:rsidRPr="00902E7F">
        <w:rPr>
          <w:rFonts w:eastAsia="Cambria"/>
          <w:lang w:val="en-GB"/>
        </w:rPr>
        <w:t xml:space="preserve"> lists the </w:t>
      </w:r>
      <w:r>
        <w:rPr>
          <w:rFonts w:eastAsia="Cambria"/>
          <w:lang w:val="en-GB"/>
        </w:rPr>
        <w:t>items that must be included in Council’s annual</w:t>
      </w:r>
      <w:r w:rsidRPr="00902E7F">
        <w:rPr>
          <w:rFonts w:eastAsia="Cambria"/>
          <w:lang w:val="en-GB"/>
        </w:rPr>
        <w:t xml:space="preserve"> budget in order for it to comply with the requirements of the </w:t>
      </w:r>
      <w:r w:rsidRPr="00177E39">
        <w:rPr>
          <w:rFonts w:eastAsia="Cambria"/>
          <w:i/>
          <w:lang w:val="en-GB"/>
        </w:rPr>
        <w:t>Local Government Act 1989</w:t>
      </w:r>
      <w:r w:rsidRPr="00902E7F">
        <w:rPr>
          <w:rFonts w:eastAsia="Cambria"/>
          <w:lang w:val="en-GB"/>
        </w:rPr>
        <w:t xml:space="preserve"> and the </w:t>
      </w:r>
      <w:r w:rsidRPr="00177E39">
        <w:rPr>
          <w:rFonts w:eastAsia="Cambria"/>
          <w:i/>
          <w:lang w:val="en-GB"/>
        </w:rPr>
        <w:t>Local Government (Planning and Reporting) Regulations 2014</w:t>
      </w:r>
      <w:r w:rsidRPr="00902E7F">
        <w:rPr>
          <w:rFonts w:eastAsia="Cambria"/>
          <w:lang w:val="en-GB"/>
        </w:rPr>
        <w:t xml:space="preserve">. </w:t>
      </w:r>
    </w:p>
    <w:p w:rsidR="00ED3F50" w:rsidRDefault="00ED3F50" w:rsidP="00D53814">
      <w:pPr>
        <w:jc w:val="both"/>
        <w:rPr>
          <w:rFonts w:eastAsia="Cambria"/>
          <w:lang w:val="en-GB"/>
        </w:rPr>
      </w:pPr>
    </w:p>
    <w:p w:rsidR="00D53814" w:rsidRPr="00D53814" w:rsidRDefault="00D53814" w:rsidP="00D53814">
      <w:pPr>
        <w:jc w:val="both"/>
        <w:rPr>
          <w:rFonts w:eastAsia="Times New Roman" w:cs="Arial"/>
          <w:szCs w:val="20"/>
        </w:rPr>
      </w:pPr>
      <w:r w:rsidRPr="00D53814">
        <w:rPr>
          <w:rFonts w:eastAsia="Times New Roman" w:cs="Arial"/>
          <w:szCs w:val="20"/>
        </w:rPr>
        <w:t>Under Section 127 of the Local Government Act 1989, Council must prepare a budget for the financial year and ensure that the budget contains information as detailed in the Act and the Local Government (Planning and Reporting) Regulations 2014. The Regulations, supporting the Act also specify further information to be included in the Budget. The following tables provides where in this document information is available to the reader.</w:t>
      </w:r>
    </w:p>
    <w:p w:rsidR="00D53814" w:rsidRPr="00D53814" w:rsidRDefault="00D53814" w:rsidP="00D53814">
      <w:pPr>
        <w:rPr>
          <w:rFonts w:eastAsia="Times New Roman" w:cs="Arial"/>
          <w:color w:val="FF0000"/>
          <w:sz w:val="16"/>
          <w:szCs w:val="20"/>
        </w:rPr>
      </w:pPr>
    </w:p>
    <w:tbl>
      <w:tblPr>
        <w:tblW w:w="0" w:type="auto"/>
        <w:tblInd w:w="93" w:type="dxa"/>
        <w:tblLook w:val="04A0" w:firstRow="1" w:lastRow="0" w:firstColumn="1" w:lastColumn="0" w:noHBand="0" w:noVBand="1"/>
      </w:tblPr>
      <w:tblGrid>
        <w:gridCol w:w="622"/>
        <w:gridCol w:w="6076"/>
        <w:gridCol w:w="2085"/>
        <w:gridCol w:w="1570"/>
      </w:tblGrid>
      <w:tr w:rsidR="00D53814" w:rsidRPr="00AB3E93"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rsidR="00D53814" w:rsidRPr="003F6445" w:rsidRDefault="00D53814" w:rsidP="00D53814">
            <w:pPr>
              <w:jc w:val="center"/>
              <w:rPr>
                <w:rFonts w:eastAsia="Times New Roman" w:cs="Arial"/>
                <w:b/>
                <w:bCs/>
                <w:sz w:val="20"/>
                <w:szCs w:val="20"/>
                <w:lang w:eastAsia="en-AU"/>
              </w:rPr>
            </w:pPr>
            <w:r w:rsidRPr="003F6445">
              <w:rPr>
                <w:rFonts w:eastAsia="Times New Roman" w:cs="Arial"/>
                <w:b/>
                <w:bCs/>
                <w:sz w:val="20"/>
                <w:szCs w:val="20"/>
                <w:lang w:eastAsia="en-AU"/>
              </w:rPr>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rsidR="00D53814" w:rsidRPr="003F6445" w:rsidRDefault="00D53814" w:rsidP="00D53814">
            <w:pPr>
              <w:rPr>
                <w:rFonts w:eastAsia="Times New Roman" w:cs="Arial"/>
                <w:b/>
                <w:bCs/>
                <w:sz w:val="20"/>
                <w:szCs w:val="20"/>
                <w:lang w:eastAsia="en-AU"/>
              </w:rPr>
            </w:pPr>
            <w:r w:rsidRPr="003F6445">
              <w:rPr>
                <w:rFonts w:eastAsia="Times New Roman" w:cs="Arial"/>
                <w:b/>
                <w:bCs/>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rsidR="00D53814" w:rsidRPr="003F6445" w:rsidRDefault="00D53814" w:rsidP="00D53814">
            <w:pPr>
              <w:rPr>
                <w:rFonts w:eastAsia="Times New Roman" w:cs="Arial"/>
                <w:b/>
                <w:bCs/>
                <w:sz w:val="20"/>
                <w:szCs w:val="20"/>
                <w:lang w:eastAsia="en-AU"/>
              </w:rPr>
            </w:pPr>
            <w:r w:rsidRPr="003F6445">
              <w:rPr>
                <w:rFonts w:eastAsia="Times New Roman" w:cs="Arial"/>
                <w:b/>
                <w:bCs/>
                <w:sz w:val="20"/>
                <w:szCs w:val="20"/>
                <w:lang w:eastAsia="en-AU"/>
              </w:rPr>
              <w:t>Budget Document Reference</w:t>
            </w:r>
          </w:p>
        </w:tc>
      </w:tr>
      <w:tr w:rsidR="00D53814" w:rsidRPr="00AB3E93"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Financial statements (income statement, balance sheet, changes in equity, cash flows, capital works) in the form set out in the Local Government Model Financial Report</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127(2)(a) Regulation 9</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CF0966" w:rsidRPr="00DA7FE9">
              <w:rPr>
                <w:rFonts w:eastAsia="Times New Roman" w:cs="Arial"/>
                <w:sz w:val="18"/>
                <w:szCs w:val="18"/>
                <w:lang w:eastAsia="en-AU"/>
              </w:rPr>
              <w:t>5</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2.</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Services and initiatives to be funded in the budget</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127(2)(b)</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Section 2</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3.</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Statement as to how the services and initiatives will contribute to achieving the strategic objectives specified in the Council Plan</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127(2)(c)</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Section 2</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4.</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Major initiatives, being initiatives identified by Council as priorities, to be undertaken during the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127(2)(d)</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Section 2</w:t>
            </w:r>
          </w:p>
        </w:tc>
      </w:tr>
      <w:tr w:rsidR="00D53814" w:rsidRPr="00AB3E93" w:rsidTr="001A1939">
        <w:trPr>
          <w:trHeight w:val="81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5.</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For services to be funded in the budget, the prescribed indicators of service performance that are required to be reported against in the performance statement, and the prescribed measures relating to those indicators</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127(2)(da)-(db)</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Section 2</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6.</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Details of the rates to be declared</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Section 158(1)</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CF0966" w:rsidRPr="00DA7FE9">
              <w:rPr>
                <w:rFonts w:eastAsia="Times New Roman" w:cs="Arial"/>
                <w:sz w:val="18"/>
                <w:szCs w:val="18"/>
                <w:lang w:eastAsia="en-AU"/>
              </w:rPr>
              <w:t>6</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7.</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Details of differential rates</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062148"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0F30FD" w:rsidRPr="003F6445">
              <w:rPr>
                <w:rFonts w:eastAsia="Times New Roman" w:cs="Arial"/>
                <w:sz w:val="18"/>
                <w:szCs w:val="18"/>
                <w:lang w:eastAsia="en-AU"/>
              </w:rPr>
              <w:t xml:space="preserve">127(3)(b) and (c) and </w:t>
            </w:r>
            <w:r w:rsidR="00D53814" w:rsidRPr="003F6445">
              <w:rPr>
                <w:rFonts w:eastAsia="Times New Roman" w:cs="Arial"/>
                <w:sz w:val="18"/>
                <w:szCs w:val="18"/>
                <w:lang w:eastAsia="en-AU"/>
              </w:rPr>
              <w:t>Section 161(2)</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CF0966" w:rsidRPr="00DA7FE9">
              <w:rPr>
                <w:rFonts w:eastAsia="Times New Roman" w:cs="Arial"/>
                <w:sz w:val="18"/>
                <w:szCs w:val="18"/>
                <w:lang w:eastAsia="en-AU"/>
              </w:rPr>
              <w:t>6</w:t>
            </w:r>
          </w:p>
        </w:tc>
      </w:tr>
      <w:tr w:rsidR="00D53814" w:rsidRPr="00AB3E93"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8.</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A detailed list of capital works expenditure in relation to non-current assets classified in accordance with the model statement of capital works in the Local Government Model Financial Report, and set out according to asset expenditure type</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10(1)(a)</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864028" w:rsidRPr="00DA7FE9">
              <w:rPr>
                <w:rFonts w:eastAsia="Times New Roman" w:cs="Arial"/>
                <w:sz w:val="18"/>
                <w:szCs w:val="18"/>
                <w:lang w:eastAsia="en-AU"/>
              </w:rPr>
              <w:t>6</w:t>
            </w:r>
          </w:p>
        </w:tc>
      </w:tr>
      <w:tr w:rsidR="00D53814" w:rsidRPr="00AB3E93" w:rsidTr="001A1939">
        <w:trPr>
          <w:trHeight w:val="66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9.</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A summary of the funding sources in relation to the capital works expenditure, classified separately as to grants, contributions, Council cash and borrowings</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10(1)(b)</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864028" w:rsidRPr="00DA7FE9">
              <w:rPr>
                <w:rFonts w:eastAsia="Times New Roman" w:cs="Arial"/>
                <w:sz w:val="18"/>
                <w:szCs w:val="18"/>
                <w:lang w:eastAsia="en-AU"/>
              </w:rPr>
              <w:t>6</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10.</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A statement of human resources</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10(1)(c)</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864028" w:rsidRPr="00DA7FE9">
              <w:rPr>
                <w:rFonts w:eastAsia="Times New Roman" w:cs="Arial"/>
                <w:sz w:val="18"/>
                <w:szCs w:val="18"/>
                <w:lang w:eastAsia="en-AU"/>
              </w:rPr>
              <w:t>5</w:t>
            </w:r>
          </w:p>
        </w:tc>
      </w:tr>
      <w:tr w:rsidR="00D53814" w:rsidRPr="00AB3E93"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11.</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 xml:space="preserve">A summary of human resources expenditure and the number of full time equivalent Council </w:t>
            </w:r>
            <w:r w:rsidR="008C4B7A" w:rsidRPr="003F6445">
              <w:rPr>
                <w:rFonts w:eastAsia="Times New Roman" w:cs="Arial"/>
                <w:sz w:val="18"/>
                <w:szCs w:val="18"/>
                <w:lang w:eastAsia="en-AU"/>
              </w:rPr>
              <w:t>employees</w:t>
            </w:r>
            <w:r w:rsidRPr="003F6445">
              <w:rPr>
                <w:rFonts w:eastAsia="Times New Roman" w:cs="Arial"/>
                <w:sz w:val="18"/>
                <w:szCs w:val="18"/>
                <w:lang w:eastAsia="en-AU"/>
              </w:rPr>
              <w:t xml:space="preserve"> referred to in the statement of human resources, categorised according to the organisational structure of the Council and classified separately as to permanent full time or permanent part time</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10(1)(d-e)</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864028" w:rsidRPr="00DA7FE9">
              <w:rPr>
                <w:rFonts w:eastAsia="Times New Roman" w:cs="Arial"/>
                <w:sz w:val="18"/>
                <w:szCs w:val="18"/>
                <w:lang w:eastAsia="en-AU"/>
              </w:rPr>
              <w:t>5</w:t>
            </w:r>
          </w:p>
        </w:tc>
      </w:tr>
      <w:tr w:rsidR="00D53814" w:rsidRPr="00AB3E93"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12.</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A list of grants by type and source, classified as recurrent grants to be used to fund operation expenditure and capital expenditure, and non-recurrent grants to be used to fund operation and capital expenditure</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10(1)(f)</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864028"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13.</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Total amount borrowed as at 30 June of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10(1)(g)</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14.</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Total amount to be borrowed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10(1)(h)(i)</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15.</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Total amount projected to be redeemed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10(1)(i)</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16.</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Rate in the dollar for each type or class of land</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10(2)(a)</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17.</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Percentage change in the rate in the dollar for each class or type of land compared with the previous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10(2)(b)</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18.</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Estimated amount to be raised by general rates in relation to each type of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10(2)(c)</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Section</w:t>
            </w:r>
            <w:r w:rsidR="00463CCD" w:rsidRPr="00DA7FE9">
              <w:rPr>
                <w:rFonts w:eastAsia="Times New Roman" w:cs="Arial"/>
                <w:sz w:val="18"/>
                <w:szCs w:val="18"/>
                <w:lang w:eastAsia="en-AU"/>
              </w:rPr>
              <w:t xml:space="preserve"> </w:t>
            </w:r>
            <w:r w:rsidR="00FD4BC5" w:rsidRPr="00DA7FE9">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19.</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Estimated total amount to be raised by general rates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10(2)(d)</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507EC1">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20.</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Number of assessments for each class or type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Regulation 10(2)(e)</w:t>
            </w:r>
          </w:p>
        </w:tc>
        <w:tc>
          <w:tcPr>
            <w:tcW w:w="0" w:type="auto"/>
            <w:tcBorders>
              <w:top w:val="nil"/>
              <w:left w:val="nil"/>
              <w:bottom w:val="single" w:sz="4" w:space="0" w:color="auto"/>
              <w:right w:val="single" w:sz="8" w:space="0" w:color="auto"/>
            </w:tcBorders>
            <w:shd w:val="clear" w:color="auto" w:fill="auto"/>
            <w:vAlign w:val="center"/>
            <w:hideMark/>
          </w:tcPr>
          <w:p w:rsidR="00D53814" w:rsidRPr="00DA7FE9" w:rsidRDefault="00D53814" w:rsidP="00D53814">
            <w:pPr>
              <w:rPr>
                <w:rFonts w:eastAsia="Times New Roman" w:cs="Arial"/>
                <w:sz w:val="18"/>
                <w:szCs w:val="18"/>
                <w:lang w:eastAsia="en-AU"/>
              </w:rPr>
            </w:pPr>
            <w:r w:rsidRPr="00DA7FE9">
              <w:rPr>
                <w:rFonts w:eastAsia="Times New Roman" w:cs="Arial"/>
                <w:sz w:val="18"/>
                <w:szCs w:val="18"/>
                <w:lang w:eastAsia="en-AU"/>
              </w:rPr>
              <w:t xml:space="preserve">Section </w:t>
            </w:r>
            <w:r w:rsidR="00FD4BC5" w:rsidRPr="00DA7FE9">
              <w:rPr>
                <w:rFonts w:eastAsia="Times New Roman" w:cs="Arial"/>
                <w:sz w:val="18"/>
                <w:szCs w:val="18"/>
                <w:lang w:eastAsia="en-AU"/>
              </w:rPr>
              <w:t>6</w:t>
            </w:r>
          </w:p>
        </w:tc>
      </w:tr>
      <w:tr w:rsidR="00D53814" w:rsidRPr="00AB3E93"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rsidR="00D53814" w:rsidRPr="00880B87" w:rsidRDefault="00D53814" w:rsidP="00D53814">
            <w:pPr>
              <w:jc w:val="center"/>
              <w:rPr>
                <w:rFonts w:eastAsia="Times New Roman" w:cs="Arial"/>
                <w:b/>
                <w:bCs/>
                <w:sz w:val="20"/>
                <w:szCs w:val="20"/>
                <w:lang w:eastAsia="en-AU"/>
              </w:rPr>
            </w:pPr>
            <w:r w:rsidRPr="00880B87">
              <w:rPr>
                <w:rFonts w:eastAsia="Times New Roman" w:cs="Arial"/>
                <w:b/>
                <w:bCs/>
                <w:sz w:val="20"/>
                <w:szCs w:val="20"/>
                <w:lang w:eastAsia="en-AU"/>
              </w:rPr>
              <w:lastRenderedPageBreak/>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rsidR="00D53814" w:rsidRPr="00880B87" w:rsidRDefault="00D53814" w:rsidP="00D53814">
            <w:pPr>
              <w:rPr>
                <w:rFonts w:eastAsia="Times New Roman" w:cs="Arial"/>
                <w:b/>
                <w:bCs/>
                <w:sz w:val="20"/>
                <w:szCs w:val="20"/>
                <w:lang w:eastAsia="en-AU"/>
              </w:rPr>
            </w:pPr>
            <w:r w:rsidRPr="00880B87">
              <w:rPr>
                <w:rFonts w:eastAsia="Times New Roman" w:cs="Arial"/>
                <w:b/>
                <w:bCs/>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rsidR="00D53814" w:rsidRPr="00880B87" w:rsidRDefault="00D53814" w:rsidP="00D53814">
            <w:pPr>
              <w:rPr>
                <w:rFonts w:eastAsia="Times New Roman" w:cs="Arial"/>
                <w:b/>
                <w:bCs/>
                <w:sz w:val="20"/>
                <w:szCs w:val="20"/>
                <w:lang w:eastAsia="en-AU"/>
              </w:rPr>
            </w:pPr>
            <w:r w:rsidRPr="00880B87">
              <w:rPr>
                <w:rFonts w:eastAsia="Times New Roman" w:cs="Arial"/>
                <w:b/>
                <w:bCs/>
                <w:sz w:val="20"/>
                <w:szCs w:val="20"/>
                <w:lang w:eastAsia="en-AU"/>
              </w:rPr>
              <w:t>Budget Document Reference</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21.</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Number of assessments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10(2)(f)</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22.</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Basis of valuation to be used</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10(2)(g)</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23.</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value of each type or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10(2)(h)</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24.</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total value of land rated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10(2)(i)</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25.</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10(2)(j)</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Not Applicable</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26.</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Percentage change in the 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10(2)(k)</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Not Applicable</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27.</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amount to be raised by municipal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10(2)(l)</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Not Applicable</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28.</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Rate or unit amount to be levied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10(2)(m)</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29.</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Percentage change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10(2)(n)</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30.</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amount to be raised by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10(2)(o)</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31.</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total amount to be raised by service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10(2)(p)</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32.</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Estimated total amount to be raised by all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10(2)(q)</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33.</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Any significant changes that may affect the estimated amounts referred to in Regulation 10(2)</w:t>
            </w:r>
          </w:p>
        </w:tc>
        <w:tc>
          <w:tcPr>
            <w:tcW w:w="0" w:type="auto"/>
            <w:tcBorders>
              <w:top w:val="nil"/>
              <w:left w:val="nil"/>
              <w:bottom w:val="single" w:sz="4"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Regulation 10(2)(r)</w:t>
            </w:r>
          </w:p>
        </w:tc>
        <w:tc>
          <w:tcPr>
            <w:tcW w:w="0" w:type="auto"/>
            <w:tcBorders>
              <w:top w:val="nil"/>
              <w:left w:val="nil"/>
              <w:bottom w:val="single" w:sz="4"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 xml:space="preserve">Section </w:t>
            </w:r>
            <w:r w:rsidR="00FD4BC5" w:rsidRPr="002D3BE8">
              <w:rPr>
                <w:rFonts w:eastAsia="Times New Roman" w:cs="Arial"/>
                <w:sz w:val="18"/>
                <w:szCs w:val="18"/>
                <w:lang w:eastAsia="en-AU"/>
              </w:rPr>
              <w:t>6</w:t>
            </w:r>
          </w:p>
        </w:tc>
      </w:tr>
      <w:tr w:rsidR="00D53814" w:rsidRPr="00AB3E93" w:rsidTr="00507EC1">
        <w:trPr>
          <w:trHeight w:val="73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34.</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8" w:space="0" w:color="auto"/>
              <w:right w:val="single" w:sz="4" w:space="0" w:color="auto"/>
            </w:tcBorders>
            <w:shd w:val="clear" w:color="auto" w:fill="auto"/>
            <w:vAlign w:val="center"/>
            <w:hideMark/>
          </w:tcPr>
          <w:p w:rsidR="00D53814" w:rsidRPr="00880B87" w:rsidRDefault="00D53814" w:rsidP="00D53814">
            <w:pPr>
              <w:jc w:val="both"/>
              <w:rPr>
                <w:rFonts w:eastAsia="Times New Roman" w:cs="Arial"/>
                <w:sz w:val="18"/>
                <w:szCs w:val="18"/>
                <w:lang w:eastAsia="en-AU"/>
              </w:rPr>
            </w:pPr>
            <w:r w:rsidRPr="00880B87">
              <w:rPr>
                <w:rFonts w:eastAsia="Times New Roman" w:cs="Arial"/>
                <w:sz w:val="18"/>
                <w:szCs w:val="18"/>
                <w:lang w:eastAsia="en-AU"/>
              </w:rPr>
              <w:t>Councils applying to the Essential Services Commission for a rates variation must meet disclosure requirements</w:t>
            </w:r>
          </w:p>
        </w:tc>
        <w:tc>
          <w:tcPr>
            <w:tcW w:w="0" w:type="auto"/>
            <w:tcBorders>
              <w:top w:val="nil"/>
              <w:left w:val="nil"/>
              <w:bottom w:val="single" w:sz="8" w:space="0" w:color="auto"/>
              <w:right w:val="single" w:sz="4" w:space="0" w:color="auto"/>
            </w:tcBorders>
            <w:shd w:val="clear" w:color="auto" w:fill="auto"/>
            <w:vAlign w:val="center"/>
            <w:hideMark/>
          </w:tcPr>
          <w:p w:rsidR="00D53814" w:rsidRPr="00880B87" w:rsidRDefault="00D53814" w:rsidP="00D53814">
            <w:pPr>
              <w:rPr>
                <w:rFonts w:eastAsia="Times New Roman" w:cs="Arial"/>
                <w:sz w:val="18"/>
                <w:szCs w:val="18"/>
                <w:lang w:eastAsia="en-AU"/>
              </w:rPr>
            </w:pPr>
            <w:r w:rsidRPr="00880B87">
              <w:rPr>
                <w:rFonts w:eastAsia="Times New Roman" w:cs="Arial"/>
                <w:sz w:val="18"/>
                <w:szCs w:val="18"/>
                <w:lang w:eastAsia="en-AU"/>
              </w:rPr>
              <w:t>Local Government Amendment (Fair Go Rates) Act 2015</w:t>
            </w:r>
          </w:p>
        </w:tc>
        <w:tc>
          <w:tcPr>
            <w:tcW w:w="0" w:type="auto"/>
            <w:tcBorders>
              <w:top w:val="nil"/>
              <w:left w:val="nil"/>
              <w:bottom w:val="single" w:sz="8" w:space="0" w:color="auto"/>
              <w:right w:val="single" w:sz="8" w:space="0" w:color="auto"/>
            </w:tcBorders>
            <w:shd w:val="clear" w:color="auto" w:fill="auto"/>
            <w:vAlign w:val="center"/>
            <w:hideMark/>
          </w:tcPr>
          <w:p w:rsidR="00D53814" w:rsidRPr="002D3BE8" w:rsidRDefault="00D53814" w:rsidP="00D53814">
            <w:pPr>
              <w:rPr>
                <w:rFonts w:eastAsia="Times New Roman" w:cs="Arial"/>
                <w:sz w:val="18"/>
                <w:szCs w:val="18"/>
                <w:lang w:eastAsia="en-AU"/>
              </w:rPr>
            </w:pPr>
            <w:r w:rsidRPr="002D3BE8">
              <w:rPr>
                <w:rFonts w:eastAsia="Times New Roman" w:cs="Arial"/>
                <w:sz w:val="18"/>
                <w:szCs w:val="18"/>
                <w:lang w:eastAsia="en-AU"/>
              </w:rPr>
              <w:t>Not Applicable</w:t>
            </w:r>
          </w:p>
        </w:tc>
      </w:tr>
    </w:tbl>
    <w:p w:rsidR="00D53814" w:rsidRPr="00D53814" w:rsidRDefault="00D53814" w:rsidP="00D53814">
      <w:pPr>
        <w:rPr>
          <w:rFonts w:eastAsia="Times New Roman" w:cs="Arial"/>
          <w:b/>
          <w:bCs/>
          <w:color w:val="C00000"/>
          <w:sz w:val="26"/>
          <w:szCs w:val="26"/>
          <w:highlight w:val="green"/>
          <w:lang w:eastAsia="en-AU"/>
        </w:rPr>
      </w:pPr>
    </w:p>
    <w:p w:rsidR="009E5A91" w:rsidRPr="001A1939" w:rsidRDefault="008C77DD" w:rsidP="009E5A91">
      <w:pPr>
        <w:pStyle w:val="Heading2"/>
        <w:rPr>
          <w:rFonts w:eastAsia="Times New Roman"/>
          <w:color w:val="629DD1" w:themeColor="accent2"/>
          <w:lang w:eastAsia="en-AU"/>
        </w:rPr>
      </w:pPr>
      <w:r>
        <w:rPr>
          <w:rFonts w:eastAsia="Times New Roman"/>
        </w:rPr>
        <w:br w:type="page"/>
      </w:r>
      <w:bookmarkStart w:id="137" w:name="_Toc4056383"/>
      <w:r w:rsidR="009E5A91" w:rsidRPr="00987AD2">
        <w:rPr>
          <w:rFonts w:eastAsia="Times New Roman"/>
          <w:color w:val="629DD1" w:themeColor="accent2"/>
          <w:lang w:eastAsia="en-AU"/>
        </w:rPr>
        <w:lastRenderedPageBreak/>
        <w:t xml:space="preserve">Appendix </w:t>
      </w:r>
      <w:r w:rsidR="00AF7EC3" w:rsidRPr="00987AD2">
        <w:rPr>
          <w:rFonts w:eastAsia="Times New Roman"/>
          <w:color w:val="629DD1" w:themeColor="accent2"/>
          <w:lang w:eastAsia="en-AU"/>
        </w:rPr>
        <w:t>C</w:t>
      </w:r>
      <w:r w:rsidR="009E5A91" w:rsidRPr="00987AD2">
        <w:rPr>
          <w:rFonts w:eastAsia="Times New Roman"/>
          <w:color w:val="629DD1" w:themeColor="accent2"/>
          <w:lang w:eastAsia="en-AU"/>
        </w:rPr>
        <w:t xml:space="preserve"> - </w:t>
      </w:r>
      <w:r w:rsidR="00AF7EC3" w:rsidRPr="00987AD2">
        <w:rPr>
          <w:rFonts w:eastAsia="Times New Roman"/>
          <w:color w:val="629DD1" w:themeColor="accent2"/>
          <w:lang w:eastAsia="en-AU"/>
        </w:rPr>
        <w:t>Fees and Charges</w:t>
      </w:r>
      <w:bookmarkEnd w:id="137"/>
    </w:p>
    <w:p w:rsidR="008C77DD" w:rsidRDefault="008C77DD">
      <w:pPr>
        <w:rPr>
          <w:rFonts w:eastAsia="Times New Roman" w:cs="Arial"/>
          <w:b/>
        </w:rPr>
      </w:pPr>
    </w:p>
    <w:p w:rsidR="00010B5B" w:rsidRPr="00010B5B" w:rsidRDefault="00010B5B">
      <w:pPr>
        <w:rPr>
          <w:rFonts w:eastAsia="Times New Roman" w:cs="Arial"/>
        </w:rPr>
      </w:pPr>
      <w:r w:rsidRPr="00010B5B">
        <w:rPr>
          <w:rFonts w:eastAsia="Times New Roman" w:cs="Arial"/>
        </w:rPr>
        <w:t>This appendix presents the fees and charges of a statutory/</w:t>
      </w:r>
      <w:r w:rsidR="00C02503" w:rsidRPr="00FD32B9">
        <w:rPr>
          <w:rFonts w:eastAsia="Times New Roman" w:cs="Arial"/>
        </w:rPr>
        <w:t>discretionary</w:t>
      </w:r>
      <w:r w:rsidRPr="00010B5B">
        <w:rPr>
          <w:rFonts w:eastAsia="Times New Roman" w:cs="Arial"/>
        </w:rPr>
        <w:t xml:space="preserve"> nature which will be charged in respect to various goods and services during the FY 2020/21.</w:t>
      </w:r>
    </w:p>
    <w:p w:rsidR="00010B5B" w:rsidRPr="00010B5B" w:rsidRDefault="00010B5B">
      <w:pPr>
        <w:rPr>
          <w:rFonts w:eastAsia="Times New Roman" w:cs="Arial"/>
        </w:rPr>
      </w:pPr>
    </w:p>
    <w:p w:rsidR="00010B5B" w:rsidRPr="00010B5B" w:rsidRDefault="00010B5B">
      <w:pPr>
        <w:rPr>
          <w:rFonts w:eastAsia="Times New Roman" w:cs="Arial"/>
        </w:rPr>
      </w:pPr>
      <w:r w:rsidRPr="00010B5B">
        <w:rPr>
          <w:rFonts w:eastAsia="Times New Roman" w:cs="Arial"/>
        </w:rPr>
        <w:t>Fees and charges are based on information available at the time of publishing and may vary during the financial year subject to any changes in Council's policy or legislation.</w:t>
      </w:r>
    </w:p>
    <w:p w:rsidR="0092195D" w:rsidRDefault="0092195D" w:rsidP="00501510">
      <w:pPr>
        <w:ind w:left="720"/>
        <w:rPr>
          <w:rFonts w:eastAsia="Times New Roman" w:cs="Arial"/>
        </w:rPr>
      </w:pPr>
    </w:p>
    <w:tbl>
      <w:tblPr>
        <w:tblW w:w="9560" w:type="dxa"/>
        <w:tblLook w:val="04A0" w:firstRow="1" w:lastRow="0" w:firstColumn="1" w:lastColumn="0" w:noHBand="0" w:noVBand="1"/>
      </w:tblPr>
      <w:tblGrid>
        <w:gridCol w:w="5880"/>
        <w:gridCol w:w="1345"/>
        <w:gridCol w:w="755"/>
        <w:gridCol w:w="1580"/>
      </w:tblGrid>
      <w:tr w:rsidR="00715BEC" w:rsidRPr="00715BEC" w:rsidTr="00715BEC">
        <w:trPr>
          <w:trHeight w:val="290"/>
          <w:tblHeader/>
        </w:trPr>
        <w:tc>
          <w:tcPr>
            <w:tcW w:w="9560" w:type="dxa"/>
            <w:gridSpan w:val="4"/>
            <w:tcBorders>
              <w:top w:val="single" w:sz="4" w:space="0" w:color="auto"/>
              <w:left w:val="single" w:sz="4" w:space="0" w:color="auto"/>
              <w:bottom w:val="single" w:sz="4" w:space="0" w:color="auto"/>
              <w:right w:val="nil"/>
            </w:tcBorders>
            <w:shd w:val="clear" w:color="000000" w:fill="5B9BD5"/>
            <w:noWrap/>
            <w:vAlign w:val="bottom"/>
            <w:hideMark/>
          </w:tcPr>
          <w:p w:rsidR="00715BEC" w:rsidRPr="00715BEC" w:rsidRDefault="00715BEC" w:rsidP="00715BEC">
            <w:pPr>
              <w:jc w:val="center"/>
              <w:rPr>
                <w:rFonts w:ascii="Calibri" w:eastAsia="Times New Roman" w:hAnsi="Calibri" w:cs="Calibri"/>
                <w:b/>
                <w:bCs/>
                <w:color w:val="FFFFFF"/>
                <w:lang w:eastAsia="en-AU"/>
              </w:rPr>
            </w:pPr>
            <w:bookmarkStart w:id="138" w:name="RANGE!A1:E986"/>
            <w:r w:rsidRPr="00715BEC">
              <w:rPr>
                <w:rFonts w:ascii="Calibri" w:eastAsia="Times New Roman" w:hAnsi="Calibri" w:cs="Calibri"/>
                <w:b/>
                <w:bCs/>
                <w:color w:val="FFFFFF"/>
                <w:lang w:eastAsia="en-AU"/>
              </w:rPr>
              <w:t>FEES AND CHARGES 2020/21</w:t>
            </w:r>
            <w:bookmarkEnd w:id="138"/>
          </w:p>
        </w:tc>
      </w:tr>
      <w:tr w:rsidR="00715BEC" w:rsidRPr="00715BEC" w:rsidTr="004B2F64">
        <w:trPr>
          <w:trHeight w:val="650"/>
          <w:tblHeader/>
        </w:trPr>
        <w:tc>
          <w:tcPr>
            <w:tcW w:w="5880" w:type="dxa"/>
            <w:tcBorders>
              <w:top w:val="nil"/>
              <w:left w:val="single" w:sz="4" w:space="0" w:color="auto"/>
              <w:bottom w:val="single" w:sz="4" w:space="0" w:color="auto"/>
              <w:right w:val="single" w:sz="4" w:space="0" w:color="auto"/>
            </w:tcBorders>
            <w:shd w:val="clear" w:color="000000" w:fill="5B9BD5"/>
            <w:noWrap/>
            <w:vAlign w:val="bottom"/>
            <w:hideMark/>
          </w:tcPr>
          <w:p w:rsidR="00715BEC" w:rsidRPr="00715BEC" w:rsidRDefault="00715BEC" w:rsidP="00715BEC">
            <w:pPr>
              <w:rPr>
                <w:rFonts w:ascii="Calibri" w:eastAsia="Times New Roman" w:hAnsi="Calibri" w:cs="Calibri"/>
                <w:b/>
                <w:bCs/>
                <w:color w:val="FFFFFF"/>
                <w:sz w:val="16"/>
                <w:szCs w:val="16"/>
                <w:lang w:eastAsia="en-AU"/>
              </w:rPr>
            </w:pPr>
            <w:r w:rsidRPr="00715BEC">
              <w:rPr>
                <w:rFonts w:ascii="Calibri" w:eastAsia="Times New Roman" w:hAnsi="Calibri" w:cs="Calibri"/>
                <w:b/>
                <w:bCs/>
                <w:color w:val="FFFFFF"/>
                <w:sz w:val="16"/>
                <w:szCs w:val="16"/>
                <w:lang w:eastAsia="en-AU"/>
              </w:rPr>
              <w:t xml:space="preserve">Account Description </w:t>
            </w:r>
          </w:p>
        </w:tc>
        <w:tc>
          <w:tcPr>
            <w:tcW w:w="1345" w:type="dxa"/>
            <w:tcBorders>
              <w:top w:val="nil"/>
              <w:left w:val="nil"/>
              <w:bottom w:val="single" w:sz="4" w:space="0" w:color="auto"/>
              <w:right w:val="single" w:sz="4" w:space="0" w:color="auto"/>
            </w:tcBorders>
            <w:shd w:val="clear" w:color="000000" w:fill="5B9BD5"/>
            <w:vAlign w:val="bottom"/>
            <w:hideMark/>
          </w:tcPr>
          <w:p w:rsidR="00715BEC" w:rsidRPr="00715BEC" w:rsidRDefault="00715BEC" w:rsidP="00715BEC">
            <w:pPr>
              <w:jc w:val="center"/>
              <w:rPr>
                <w:rFonts w:ascii="Calibri" w:eastAsia="Times New Roman" w:hAnsi="Calibri" w:cs="Calibri"/>
                <w:b/>
                <w:bCs/>
                <w:color w:val="FFFFFF"/>
                <w:sz w:val="16"/>
                <w:szCs w:val="16"/>
                <w:lang w:eastAsia="en-AU"/>
              </w:rPr>
            </w:pPr>
            <w:r w:rsidRPr="00715BEC">
              <w:rPr>
                <w:rFonts w:ascii="Calibri" w:eastAsia="Times New Roman" w:hAnsi="Calibri" w:cs="Calibri"/>
                <w:b/>
                <w:bCs/>
                <w:color w:val="FFFFFF"/>
                <w:sz w:val="16"/>
                <w:szCs w:val="16"/>
                <w:lang w:eastAsia="en-AU"/>
              </w:rPr>
              <w:t>Fee Type                   D= Discretionary S=Statutory</w:t>
            </w:r>
          </w:p>
        </w:tc>
        <w:tc>
          <w:tcPr>
            <w:tcW w:w="755" w:type="dxa"/>
            <w:tcBorders>
              <w:top w:val="nil"/>
              <w:left w:val="nil"/>
              <w:bottom w:val="single" w:sz="4" w:space="0" w:color="auto"/>
              <w:right w:val="single" w:sz="4" w:space="0" w:color="auto"/>
            </w:tcBorders>
            <w:shd w:val="clear" w:color="000000" w:fill="5B9BD5"/>
            <w:vAlign w:val="bottom"/>
            <w:hideMark/>
          </w:tcPr>
          <w:p w:rsidR="00715BEC" w:rsidRPr="00715BEC" w:rsidRDefault="00715BEC" w:rsidP="00715BEC">
            <w:pPr>
              <w:jc w:val="center"/>
              <w:rPr>
                <w:rFonts w:ascii="Calibri" w:eastAsia="Times New Roman" w:hAnsi="Calibri" w:cs="Calibri"/>
                <w:b/>
                <w:bCs/>
                <w:color w:val="FFFFFF"/>
                <w:sz w:val="16"/>
                <w:szCs w:val="16"/>
                <w:lang w:eastAsia="en-AU"/>
              </w:rPr>
            </w:pPr>
            <w:r w:rsidRPr="00715BEC">
              <w:rPr>
                <w:rFonts w:ascii="Calibri" w:eastAsia="Times New Roman" w:hAnsi="Calibri" w:cs="Calibri"/>
                <w:b/>
                <w:bCs/>
                <w:color w:val="FFFFFF"/>
                <w:sz w:val="16"/>
                <w:szCs w:val="16"/>
                <w:lang w:eastAsia="en-AU"/>
              </w:rPr>
              <w:t>GST Yes/No</w:t>
            </w:r>
          </w:p>
        </w:tc>
        <w:tc>
          <w:tcPr>
            <w:tcW w:w="1580" w:type="dxa"/>
            <w:tcBorders>
              <w:top w:val="nil"/>
              <w:left w:val="nil"/>
              <w:bottom w:val="single" w:sz="4" w:space="0" w:color="auto"/>
              <w:right w:val="single" w:sz="4" w:space="0" w:color="auto"/>
            </w:tcBorders>
            <w:shd w:val="clear" w:color="000000" w:fill="5B9BD5"/>
            <w:vAlign w:val="bottom"/>
            <w:hideMark/>
          </w:tcPr>
          <w:p w:rsidR="00715BEC" w:rsidRPr="00715BEC" w:rsidRDefault="00715BEC" w:rsidP="00715BEC">
            <w:pPr>
              <w:jc w:val="center"/>
              <w:rPr>
                <w:rFonts w:ascii="Calibri" w:eastAsia="Times New Roman" w:hAnsi="Calibri" w:cs="Calibri"/>
                <w:b/>
                <w:bCs/>
                <w:color w:val="FFFFFF"/>
                <w:sz w:val="16"/>
                <w:szCs w:val="16"/>
                <w:lang w:eastAsia="en-AU"/>
              </w:rPr>
            </w:pPr>
            <w:r w:rsidRPr="00715BEC">
              <w:rPr>
                <w:rFonts w:ascii="Calibri" w:eastAsia="Times New Roman" w:hAnsi="Calibri" w:cs="Calibri"/>
                <w:b/>
                <w:bCs/>
                <w:color w:val="FFFFFF"/>
                <w:sz w:val="16"/>
                <w:szCs w:val="16"/>
                <w:lang w:eastAsia="en-AU"/>
              </w:rPr>
              <w:t>2020/21 Fees &amp; Charges Inc. GST</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Business &amp; Activity Centre Development</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Business &amp; Development Business Training &amp; Seminars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Training courses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Business &amp; Development Business Events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Business Breakfast series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Business &amp; Development Business Week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Business Week events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Business &amp; Development Co-Working 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per attendance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per year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Premium per additional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Premium per month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 per additional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 per month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Realm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Content Development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44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Realm Room Hire (varies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Business &amp; Development Business Awards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100.00</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Sponsorship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type of sponsorship</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sz w:val="20"/>
                <w:szCs w:val="20"/>
                <w:u w:val="single"/>
                <w:lang w:eastAsia="en-AU"/>
              </w:rPr>
            </w:pPr>
            <w:r w:rsidRPr="00715BEC">
              <w:rPr>
                <w:rFonts w:ascii="Calibri" w:eastAsia="Times New Roman" w:hAnsi="Calibri" w:cs="Calibri"/>
                <w:b/>
                <w:bCs/>
                <w:sz w:val="20"/>
                <w:szCs w:val="20"/>
                <w:u w:val="single"/>
                <w:lang w:eastAsia="en-AU"/>
              </w:rPr>
              <w:t>Engineering &amp; Building Services</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sz w:val="16"/>
                <w:szCs w:val="16"/>
                <w:lang w:eastAsia="en-AU"/>
              </w:rPr>
            </w:pPr>
            <w:r w:rsidRPr="00715BEC">
              <w:rPr>
                <w:rFonts w:ascii="Calibri" w:eastAsia="Times New Roman" w:hAnsi="Calibri" w:cs="Calibri"/>
                <w:b/>
                <w:bCs/>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Engineering Services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 on flood prone land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297.67</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 Over Easement Application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2-5 industrial/factory/warehouse developments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443.00</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Development Plan Checking Medium commercial development (500-2000m2)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760.00</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Development Plan Checking Small commercial development (&lt;500m2)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Large development (2000m2+)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1,268.00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Construction Management Plan Checking (Commercial / Industrial)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Construction Management Plan Checking (Major residential - 7+ dwellings)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Construction Management Plan Checking (Minor residential - up to 6 dwellings)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Development Plan Checking 6+ industrial/factory/warehouse developments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697.00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Drainage Fee - Stormwater Flood Modelling Information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63.00</w:t>
            </w:r>
          </w:p>
        </w:tc>
      </w:tr>
      <w:tr w:rsidR="00715BEC" w:rsidRPr="00715BEC" w:rsidTr="004B2F64">
        <w:trPr>
          <w:trHeight w:val="4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Issue of Legal Point of Discharge, Fees in accordance with Statutory Building Regs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148.40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Permit to occupy road 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Permit to occupy road reserve (short term occupation)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495.00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13-19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950.00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2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191.00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20+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1,268.00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3-4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318.00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5-8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507.00</w:t>
            </w:r>
          </w:p>
        </w:tc>
      </w:tr>
      <w:tr w:rsidR="00715BEC" w:rsidRPr="00715BEC" w:rsidTr="004B2F64">
        <w:trPr>
          <w:trHeight w:val="5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Residential Development Plan Checking 9-12 Lot development with common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Road Opening Permit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241.00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industrial/factory/warehouse development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Subdivisions Supervision, Fee set by Subdivision Act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Traffic Management Plan Approval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Unit / Apartment Development Plan Checking </w:t>
            </w:r>
            <w:proofErr w:type="gramStart"/>
            <w:r w:rsidRPr="00715BEC">
              <w:rPr>
                <w:rFonts w:ascii="Calibri" w:eastAsia="Times New Roman" w:hAnsi="Calibri" w:cs="Calibri"/>
                <w:color w:val="000000"/>
                <w:sz w:val="16"/>
                <w:szCs w:val="16"/>
                <w:lang w:eastAsia="en-AU"/>
              </w:rPr>
              <w:t>20-60 unit</w:t>
            </w:r>
            <w:proofErr w:type="gramEnd"/>
            <w:r w:rsidRPr="00715BEC">
              <w:rPr>
                <w:rFonts w:ascii="Calibri" w:eastAsia="Times New Roman" w:hAnsi="Calibri" w:cs="Calibri"/>
                <w:color w:val="000000"/>
                <w:sz w:val="16"/>
                <w:szCs w:val="16"/>
                <w:lang w:eastAsia="en-AU"/>
              </w:rPr>
              <w:t xml:space="preserve"> apartment building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Unit / Apartment Development Plan Checking Up to </w:t>
            </w:r>
            <w:proofErr w:type="gramStart"/>
            <w:r w:rsidRPr="00715BEC">
              <w:rPr>
                <w:rFonts w:ascii="Calibri" w:eastAsia="Times New Roman" w:hAnsi="Calibri" w:cs="Calibri"/>
                <w:color w:val="000000"/>
                <w:sz w:val="16"/>
                <w:szCs w:val="16"/>
                <w:lang w:eastAsia="en-AU"/>
              </w:rPr>
              <w:t>20 unit</w:t>
            </w:r>
            <w:proofErr w:type="gramEnd"/>
            <w:r w:rsidRPr="00715BEC">
              <w:rPr>
                <w:rFonts w:ascii="Calibri" w:eastAsia="Times New Roman" w:hAnsi="Calibri" w:cs="Calibri"/>
                <w:color w:val="000000"/>
                <w:sz w:val="16"/>
                <w:szCs w:val="16"/>
                <w:lang w:eastAsia="en-AU"/>
              </w:rPr>
              <w:t xml:space="preserve"> apartment building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Unit / Apartment Residential Development Plan Checking 60+ unit apartment building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Vehicle Crossing Inspections / User charges Fees &amp; Fines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241.00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Building Services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$100,001 - $150,000 Cost of Construction including 5 inspections ($ Fee + (0.81%)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Building Permit Amendments Class 1 or 10 Amendments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Building Permit Amendments Class 2 - 9 Amendments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Building Service Permit Fees Garages/Sheds/Carports $0 - $30,000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Building Service Permit Fees Garages/Sheds/Carports $30,001 - $50,000 ($ Fee + (0.99%) of building work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52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Building Service Permit Fees Garages/Sheds/Carports $100,000 + (Price on Application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51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Building Services Additional Inspection Fees Additional Inspection required for Building Permits </w:t>
            </w:r>
            <w:proofErr w:type="gramStart"/>
            <w:r w:rsidRPr="00715BEC">
              <w:rPr>
                <w:rFonts w:ascii="Calibri" w:eastAsia="Times New Roman" w:hAnsi="Calibri" w:cs="Calibri"/>
                <w:color w:val="000000"/>
                <w:sz w:val="16"/>
                <w:szCs w:val="16"/>
                <w:lang w:eastAsia="en-AU"/>
              </w:rPr>
              <w:t>&amp;  Lapsed</w:t>
            </w:r>
            <w:proofErr w:type="gramEnd"/>
            <w:r w:rsidRPr="00715BEC">
              <w:rPr>
                <w:rFonts w:ascii="Calibri" w:eastAsia="Times New Roman" w:hAnsi="Calibri" w:cs="Calibri"/>
                <w:color w:val="000000"/>
                <w:sz w:val="16"/>
                <w:szCs w:val="16"/>
                <w:lang w:eastAsia="en-AU"/>
              </w:rPr>
              <w:t xml:space="preserve"> Permits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$0 - $12,000 ($ Fee + (2.20%)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$1,000,001 +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$10,001 - $50,000 ($ Fee + (0.99%)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$350,001 - $650,000 ($ Fee + (0.4%)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$50,001 - $350,000 ($ Fee + (0.3%)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Class 2 to 9 Buildings $650,001 - $1,000,000 ($ Fee + (0.35%)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29A Process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87.28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Advertise for Owner - First property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160.00</w:t>
            </w:r>
          </w:p>
        </w:tc>
      </w:tr>
      <w:tr w:rsidR="00715BEC" w:rsidRPr="00715BEC" w:rsidTr="004B2F64">
        <w:trPr>
          <w:trHeight w:val="4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Advertise for Owner - subsequent properties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62.50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Hoarding Occupation Activity - m2 per week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Hoarding Occupation Domestic - per week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110.00</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Hoarding Occupation Non-Activity - m2 per week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Hoarding Permit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302.00</w:t>
            </w:r>
          </w:p>
        </w:tc>
      </w:tr>
      <w:tr w:rsidR="00715BEC" w:rsidRPr="00715BEC" w:rsidTr="004B2F64">
        <w:trPr>
          <w:trHeight w:val="46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Consent &amp; Reports: (Dispensations) Permit issued or work commenced - first clause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440.00</w:t>
            </w:r>
          </w:p>
        </w:tc>
      </w:tr>
      <w:tr w:rsidR="00715BEC" w:rsidRPr="00715BEC" w:rsidTr="004B2F64">
        <w:trPr>
          <w:trHeight w:val="52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 Permit issued or work commenced - subsequent clauses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Consent &amp; Reports: Dispensations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297.67</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Copy of plans - Class 1 or 10, including copy of any associated documentation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135.00</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Copy of plans - Class 2 - </w:t>
            </w:r>
            <w:proofErr w:type="gramStart"/>
            <w:r w:rsidRPr="00715BEC">
              <w:rPr>
                <w:rFonts w:ascii="Calibri" w:eastAsia="Times New Roman" w:hAnsi="Calibri" w:cs="Calibri"/>
                <w:color w:val="000000"/>
                <w:sz w:val="16"/>
                <w:szCs w:val="16"/>
                <w:lang w:eastAsia="en-AU"/>
              </w:rPr>
              <w:t xml:space="preserve">9,   </w:t>
            </w:r>
            <w:proofErr w:type="gramEnd"/>
            <w:r w:rsidRPr="00715BEC">
              <w:rPr>
                <w:rFonts w:ascii="Calibri" w:eastAsia="Times New Roman" w:hAnsi="Calibri" w:cs="Calibri"/>
                <w:color w:val="000000"/>
                <w:sz w:val="16"/>
                <w:szCs w:val="16"/>
                <w:lang w:eastAsia="en-AU"/>
              </w:rPr>
              <w:t xml:space="preserve">    (Commercial Plans - up to 10 pages, more pages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Demolitions </w:t>
            </w:r>
            <w:proofErr w:type="gramStart"/>
            <w:r w:rsidRPr="00715BEC">
              <w:rPr>
                <w:rFonts w:ascii="Calibri" w:eastAsia="Times New Roman" w:hAnsi="Calibri" w:cs="Calibri"/>
                <w:color w:val="000000"/>
                <w:sz w:val="16"/>
                <w:szCs w:val="16"/>
                <w:lang w:eastAsia="en-AU"/>
              </w:rPr>
              <w:t>Commercial  (</w:t>
            </w:r>
            <w:proofErr w:type="gramEnd"/>
            <w:r w:rsidRPr="00715BEC">
              <w:rPr>
                <w:rFonts w:ascii="Calibri" w:eastAsia="Times New Roman" w:hAnsi="Calibri" w:cs="Calibri"/>
                <w:color w:val="000000"/>
                <w:sz w:val="16"/>
                <w:szCs w:val="16"/>
                <w:lang w:eastAsia="en-AU"/>
              </w:rPr>
              <w:t>$ Fee + $680 per storey)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Demolitions Domestic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Dwellings $0 - $12,000 </w:t>
            </w:r>
            <w:proofErr w:type="spellStart"/>
            <w:r w:rsidRPr="00715BEC">
              <w:rPr>
                <w:rFonts w:ascii="Calibri" w:eastAsia="Times New Roman" w:hAnsi="Calibri" w:cs="Calibri"/>
                <w:color w:val="000000"/>
                <w:sz w:val="16"/>
                <w:szCs w:val="16"/>
                <w:lang w:eastAsia="en-AU"/>
              </w:rPr>
              <w:t>inc.</w:t>
            </w:r>
            <w:proofErr w:type="spellEnd"/>
            <w:r w:rsidRPr="00715BEC">
              <w:rPr>
                <w:rFonts w:ascii="Calibri" w:eastAsia="Times New Roman" w:hAnsi="Calibri" w:cs="Calibri"/>
                <w:color w:val="000000"/>
                <w:sz w:val="16"/>
                <w:szCs w:val="16"/>
                <w:lang w:eastAsia="en-AU"/>
              </w:rPr>
              <w:t xml:space="preserve"> 3 inspections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$12,000 - $25,000 Cost of Construction including 4 inspections ($ Fee + (2.20%)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$150,001 - $200,000 Cost of Construction including 6 inspections ($ Fee + (0.80%)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$200,001 - $250,000 Cost of Construction including 7 inspections ($ Fee + (0.90%)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$25,001 - $50,000 Cost of Construction including 4 inspections ($ Fee + (2.20%)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$250,001 - $300,000 Cost of Construction including 7 inspections ($ Fee + (0.99%)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Dwellings $50,001 - $100,000 Cost of Construction including 4 inspections ($ Fee + (0.80%)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Dwellings &gt; </w:t>
            </w:r>
            <w:proofErr w:type="gramStart"/>
            <w:r w:rsidRPr="00715BEC">
              <w:rPr>
                <w:rFonts w:ascii="Calibri" w:eastAsia="Times New Roman" w:hAnsi="Calibri" w:cs="Calibri"/>
                <w:color w:val="000000"/>
                <w:sz w:val="16"/>
                <w:szCs w:val="16"/>
                <w:lang w:eastAsia="en-AU"/>
              </w:rPr>
              <w:t>$300,000 unit</w:t>
            </w:r>
            <w:proofErr w:type="gramEnd"/>
            <w:r w:rsidRPr="00715BEC">
              <w:rPr>
                <w:rFonts w:ascii="Calibri" w:eastAsia="Times New Roman" w:hAnsi="Calibri" w:cs="Calibri"/>
                <w:color w:val="000000"/>
                <w:sz w:val="16"/>
                <w:szCs w:val="16"/>
                <w:lang w:eastAsia="en-AU"/>
              </w:rPr>
              <w:t xml:space="preserve"> development (Price on Application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Extension of Time for </w:t>
            </w:r>
            <w:proofErr w:type="gramStart"/>
            <w:r w:rsidRPr="00715BEC">
              <w:rPr>
                <w:rFonts w:ascii="Calibri" w:eastAsia="Times New Roman" w:hAnsi="Calibri" w:cs="Calibri"/>
                <w:color w:val="000000"/>
                <w:sz w:val="16"/>
                <w:szCs w:val="16"/>
                <w:lang w:eastAsia="en-AU"/>
              </w:rPr>
              <w:t>Permits  Class</w:t>
            </w:r>
            <w:proofErr w:type="gramEnd"/>
            <w:r w:rsidRPr="00715BEC">
              <w:rPr>
                <w:rFonts w:ascii="Calibri" w:eastAsia="Times New Roman" w:hAnsi="Calibri" w:cs="Calibri"/>
                <w:color w:val="000000"/>
                <w:sz w:val="16"/>
                <w:szCs w:val="16"/>
                <w:lang w:eastAsia="en-AU"/>
              </w:rPr>
              <w:t xml:space="preserve"> 2 - 9</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Extension of Time for Permits Class 1 or 10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Fences/Ret Walls/Masts/Poles $100,000 + (Price on Application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Fences/Ret Walls/Masts/Poles $30,001 - $50,000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Fences/Ret Walls/Masts/Poles $50,001 - $100,000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Fences/Ret Walls/Masts/Poles$ 0 - $30,000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Lodgement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124.93</w:t>
            </w:r>
          </w:p>
        </w:tc>
      </w:tr>
      <w:tr w:rsidR="00715BEC" w:rsidRPr="00715BEC" w:rsidTr="004B2F64">
        <w:trPr>
          <w:trHeight w:val="52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Reg 326 (1), (2) &amp; (3). Owner or mortgagee of building or land or prescribed building practitioner requesting information in respect to building or land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48.42</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Pools and Spas $12,001 - $20,000 ($ Fee + (0.1%)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Pools and Spas $20,001 - $40,000 ($ Fee + (1.20%)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Pools and Spas $40,001 - $60,000 ($ Fee + (1.80%) of building works)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Pools and Spas $60,001 + (Price on Application POA)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Pools and Spas Temp Pool Barrier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Price on Application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 Audit Compliance Lodgement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20.94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 Audit Non-Compliance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394.68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 Audit Fee-Registration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32.63</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Swimming Pool Audit Fee-Search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48.42</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Asset Protection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Asset Protection </w:t>
            </w:r>
            <w:proofErr w:type="gramStart"/>
            <w:r w:rsidRPr="00715BEC">
              <w:rPr>
                <w:rFonts w:ascii="Calibri" w:eastAsia="Times New Roman" w:hAnsi="Calibri" w:cs="Calibri"/>
                <w:color w:val="000000"/>
                <w:sz w:val="16"/>
                <w:szCs w:val="16"/>
                <w:lang w:eastAsia="en-AU"/>
              </w:rPr>
              <w:t>-  Industrial</w:t>
            </w:r>
            <w:proofErr w:type="gramEnd"/>
            <w:r w:rsidRPr="00715BEC">
              <w:rPr>
                <w:rFonts w:ascii="Calibri" w:eastAsia="Times New Roman" w:hAnsi="Calibri" w:cs="Calibri"/>
                <w:color w:val="000000"/>
                <w:sz w:val="16"/>
                <w:szCs w:val="16"/>
                <w:lang w:eastAsia="en-AU"/>
              </w:rPr>
              <w:t>/Commercial/Warehouse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653.00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Asset Protection </w:t>
            </w:r>
            <w:proofErr w:type="gramStart"/>
            <w:r w:rsidRPr="00715BEC">
              <w:rPr>
                <w:rFonts w:ascii="Calibri" w:eastAsia="Times New Roman" w:hAnsi="Calibri" w:cs="Calibri"/>
                <w:color w:val="000000"/>
                <w:sz w:val="16"/>
                <w:szCs w:val="16"/>
                <w:lang w:eastAsia="en-AU"/>
              </w:rPr>
              <w:t xml:space="preserve">-  </w:t>
            </w:r>
            <w:proofErr w:type="spellStart"/>
            <w:r w:rsidRPr="00715BEC">
              <w:rPr>
                <w:rFonts w:ascii="Calibri" w:eastAsia="Times New Roman" w:hAnsi="Calibri" w:cs="Calibri"/>
                <w:color w:val="000000"/>
                <w:sz w:val="16"/>
                <w:szCs w:val="16"/>
                <w:lang w:eastAsia="en-AU"/>
              </w:rPr>
              <w:t>Verandah</w:t>
            </w:r>
            <w:proofErr w:type="spellEnd"/>
            <w:proofErr w:type="gramEnd"/>
            <w:r w:rsidRPr="00715BEC">
              <w:rPr>
                <w:rFonts w:ascii="Calibri" w:eastAsia="Times New Roman" w:hAnsi="Calibri" w:cs="Calibri"/>
                <w:color w:val="000000"/>
                <w:sz w:val="16"/>
                <w:szCs w:val="16"/>
                <w:lang w:eastAsia="en-AU"/>
              </w:rPr>
              <w:t>/Decks/Pergola/Alfresco/small shed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381.00</w:t>
            </w:r>
          </w:p>
        </w:tc>
      </w:tr>
      <w:tr w:rsidR="00715BEC" w:rsidRPr="00715BEC" w:rsidTr="004B2F64">
        <w:trPr>
          <w:trHeight w:val="53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Asset Protection - Demolition/New dwelling/Swimming pool/spa/Garage/Carport/large shed/</w:t>
            </w:r>
            <w:proofErr w:type="spellStart"/>
            <w:r w:rsidRPr="00715BEC">
              <w:rPr>
                <w:rFonts w:ascii="Calibri" w:eastAsia="Times New Roman" w:hAnsi="Calibri" w:cs="Calibri"/>
                <w:color w:val="000000"/>
                <w:sz w:val="16"/>
                <w:szCs w:val="16"/>
                <w:lang w:eastAsia="en-AU"/>
              </w:rPr>
              <w:t>Dpu</w:t>
            </w:r>
            <w:proofErr w:type="spellEnd"/>
            <w:r w:rsidRPr="00715BEC">
              <w:rPr>
                <w:rFonts w:ascii="Calibri" w:eastAsia="Times New Roman" w:hAnsi="Calibri" w:cs="Calibri"/>
                <w:color w:val="000000"/>
                <w:sz w:val="16"/>
                <w:szCs w:val="16"/>
                <w:lang w:eastAsia="en-AU"/>
              </w:rPr>
              <w:t>/Extension/Addition/Alteration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Multi Dwelling - 10+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1,305.00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Multi Dwelling - 2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653.00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Multi Dwelling - 3 -5</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870.00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Multi Dwelling - 6 -9</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1,087.00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Multi storey </w:t>
            </w:r>
            <w:proofErr w:type="gramStart"/>
            <w:r w:rsidRPr="00715BEC">
              <w:rPr>
                <w:rFonts w:ascii="Calibri" w:eastAsia="Times New Roman" w:hAnsi="Calibri" w:cs="Calibri"/>
                <w:color w:val="000000"/>
                <w:sz w:val="16"/>
                <w:szCs w:val="16"/>
                <w:lang w:eastAsia="en-AU"/>
              </w:rPr>
              <w:t>development  -</w:t>
            </w:r>
            <w:proofErr w:type="gramEnd"/>
            <w:r w:rsidRPr="00715BEC">
              <w:rPr>
                <w:rFonts w:ascii="Calibri" w:eastAsia="Times New Roman" w:hAnsi="Calibri" w:cs="Calibri"/>
                <w:color w:val="000000"/>
                <w:sz w:val="16"/>
                <w:szCs w:val="16"/>
                <w:lang w:eastAsia="en-AU"/>
              </w:rPr>
              <w:t xml:space="preserve"> 2-4</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1,631.00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Multi storey </w:t>
            </w:r>
            <w:proofErr w:type="gramStart"/>
            <w:r w:rsidRPr="00715BEC">
              <w:rPr>
                <w:rFonts w:ascii="Calibri" w:eastAsia="Times New Roman" w:hAnsi="Calibri" w:cs="Calibri"/>
                <w:color w:val="000000"/>
                <w:sz w:val="16"/>
                <w:szCs w:val="16"/>
                <w:lang w:eastAsia="en-AU"/>
              </w:rPr>
              <w:t>development  -</w:t>
            </w:r>
            <w:proofErr w:type="gramEnd"/>
            <w:r w:rsidRPr="00715BEC">
              <w:rPr>
                <w:rFonts w:ascii="Calibri" w:eastAsia="Times New Roman" w:hAnsi="Calibri" w:cs="Calibri"/>
                <w:color w:val="000000"/>
                <w:sz w:val="16"/>
                <w:szCs w:val="16"/>
                <w:lang w:eastAsia="en-AU"/>
              </w:rPr>
              <w:t xml:space="preserve"> 5+</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2,174.00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Operations</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Use of </w:t>
            </w:r>
            <w:proofErr w:type="spellStart"/>
            <w:r w:rsidRPr="00715BEC">
              <w:rPr>
                <w:rFonts w:ascii="Calibri" w:eastAsia="Times New Roman" w:hAnsi="Calibri" w:cs="Calibri"/>
                <w:color w:val="000000"/>
                <w:sz w:val="16"/>
                <w:szCs w:val="16"/>
                <w:lang w:eastAsia="en-AU"/>
              </w:rPr>
              <w:t>Marveloo</w:t>
            </w:r>
            <w:proofErr w:type="spellEnd"/>
            <w:r w:rsidRPr="00715BEC">
              <w:rPr>
                <w:rFonts w:ascii="Calibri" w:eastAsia="Times New Roman" w:hAnsi="Calibri" w:cs="Calibri"/>
                <w:color w:val="000000"/>
                <w:sz w:val="16"/>
                <w:szCs w:val="16"/>
                <w:lang w:eastAsia="en-AU"/>
              </w:rPr>
              <w:t xml:space="preserve"> (varies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Health, Local Laws &amp; Emergency</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Community Health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Prescribed Accommodation Registration/Renewal 4 - 20 Beds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Prescribed Accommodation Registration/Renewal 21 - 40 Beds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Prescribed Accommodation Registration/Renewal (more than 41 bedrooms)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Prescribed Accommodation - Rooming House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Community Health Education Seminar (2 Hours) / Min grp 10 people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Community Health Education Seminar (per person over minimum)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Events/Fetes once-off/Short term registration (CLASS 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Class 1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Food Premises Registration/Renewal Fees Class 2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Class 3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Class 2 Additional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260.00</w:t>
            </w:r>
          </w:p>
        </w:tc>
      </w:tr>
      <w:tr w:rsidR="00715BEC" w:rsidRPr="00715BEC" w:rsidTr="004B2F64">
        <w:trPr>
          <w:trHeight w:val="42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Food Premises Registration/Renewal Fees Class 2 </w:t>
            </w:r>
            <w:proofErr w:type="spellStart"/>
            <w:r w:rsidRPr="00715BEC">
              <w:rPr>
                <w:rFonts w:ascii="Calibri" w:eastAsia="Times New Roman" w:hAnsi="Calibri" w:cs="Calibri"/>
                <w:sz w:val="16"/>
                <w:szCs w:val="16"/>
                <w:lang w:eastAsia="en-AU"/>
              </w:rPr>
              <w:t>Streatrader</w:t>
            </w:r>
            <w:proofErr w:type="spellEnd"/>
            <w:r w:rsidRPr="00715BEC">
              <w:rPr>
                <w:rFonts w:ascii="Calibri" w:eastAsia="Times New Roman" w:hAnsi="Calibri" w:cs="Calibri"/>
                <w:sz w:val="16"/>
                <w:szCs w:val="16"/>
                <w:lang w:eastAsia="en-AU"/>
              </w:rPr>
              <w:t xml:space="preserve"> Temporary Mobile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Class 3 Additional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195.00</w:t>
            </w:r>
          </w:p>
        </w:tc>
      </w:tr>
      <w:tr w:rsidR="00715BEC" w:rsidRPr="00715BEC" w:rsidTr="004B2F64">
        <w:trPr>
          <w:trHeight w:val="4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Food Premises Registration/Renewal Fees Class 3 </w:t>
            </w:r>
            <w:proofErr w:type="spellStart"/>
            <w:r w:rsidRPr="00715BEC">
              <w:rPr>
                <w:rFonts w:ascii="Calibri" w:eastAsia="Times New Roman" w:hAnsi="Calibri" w:cs="Calibri"/>
                <w:color w:val="000000"/>
                <w:sz w:val="16"/>
                <w:szCs w:val="16"/>
                <w:lang w:eastAsia="en-AU"/>
              </w:rPr>
              <w:t>Streatrader</w:t>
            </w:r>
            <w:proofErr w:type="spellEnd"/>
            <w:r w:rsidRPr="00715BEC">
              <w:rPr>
                <w:rFonts w:ascii="Calibri" w:eastAsia="Times New Roman" w:hAnsi="Calibri" w:cs="Calibri"/>
                <w:color w:val="000000"/>
                <w:sz w:val="16"/>
                <w:szCs w:val="16"/>
                <w:lang w:eastAsia="en-AU"/>
              </w:rPr>
              <w:t xml:space="preserve"> Temporary Mobile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385.00</w:t>
            </w:r>
          </w:p>
        </w:tc>
      </w:tr>
      <w:tr w:rsidR="00715BEC" w:rsidRPr="00715BEC" w:rsidTr="004B2F64">
        <w:trPr>
          <w:trHeight w:val="42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Food Premises Registration/Renewal Fees Food Class 2 Premises - Community/Sports Groups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255.00</w:t>
            </w:r>
          </w:p>
        </w:tc>
      </w:tr>
      <w:tr w:rsidR="00715BEC" w:rsidRPr="00715BEC" w:rsidTr="004B2F64">
        <w:trPr>
          <w:trHeight w:val="42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Food Premises Registration/Renewal Fees Food Class 3 Premises - Community/Sports Groups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Food Premises Additional Inspection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Transfer (Class 1,2 &amp; 3)</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Plans Assessment (Optional)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Wastewater Application - Additional Compliance Inspection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Wastewater Application - Permit to Install/alter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365.00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Wastewater Application - Permit to Use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Very Large Manufactures &amp; Supermarkets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2,480.00</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Registration/Renewal Fees Very Large Restaurants/Cafes/Hotels/Clubs (&gt;100 seats)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Premises Additional Inspection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Premises one-off Registration - Low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Premises Registration/Renewal Fee - Low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Premises Registration/Renewal Fee - Medium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Health Premises Registration/Renewal </w:t>
            </w:r>
            <w:proofErr w:type="gramStart"/>
            <w:r w:rsidRPr="00715BEC">
              <w:rPr>
                <w:rFonts w:ascii="Calibri" w:eastAsia="Times New Roman" w:hAnsi="Calibri" w:cs="Calibri"/>
                <w:color w:val="000000"/>
                <w:sz w:val="16"/>
                <w:szCs w:val="16"/>
                <w:lang w:eastAsia="en-AU"/>
              </w:rPr>
              <w:t>Fee  -</w:t>
            </w:r>
            <w:proofErr w:type="gramEnd"/>
            <w:r w:rsidRPr="00715BEC">
              <w:rPr>
                <w:rFonts w:ascii="Calibri" w:eastAsia="Times New Roman" w:hAnsi="Calibri" w:cs="Calibri"/>
                <w:color w:val="000000"/>
                <w:sz w:val="16"/>
                <w:szCs w:val="16"/>
                <w:lang w:eastAsia="en-AU"/>
              </w:rPr>
              <w:t xml:space="preserve"> High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Renewal High Risk category - Very Large Manufacturers/Supermarkets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2,911.00</w:t>
            </w:r>
          </w:p>
        </w:tc>
      </w:tr>
      <w:tr w:rsidR="00715BEC" w:rsidRPr="00715BEC" w:rsidTr="004B2F64">
        <w:trPr>
          <w:trHeight w:val="5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Renewal High Risk category - Very Large Restaurants/Cafes/Hotels/Clubs (&gt;100 seats)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Food Premises Renewal - Low Risk category (Class 3)</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Food Premises </w:t>
            </w:r>
            <w:proofErr w:type="gramStart"/>
            <w:r w:rsidRPr="00715BEC">
              <w:rPr>
                <w:rFonts w:ascii="Calibri" w:eastAsia="Times New Roman" w:hAnsi="Calibri" w:cs="Calibri"/>
                <w:sz w:val="16"/>
                <w:szCs w:val="16"/>
                <w:lang w:eastAsia="en-AU"/>
              </w:rPr>
              <w:t>renewal  High</w:t>
            </w:r>
            <w:proofErr w:type="gramEnd"/>
            <w:r w:rsidRPr="00715BEC">
              <w:rPr>
                <w:rFonts w:ascii="Calibri" w:eastAsia="Times New Roman" w:hAnsi="Calibri" w:cs="Calibri"/>
                <w:sz w:val="16"/>
                <w:szCs w:val="16"/>
                <w:lang w:eastAsia="en-AU"/>
              </w:rPr>
              <w:t xml:space="preserve"> Risk Category- Class 1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Food Premises renewal High Risk Category- Class 2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lastRenderedPageBreak/>
              <w:t>Food Premises renewal - Class 3 (compliant over 2 years)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Registration/Renewal Late Payment Administration Fee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(NEW) Health Premises Renewal - High Risk Assessment Result (2 inspections)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Premises Additional Inspection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 Food Class 1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 Food Class 2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 Food Class 2 Premises - Community/Sports Groups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 Food Class 3 Premises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 Food Class 3 Premises - Community/Sports Groups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Fees Health Premises - Low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Fees Health Premises - Medium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Fees Health Premises - High Risk Activities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Fees Food Manufacturers &amp; Supermarkets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Pre-application Fees Restaurants/Cafes/Hotels/Clubs (&gt;100 seats)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Transfer Inspection Report - All premises types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Transfer Inspection </w:t>
            </w:r>
            <w:proofErr w:type="gramStart"/>
            <w:r w:rsidRPr="00715BEC">
              <w:rPr>
                <w:rFonts w:ascii="Calibri" w:eastAsia="Times New Roman" w:hAnsi="Calibri" w:cs="Calibri"/>
                <w:color w:val="000000"/>
                <w:sz w:val="16"/>
                <w:szCs w:val="16"/>
                <w:lang w:eastAsia="en-AU"/>
              </w:rPr>
              <w:t>Report  -</w:t>
            </w:r>
            <w:proofErr w:type="gramEnd"/>
            <w:r w:rsidRPr="00715BEC">
              <w:rPr>
                <w:rFonts w:ascii="Calibri" w:eastAsia="Times New Roman" w:hAnsi="Calibri" w:cs="Calibri"/>
                <w:color w:val="000000"/>
                <w:sz w:val="16"/>
                <w:szCs w:val="16"/>
                <w:lang w:eastAsia="en-AU"/>
              </w:rPr>
              <w:t xml:space="preserve"> All premises types - less than 5 Days Notification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Wastewater Application - LCA Assessment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Local Laws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Footpath Trading area </w:t>
            </w:r>
            <w:proofErr w:type="gramStart"/>
            <w:r w:rsidRPr="00715BEC">
              <w:rPr>
                <w:rFonts w:ascii="Calibri" w:eastAsia="Times New Roman" w:hAnsi="Calibri" w:cs="Calibri"/>
                <w:color w:val="000000"/>
                <w:sz w:val="16"/>
                <w:szCs w:val="16"/>
                <w:lang w:eastAsia="en-AU"/>
              </w:rPr>
              <w:t>in excess of</w:t>
            </w:r>
            <w:proofErr w:type="gramEnd"/>
            <w:r w:rsidRPr="00715BEC">
              <w:rPr>
                <w:rFonts w:ascii="Calibri" w:eastAsia="Times New Roman" w:hAnsi="Calibri" w:cs="Calibri"/>
                <w:color w:val="000000"/>
                <w:sz w:val="16"/>
                <w:szCs w:val="16"/>
                <w:lang w:eastAsia="en-AU"/>
              </w:rPr>
              <w:t xml:space="preserve"> 6m2 (per square metre)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Commercial Waste Bin to be stored on Council land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Footpath Trading -1 category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Footpath Trading - 2 categories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Footpath Trading - 3 categories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330.00</w:t>
            </w:r>
          </w:p>
        </w:tc>
      </w:tr>
      <w:tr w:rsidR="00715BEC" w:rsidRPr="00715BEC" w:rsidTr="004B2F64">
        <w:trPr>
          <w:trHeight w:val="53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waste bin to be left on nature strip (Contractor not individual person) 1 to 3 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76.00</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waste bin to be left on nature strip (Contractor not individual person) 4 to 8 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127.00</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for waste bin to be left on nature strip (Contractor not individual person) 9 + 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to burn off</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to keep additional animals (annual renewal)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to sell goods i.e. Street Stalls - per annum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2,582.00</w:t>
            </w:r>
          </w:p>
        </w:tc>
      </w:tr>
      <w:tr w:rsidR="00715BEC" w:rsidRPr="00715BEC" w:rsidTr="004B2F64">
        <w:trPr>
          <w:trHeight w:val="44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Fines - Litter Environmental Protection Act 1974 regulates amount reviewed by Dept Justice on 1st July each </w:t>
            </w:r>
            <w:proofErr w:type="spellStart"/>
            <w:r w:rsidRPr="00715BEC">
              <w:rPr>
                <w:rFonts w:ascii="Calibri" w:eastAsia="Times New Roman" w:hAnsi="Calibri" w:cs="Calibri"/>
                <w:color w:val="000000"/>
                <w:sz w:val="16"/>
                <w:szCs w:val="16"/>
                <w:lang w:eastAsia="en-AU"/>
              </w:rPr>
              <w:t>yr</w:t>
            </w:r>
            <w:proofErr w:type="spellEnd"/>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22,000.00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Permits Real Estate Multiple Boards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Permits Street Performance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Administration fee - Compulsory Clearance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Impound fee </w:t>
            </w:r>
            <w:proofErr w:type="gramStart"/>
            <w:r w:rsidRPr="00715BEC">
              <w:rPr>
                <w:rFonts w:ascii="Calibri" w:eastAsia="Times New Roman" w:hAnsi="Calibri" w:cs="Calibri"/>
                <w:color w:val="000000"/>
                <w:sz w:val="16"/>
                <w:szCs w:val="16"/>
                <w:lang w:eastAsia="en-AU"/>
              </w:rPr>
              <w:t>-  small</w:t>
            </w:r>
            <w:proofErr w:type="gramEnd"/>
            <w:r w:rsidRPr="00715BEC">
              <w:rPr>
                <w:rFonts w:ascii="Calibri" w:eastAsia="Times New Roman" w:hAnsi="Calibri" w:cs="Calibri"/>
                <w:color w:val="000000"/>
                <w:sz w:val="16"/>
                <w:szCs w:val="16"/>
                <w:lang w:eastAsia="en-AU"/>
              </w:rPr>
              <w:t xml:space="preserve"> items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Impound fee - large items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Animals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Animal Registrations - All other Cats to which the reduced fee does not apply.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Animal Registrations - All other dogs to which a reduced fee does not apply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Animal Registrations - </w:t>
            </w:r>
            <w:proofErr w:type="spellStart"/>
            <w:r w:rsidRPr="00715BEC">
              <w:rPr>
                <w:rFonts w:ascii="Calibri" w:eastAsia="Times New Roman" w:hAnsi="Calibri" w:cs="Calibri"/>
                <w:color w:val="000000"/>
                <w:sz w:val="16"/>
                <w:szCs w:val="16"/>
                <w:lang w:eastAsia="en-AU"/>
              </w:rPr>
              <w:t>Desexed</w:t>
            </w:r>
            <w:proofErr w:type="spellEnd"/>
            <w:r w:rsidRPr="00715BEC">
              <w:rPr>
                <w:rFonts w:ascii="Calibri" w:eastAsia="Times New Roman" w:hAnsi="Calibri" w:cs="Calibri"/>
                <w:color w:val="000000"/>
                <w:sz w:val="16"/>
                <w:szCs w:val="16"/>
                <w:lang w:eastAsia="en-AU"/>
              </w:rPr>
              <w:t xml:space="preserve"> &amp; Microchipped Cats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Animal Registrations - Dogs </w:t>
            </w:r>
            <w:proofErr w:type="spellStart"/>
            <w:r w:rsidRPr="00715BEC">
              <w:rPr>
                <w:rFonts w:ascii="Calibri" w:eastAsia="Times New Roman" w:hAnsi="Calibri" w:cs="Calibri"/>
                <w:color w:val="000000"/>
                <w:sz w:val="16"/>
                <w:szCs w:val="16"/>
                <w:lang w:eastAsia="en-AU"/>
              </w:rPr>
              <w:t>Desexed</w:t>
            </w:r>
            <w:proofErr w:type="spellEnd"/>
            <w:r w:rsidRPr="00715BEC">
              <w:rPr>
                <w:rFonts w:ascii="Calibri" w:eastAsia="Times New Roman" w:hAnsi="Calibri" w:cs="Calibri"/>
                <w:color w:val="000000"/>
                <w:sz w:val="16"/>
                <w:szCs w:val="16"/>
                <w:lang w:eastAsia="en-AU"/>
              </w:rPr>
              <w:t xml:space="preserve"> &amp; Microchipped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Domestic Animal Business Registration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225.00</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Animal Registrations Dangerous Dog. Includes dogs declared menacing &amp; all restricted breeds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Animal Registrations Pensioner/Concession - Cats </w:t>
            </w:r>
            <w:proofErr w:type="spellStart"/>
            <w:r w:rsidRPr="00715BEC">
              <w:rPr>
                <w:rFonts w:ascii="Calibri" w:eastAsia="Times New Roman" w:hAnsi="Calibri" w:cs="Calibri"/>
                <w:color w:val="000000"/>
                <w:sz w:val="16"/>
                <w:szCs w:val="16"/>
                <w:lang w:eastAsia="en-AU"/>
              </w:rPr>
              <w:t>Desexed</w:t>
            </w:r>
            <w:proofErr w:type="spellEnd"/>
            <w:r w:rsidRPr="00715BEC">
              <w:rPr>
                <w:rFonts w:ascii="Calibri" w:eastAsia="Times New Roman" w:hAnsi="Calibri" w:cs="Calibri"/>
                <w:color w:val="000000"/>
                <w:sz w:val="16"/>
                <w:szCs w:val="16"/>
                <w:lang w:eastAsia="en-AU"/>
              </w:rPr>
              <w:t xml:space="preserve"> &amp; Microchipped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Animal Registrations Pensioner/Concession - Cats Entire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Animal Registrations Pensioner/Concession - Dogs </w:t>
            </w:r>
            <w:proofErr w:type="spellStart"/>
            <w:r w:rsidRPr="00715BEC">
              <w:rPr>
                <w:rFonts w:ascii="Calibri" w:eastAsia="Times New Roman" w:hAnsi="Calibri" w:cs="Calibri"/>
                <w:color w:val="000000"/>
                <w:sz w:val="16"/>
                <w:szCs w:val="16"/>
                <w:lang w:eastAsia="en-AU"/>
              </w:rPr>
              <w:t>Desexed</w:t>
            </w:r>
            <w:proofErr w:type="spellEnd"/>
            <w:r w:rsidRPr="00715BEC">
              <w:rPr>
                <w:rFonts w:ascii="Calibri" w:eastAsia="Times New Roman" w:hAnsi="Calibri" w:cs="Calibri"/>
                <w:color w:val="000000"/>
                <w:sz w:val="16"/>
                <w:szCs w:val="16"/>
                <w:lang w:eastAsia="en-AU"/>
              </w:rPr>
              <w:t xml:space="preserve"> &amp; Microchipped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Animal Registrations Pensioner/Concession - Dogs Entire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to keep additional animals (annual renewal)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Traffic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Traders Vehicle 12 months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Traders Vehicle 6 months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80.00</w:t>
            </w:r>
          </w:p>
        </w:tc>
      </w:tr>
      <w:tr w:rsidR="00715BEC" w:rsidRPr="00715BEC" w:rsidTr="004B2F64">
        <w:trPr>
          <w:trHeight w:val="43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Parking Road Safety (General) Regulations 2019 "Green Sign" Offence Codes 701 - 714 (0.5 penalty unit)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87.00</w:t>
            </w:r>
          </w:p>
        </w:tc>
      </w:tr>
      <w:tr w:rsidR="00715BEC" w:rsidRPr="00715BEC" w:rsidTr="004B2F64">
        <w:trPr>
          <w:trHeight w:val="42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Parking Road Safety (General) Regulations 2019 Offence Codes 715 - 808 </w:t>
            </w:r>
            <w:proofErr w:type="gramStart"/>
            <w:r w:rsidRPr="00715BEC">
              <w:rPr>
                <w:rFonts w:ascii="Calibri" w:eastAsia="Times New Roman" w:hAnsi="Calibri" w:cs="Calibri"/>
                <w:sz w:val="16"/>
                <w:szCs w:val="16"/>
                <w:lang w:eastAsia="en-AU"/>
              </w:rPr>
              <w:t xml:space="preserve">   (</w:t>
            </w:r>
            <w:proofErr w:type="gramEnd"/>
            <w:r w:rsidRPr="00715BEC">
              <w:rPr>
                <w:rFonts w:ascii="Calibri" w:eastAsia="Times New Roman" w:hAnsi="Calibri" w:cs="Calibri"/>
                <w:sz w:val="16"/>
                <w:szCs w:val="16"/>
                <w:lang w:eastAsia="en-AU"/>
              </w:rPr>
              <w:t>0.6 penalty unit)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RCAD Permit builder/Contractor Vehicle Weekly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RCAD Permit Vehicle 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RCAD Permit Vehicle 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RCAD Permit Vehicle 3</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RCAD Permit Visitor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Statutory Offences Fine prescribed in Road Rules </w:t>
            </w:r>
            <w:proofErr w:type="gramStart"/>
            <w:r w:rsidRPr="00715BEC">
              <w:rPr>
                <w:rFonts w:ascii="Calibri" w:eastAsia="Times New Roman" w:hAnsi="Calibri" w:cs="Calibri"/>
                <w:sz w:val="16"/>
                <w:szCs w:val="16"/>
                <w:lang w:eastAsia="en-AU"/>
              </w:rPr>
              <w:t>Victoria  (</w:t>
            </w:r>
            <w:proofErr w:type="gramEnd"/>
            <w:r w:rsidRPr="00715BEC">
              <w:rPr>
                <w:rFonts w:ascii="Calibri" w:eastAsia="Times New Roman" w:hAnsi="Calibri" w:cs="Calibri"/>
                <w:sz w:val="16"/>
                <w:szCs w:val="16"/>
                <w:lang w:eastAsia="en-AU"/>
              </w:rPr>
              <w:t>1 Penalty unit)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Abandoned vehicles reclaim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Immunisation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Chicken pox</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Hepatitis B</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Influenza per dose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Diphtheria Tetanus Pertussis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Meningococcal ACYW</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Statutory Planning</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120.75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173.25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225.75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 Tree removal Permit Fees: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A3 Size - Black &amp; White per copy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A4 </w:t>
            </w:r>
            <w:proofErr w:type="gramStart"/>
            <w:r w:rsidRPr="00715BEC">
              <w:rPr>
                <w:rFonts w:ascii="Calibri" w:eastAsia="Times New Roman" w:hAnsi="Calibri" w:cs="Calibri"/>
                <w:color w:val="000000"/>
                <w:sz w:val="16"/>
                <w:szCs w:val="16"/>
                <w:lang w:eastAsia="en-AU"/>
              </w:rPr>
              <w:t>Size  -</w:t>
            </w:r>
            <w:proofErr w:type="gramEnd"/>
            <w:r w:rsidRPr="00715BEC">
              <w:rPr>
                <w:rFonts w:ascii="Calibri" w:eastAsia="Times New Roman" w:hAnsi="Calibri" w:cs="Calibri"/>
                <w:color w:val="000000"/>
                <w:sz w:val="16"/>
                <w:szCs w:val="16"/>
                <w:lang w:eastAsia="en-AU"/>
              </w:rPr>
              <w:t xml:space="preserve"> Black &amp; White per copy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0.32</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A1 Size - Black &amp; White per copy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22.84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 Alteration of a plan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113.85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Applications,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Other subdivision fee: re-</w:t>
            </w:r>
            <w:proofErr w:type="gramStart"/>
            <w:r w:rsidRPr="00715BEC">
              <w:rPr>
                <w:rFonts w:ascii="Calibri" w:eastAsia="Times New Roman" w:hAnsi="Calibri" w:cs="Calibri"/>
                <w:color w:val="000000"/>
                <w:sz w:val="16"/>
                <w:szCs w:val="16"/>
                <w:lang w:eastAsia="en-AU"/>
              </w:rPr>
              <w:t>cert(</w:t>
            </w:r>
            <w:proofErr w:type="gramEnd"/>
            <w:r w:rsidRPr="00715BEC">
              <w:rPr>
                <w:rFonts w:ascii="Calibri" w:eastAsia="Times New Roman" w:hAnsi="Calibri" w:cs="Calibri"/>
                <w:color w:val="000000"/>
                <w:sz w:val="16"/>
                <w:szCs w:val="16"/>
                <w:lang w:eastAsia="en-AU"/>
              </w:rPr>
              <w:t>second time),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144.21</w:t>
            </w:r>
          </w:p>
        </w:tc>
      </w:tr>
      <w:tr w:rsidR="00715BEC" w:rsidRPr="00715BEC" w:rsidTr="004B2F64">
        <w:trPr>
          <w:trHeight w:val="5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more than $50M (50% discount to this fee applies until 12/10/2017)</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59,111.89</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 permit not otherwise provided for in the regulation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more than $100,000 to $1M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1,586.34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more than $15M to $50M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26,299.78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more than $1M to $5M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3,499.05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more than $5M to $15M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8,918.40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All other development up to $100,000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1,176.47</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Amend or end a section 173 agreement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675.52</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Amendment to a permit to change the permit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Certificate of compliance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333.97</w:t>
            </w:r>
          </w:p>
        </w:tc>
      </w:tr>
      <w:tr w:rsidR="00715BEC" w:rsidRPr="00715BEC" w:rsidTr="004B2F64">
        <w:trPr>
          <w:trHeight w:val="5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Determination to the satisfaction of Council (Includes secondary consent amendment applications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342.09</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Extension of Permit/Time, Planning &amp; Environment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Fences, Act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General Planning Information request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174.30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Infringements-Company,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1,693.51</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Infringements-Individual,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846.75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Permit Requests ($80 for each thereafter)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Public Notices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194.25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Single </w:t>
            </w:r>
            <w:proofErr w:type="gramStart"/>
            <w:r w:rsidRPr="00715BEC">
              <w:rPr>
                <w:rFonts w:ascii="Calibri" w:eastAsia="Times New Roman" w:hAnsi="Calibri" w:cs="Calibri"/>
                <w:color w:val="000000"/>
                <w:sz w:val="16"/>
                <w:szCs w:val="16"/>
                <w:lang w:eastAsia="en-AU"/>
              </w:rPr>
              <w:t>dwelling  (</w:t>
            </w:r>
            <w:proofErr w:type="gramEnd"/>
            <w:r w:rsidRPr="00715BEC">
              <w:rPr>
                <w:rFonts w:ascii="Calibri" w:eastAsia="Times New Roman" w:hAnsi="Calibri" w:cs="Calibri"/>
                <w:color w:val="000000"/>
                <w:sz w:val="16"/>
                <w:szCs w:val="16"/>
                <w:lang w:eastAsia="en-AU"/>
              </w:rPr>
              <w:t>Residential Zone) requests ($30 each thereafter)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119.70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more than $10,000 to $100,000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645.16</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more than $100,000 to $500,000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1,320.68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more than $500,000 to $1M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1,426.94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more than $1M to $2M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1,533.21</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Residential Information request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dwelling up to $10,000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204.93</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Siting, Act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297.68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 Amend a certified plan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144.21</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Change </w:t>
            </w:r>
            <w:proofErr w:type="gramStart"/>
            <w:r w:rsidRPr="00715BEC">
              <w:rPr>
                <w:rFonts w:ascii="Calibri" w:eastAsia="Times New Roman" w:hAnsi="Calibri" w:cs="Calibri"/>
                <w:color w:val="000000"/>
                <w:sz w:val="16"/>
                <w:szCs w:val="16"/>
                <w:lang w:eastAsia="en-AU"/>
              </w:rPr>
              <w:t>Of</w:t>
            </w:r>
            <w:proofErr w:type="gramEnd"/>
            <w:r w:rsidRPr="00715BEC">
              <w:rPr>
                <w:rFonts w:ascii="Calibri" w:eastAsia="Times New Roman" w:hAnsi="Calibri" w:cs="Calibri"/>
                <w:color w:val="000000"/>
                <w:sz w:val="16"/>
                <w:szCs w:val="16"/>
                <w:lang w:eastAsia="en-AU"/>
              </w:rPr>
              <w:t xml:space="preserve"> Use Only, P/E Act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P/E Act Fee - Boundary realignment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Subdivision: P/E Act Fee - Remove </w:t>
            </w:r>
            <w:proofErr w:type="gramStart"/>
            <w:r w:rsidRPr="00715BEC">
              <w:rPr>
                <w:rFonts w:ascii="Calibri" w:eastAsia="Times New Roman" w:hAnsi="Calibri" w:cs="Calibri"/>
                <w:color w:val="000000"/>
                <w:sz w:val="16"/>
                <w:szCs w:val="16"/>
                <w:lang w:eastAsia="en-AU"/>
              </w:rPr>
              <w:t>Restriction(</w:t>
            </w:r>
            <w:proofErr w:type="gramEnd"/>
            <w:r w:rsidRPr="00715BEC">
              <w:rPr>
                <w:rFonts w:ascii="Calibri" w:eastAsia="Times New Roman" w:hAnsi="Calibri" w:cs="Calibri"/>
                <w:color w:val="000000"/>
                <w:sz w:val="16"/>
                <w:szCs w:val="16"/>
                <w:lang w:eastAsia="en-AU"/>
              </w:rPr>
              <w:t>Covenant)-no adv req</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Subdivision: P/E Act Fee - Create, Vary </w:t>
            </w:r>
            <w:proofErr w:type="gramStart"/>
            <w:r w:rsidRPr="00715BEC">
              <w:rPr>
                <w:rFonts w:ascii="Calibri" w:eastAsia="Times New Roman" w:hAnsi="Calibri" w:cs="Calibri"/>
                <w:color w:val="000000"/>
                <w:sz w:val="16"/>
                <w:szCs w:val="16"/>
                <w:lang w:eastAsia="en-AU"/>
              </w:rPr>
              <w:t>Or</w:t>
            </w:r>
            <w:proofErr w:type="gramEnd"/>
            <w:r w:rsidRPr="00715BEC">
              <w:rPr>
                <w:rFonts w:ascii="Calibri" w:eastAsia="Times New Roman" w:hAnsi="Calibri" w:cs="Calibri"/>
                <w:color w:val="000000"/>
                <w:sz w:val="16"/>
                <w:szCs w:val="16"/>
                <w:lang w:eastAsia="en-AU"/>
              </w:rPr>
              <w:t xml:space="preserve"> Remove An Easement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Subdivision: P/E Act Fee - Create/Vary/Remove </w:t>
            </w:r>
            <w:proofErr w:type="gramStart"/>
            <w:r w:rsidRPr="00715BEC">
              <w:rPr>
                <w:rFonts w:ascii="Calibri" w:eastAsia="Times New Roman" w:hAnsi="Calibri" w:cs="Calibri"/>
                <w:color w:val="000000"/>
                <w:sz w:val="16"/>
                <w:szCs w:val="16"/>
                <w:lang w:eastAsia="en-AU"/>
              </w:rPr>
              <w:t>Restriction(</w:t>
            </w:r>
            <w:proofErr w:type="gramEnd"/>
            <w:r w:rsidRPr="00715BEC">
              <w:rPr>
                <w:rFonts w:ascii="Calibri" w:eastAsia="Times New Roman" w:hAnsi="Calibri" w:cs="Calibri"/>
                <w:color w:val="000000"/>
                <w:sz w:val="16"/>
                <w:szCs w:val="16"/>
                <w:lang w:eastAsia="en-AU"/>
              </w:rPr>
              <w:t>Covenant)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P/E Act Fee - Subdivide existing building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P/E Act Fee - Subdivide into 2 lots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Subdivision: P/E Act Fee - Subdivide into 3 or more lots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Use of land (includes car parking and liquor licence applications)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1,351.04</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r w:rsidRPr="00715BEC">
              <w:rPr>
                <w:rFonts w:ascii="Calibri" w:eastAsia="Times New Roman" w:hAnsi="Calibri" w:cs="Calibri"/>
                <w:color w:val="000000"/>
                <w:sz w:val="16"/>
                <w:szCs w:val="16"/>
                <w:lang w:eastAsia="en-AU"/>
              </w:rPr>
              <w:t>VicSmart</w:t>
            </w:r>
            <w:proofErr w:type="spellEnd"/>
            <w:r w:rsidRPr="00715BEC">
              <w:rPr>
                <w:rFonts w:ascii="Calibri" w:eastAsia="Times New Roman" w:hAnsi="Calibri" w:cs="Calibri"/>
                <w:color w:val="000000"/>
                <w:sz w:val="16"/>
                <w:szCs w:val="16"/>
                <w:lang w:eastAsia="en-AU"/>
              </w:rPr>
              <w:t xml:space="preserve"> application to subdivide or consolidate land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204.93</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r w:rsidRPr="00715BEC">
              <w:rPr>
                <w:rFonts w:ascii="Calibri" w:eastAsia="Times New Roman" w:hAnsi="Calibri" w:cs="Calibri"/>
                <w:color w:val="000000"/>
                <w:sz w:val="16"/>
                <w:szCs w:val="16"/>
                <w:lang w:eastAsia="en-AU"/>
              </w:rPr>
              <w:t>VicSmart</w:t>
            </w:r>
            <w:proofErr w:type="spellEnd"/>
            <w:r w:rsidRPr="00715BEC">
              <w:rPr>
                <w:rFonts w:ascii="Calibri" w:eastAsia="Times New Roman" w:hAnsi="Calibri" w:cs="Calibri"/>
                <w:color w:val="000000"/>
                <w:sz w:val="16"/>
                <w:szCs w:val="16"/>
                <w:lang w:eastAsia="en-AU"/>
              </w:rPr>
              <w:t xml:space="preserve"> more than $10,000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440.23</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r w:rsidRPr="00715BEC">
              <w:rPr>
                <w:rFonts w:ascii="Calibri" w:eastAsia="Times New Roman" w:hAnsi="Calibri" w:cs="Calibri"/>
                <w:color w:val="000000"/>
                <w:sz w:val="16"/>
                <w:szCs w:val="16"/>
                <w:lang w:eastAsia="en-AU"/>
              </w:rPr>
              <w:t>VicSmart</w:t>
            </w:r>
            <w:proofErr w:type="spellEnd"/>
            <w:r w:rsidRPr="00715BEC">
              <w:rPr>
                <w:rFonts w:ascii="Calibri" w:eastAsia="Times New Roman" w:hAnsi="Calibri" w:cs="Calibri"/>
                <w:color w:val="000000"/>
                <w:sz w:val="16"/>
                <w:szCs w:val="16"/>
                <w:lang w:eastAsia="en-AU"/>
              </w:rPr>
              <w:t xml:space="preserve"> up to $10,000</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204.93</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Revenue, Property &amp; Customer Service</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Revenue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DD Dishonour/Admin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Dishonoured Cheques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Land Information Certificate Fees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Copy Rate Notice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Urgent Land Information Certificate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Finance &amp; Governance</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Election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sz w:val="16"/>
                <w:szCs w:val="16"/>
                <w:lang w:eastAsia="en-AU"/>
              </w:rPr>
            </w:pPr>
            <w:r w:rsidRPr="00715BEC">
              <w:rPr>
                <w:rFonts w:ascii="Calibri" w:eastAsia="Times New Roman" w:hAnsi="Calibri" w:cs="Calibri"/>
                <w:b/>
                <w:bCs/>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Failure to vote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81.00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Leisure</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Aquanation - Casual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Family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Pensioner/Health Care Card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Waterslide - Adult/Child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Group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Shower Access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Waterslide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 (unlimited slides 4-7pm weekdays, 10am-6pm weekends, school holidays and public holidays)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8.30</w:t>
            </w:r>
          </w:p>
        </w:tc>
      </w:tr>
      <w:tr w:rsidR="00715BEC" w:rsidRPr="00715BEC" w:rsidTr="004B2F64">
        <w:trPr>
          <w:trHeight w:val="48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 (unlimited slides 4-7pm weekdays, 10am-6pm weekends, school holidays and public holidays)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Casual spa, sauna &amp; steam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Aquatic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64.80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68.40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Family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-Spa, sauna &amp; steam room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114.30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91.80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102.60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Waterslide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74.70</w:t>
            </w:r>
          </w:p>
        </w:tc>
      </w:tr>
      <w:tr w:rsidR="00715BEC" w:rsidRPr="00715BEC" w:rsidTr="004B2F64">
        <w:trPr>
          <w:trHeight w:val="32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Child/Concession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61.20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Group Swim/Slide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Aquatic Education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membership (48 weeks)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40.70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Private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Aquanation  -</w:t>
            </w:r>
            <w:proofErr w:type="gramEnd"/>
            <w:r w:rsidRPr="00715BEC">
              <w:rPr>
                <w:rFonts w:ascii="Calibri" w:eastAsia="Times New Roman" w:hAnsi="Calibri" w:cs="Calibri"/>
                <w:b/>
                <w:bCs/>
                <w:color w:val="000000"/>
                <w:sz w:val="16"/>
                <w:szCs w:val="16"/>
                <w:lang w:eastAsia="en-AU"/>
              </w:rPr>
              <w:t xml:space="preserve"> Schools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lessons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Events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 Club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Facility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25m lane hire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25m pool booking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50m lane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50m pool booking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312.00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Warm water pool booking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Warm water pool - half pool booking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Waterslide hire (hire cost only, excludes staff costs)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Dive pool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171.50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Half dive pool </w:t>
            </w:r>
            <w:proofErr w:type="gramStart"/>
            <w:r w:rsidRPr="00715BEC">
              <w:rPr>
                <w:rFonts w:ascii="Calibri" w:eastAsia="Times New Roman" w:hAnsi="Calibri" w:cs="Calibri"/>
                <w:color w:val="000000"/>
                <w:sz w:val="16"/>
                <w:szCs w:val="16"/>
                <w:lang w:eastAsia="en-AU"/>
              </w:rPr>
              <w:t>hire</w:t>
            </w:r>
            <w:proofErr w:type="gramEnd"/>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Group fitness room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Multipurpose (room 2)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Group Fitness Room Hire plus Classes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RSC Room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Cycle Studio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Dry Dive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Half Dry Dive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83.50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Crèche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Learn to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Pool booking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Lane hire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Creche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 One Child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 One Child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Creche 10 Visit Passes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85.50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105.30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Occasional care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10 </w:t>
            </w:r>
            <w:proofErr w:type="gramStart"/>
            <w:r w:rsidRPr="00715BEC">
              <w:rPr>
                <w:rFonts w:ascii="Calibri" w:eastAsia="Times New Roman" w:hAnsi="Calibri" w:cs="Calibri"/>
                <w:sz w:val="16"/>
                <w:szCs w:val="16"/>
                <w:lang w:eastAsia="en-AU"/>
              </w:rPr>
              <w:t>visit</w:t>
            </w:r>
            <w:proofErr w:type="gramEnd"/>
            <w:r w:rsidRPr="00715BEC">
              <w:rPr>
                <w:rFonts w:ascii="Calibri" w:eastAsia="Times New Roman" w:hAnsi="Calibri" w:cs="Calibri"/>
                <w:sz w:val="16"/>
                <w:szCs w:val="16"/>
                <w:lang w:eastAsia="en-AU"/>
              </w:rPr>
              <w:t xml:space="preserve"> pass Occasional care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124.20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Aquanation-Lockers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Personal Training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10 pass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10 pass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10 pass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10 pass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proofErr w:type="gramStart"/>
            <w:r w:rsidRPr="00715BEC">
              <w:rPr>
                <w:rFonts w:ascii="Calibri" w:eastAsia="Times New Roman" w:hAnsi="Calibri" w:cs="Calibri"/>
                <w:color w:val="000000"/>
                <w:sz w:val="16"/>
                <w:szCs w:val="16"/>
                <w:lang w:eastAsia="en-AU"/>
              </w:rPr>
              <w:t>Non member</w:t>
            </w:r>
            <w:proofErr w:type="spellEnd"/>
            <w:proofErr w:type="gramEnd"/>
            <w:r w:rsidRPr="00715BEC">
              <w:rPr>
                <w:rFonts w:ascii="Calibri" w:eastAsia="Times New Roman" w:hAnsi="Calibri" w:cs="Calibri"/>
                <w:color w:val="000000"/>
                <w:sz w:val="16"/>
                <w:szCs w:val="16"/>
                <w:lang w:eastAsia="en-AU"/>
              </w:rPr>
              <w:t xml:space="preserve">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spellStart"/>
            <w:r w:rsidRPr="00715BEC">
              <w:rPr>
                <w:rFonts w:ascii="Calibri" w:eastAsia="Times New Roman" w:hAnsi="Calibri" w:cs="Calibri"/>
                <w:color w:val="000000"/>
                <w:sz w:val="16"/>
                <w:szCs w:val="16"/>
                <w:lang w:eastAsia="en-AU"/>
              </w:rPr>
              <w:t>Start up</w:t>
            </w:r>
            <w:proofErr w:type="spellEnd"/>
            <w:r w:rsidRPr="00715BEC">
              <w:rPr>
                <w:rFonts w:ascii="Calibri" w:eastAsia="Times New Roman" w:hAnsi="Calibri" w:cs="Calibri"/>
                <w:color w:val="000000"/>
                <w:sz w:val="16"/>
                <w:szCs w:val="16"/>
                <w:lang w:eastAsia="en-AU"/>
              </w:rPr>
              <w:t xml:space="preserve"> Trial - 3 sessions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Casual Health Club</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Casual Group Fitness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visits 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visits 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visits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Fitness 30 min class 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Family Lifestyle Members-Dry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Individual Lifestyle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Aquanation  -</w:t>
            </w:r>
            <w:proofErr w:type="gramEnd"/>
            <w:r w:rsidRPr="00715BEC">
              <w:rPr>
                <w:rFonts w:ascii="Calibri" w:eastAsia="Times New Roman" w:hAnsi="Calibri" w:cs="Calibri"/>
                <w:b/>
                <w:bCs/>
                <w:color w:val="000000"/>
                <w:sz w:val="16"/>
                <w:szCs w:val="16"/>
                <w:lang w:eastAsia="en-AU"/>
              </w:rPr>
              <w:t xml:space="preserve"> Members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Foundation - stage 1 (35 pct. discount)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32.45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Foundation - stage 2 (30 </w:t>
            </w:r>
            <w:proofErr w:type="spellStart"/>
            <w:r w:rsidRPr="00715BEC">
              <w:rPr>
                <w:rFonts w:ascii="Calibri" w:eastAsia="Times New Roman" w:hAnsi="Calibri" w:cs="Calibri"/>
                <w:color w:val="000000"/>
                <w:sz w:val="16"/>
                <w:szCs w:val="16"/>
                <w:lang w:eastAsia="en-AU"/>
              </w:rPr>
              <w:t>pct</w:t>
            </w:r>
            <w:proofErr w:type="spellEnd"/>
            <w:r w:rsidRPr="00715BEC">
              <w:rPr>
                <w:rFonts w:ascii="Calibri" w:eastAsia="Times New Roman" w:hAnsi="Calibri" w:cs="Calibri"/>
                <w:color w:val="000000"/>
                <w:sz w:val="16"/>
                <w:szCs w:val="16"/>
                <w:lang w:eastAsia="en-AU"/>
              </w:rPr>
              <w:t xml:space="preserve"> discount)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Foundation - stage 3 (25 </w:t>
            </w:r>
            <w:proofErr w:type="spellStart"/>
            <w:r w:rsidRPr="00715BEC">
              <w:rPr>
                <w:rFonts w:ascii="Calibri" w:eastAsia="Times New Roman" w:hAnsi="Calibri" w:cs="Calibri"/>
                <w:color w:val="000000"/>
                <w:sz w:val="16"/>
                <w:szCs w:val="16"/>
                <w:lang w:eastAsia="en-AU"/>
              </w:rPr>
              <w:t>pct</w:t>
            </w:r>
            <w:proofErr w:type="spellEnd"/>
            <w:r w:rsidRPr="00715BEC">
              <w:rPr>
                <w:rFonts w:ascii="Calibri" w:eastAsia="Times New Roman" w:hAnsi="Calibri" w:cs="Calibri"/>
                <w:color w:val="000000"/>
                <w:sz w:val="16"/>
                <w:szCs w:val="16"/>
                <w:lang w:eastAsia="en-AU"/>
              </w:rPr>
              <w:t xml:space="preserve"> discount)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37.40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Foundation - stage 4 (18 </w:t>
            </w:r>
            <w:proofErr w:type="spellStart"/>
            <w:r w:rsidRPr="00715BEC">
              <w:rPr>
                <w:rFonts w:ascii="Calibri" w:eastAsia="Times New Roman" w:hAnsi="Calibri" w:cs="Calibri"/>
                <w:color w:val="000000"/>
                <w:sz w:val="16"/>
                <w:szCs w:val="16"/>
                <w:lang w:eastAsia="en-AU"/>
              </w:rPr>
              <w:t>pct</w:t>
            </w:r>
            <w:proofErr w:type="spellEnd"/>
            <w:r w:rsidRPr="00715BEC">
              <w:rPr>
                <w:rFonts w:ascii="Calibri" w:eastAsia="Times New Roman" w:hAnsi="Calibri" w:cs="Calibri"/>
                <w:color w:val="000000"/>
                <w:sz w:val="16"/>
                <w:szCs w:val="16"/>
                <w:lang w:eastAsia="en-AU"/>
              </w:rPr>
              <w:t xml:space="preserve"> discount)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40.90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Foundation - stage 5 (6.99 </w:t>
            </w:r>
            <w:proofErr w:type="spellStart"/>
            <w:r w:rsidRPr="00715BEC">
              <w:rPr>
                <w:rFonts w:ascii="Calibri" w:eastAsia="Times New Roman" w:hAnsi="Calibri" w:cs="Calibri"/>
                <w:color w:val="000000"/>
                <w:sz w:val="16"/>
                <w:szCs w:val="16"/>
                <w:lang w:eastAsia="en-AU"/>
              </w:rPr>
              <w:t>pct</w:t>
            </w:r>
            <w:proofErr w:type="spellEnd"/>
            <w:r w:rsidRPr="00715BEC">
              <w:rPr>
                <w:rFonts w:ascii="Calibri" w:eastAsia="Times New Roman" w:hAnsi="Calibri" w:cs="Calibri"/>
                <w:color w:val="000000"/>
                <w:sz w:val="16"/>
                <w:szCs w:val="16"/>
                <w:lang w:eastAsia="en-AU"/>
              </w:rPr>
              <w:t xml:space="preserve"> discount)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46.40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Swim Lifestyle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Aquanation - Corporate Membership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Aquanation - M/ship Joining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Aquahub-Casual Fitness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Club Casual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Club Casual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Club Casual Senior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Health Club Casual Teen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Aquahub-Corporate Membership -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Aquahub-Family Membership -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Aquahub-Individual Membership -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Aquahub-Monthly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Aquahub-50's plus Membership - Dry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 - Gymnastics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Aquahub-Room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stadium hire per hr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Aquahub-Stadium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court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Casual - shoot hoops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4.70</w:t>
            </w:r>
          </w:p>
        </w:tc>
      </w:tr>
      <w:tr w:rsidR="00715BEC" w:rsidRPr="00715BEC" w:rsidTr="004B2F64">
        <w:trPr>
          <w:trHeight w:val="290"/>
        </w:trPr>
        <w:tc>
          <w:tcPr>
            <w:tcW w:w="5880" w:type="dxa"/>
            <w:tcBorders>
              <w:top w:val="nil"/>
              <w:left w:val="nil"/>
              <w:bottom w:val="single" w:sz="4" w:space="0" w:color="auto"/>
              <w:right w:val="single" w:sz="4" w:space="0" w:color="auto"/>
            </w:tcBorders>
            <w:shd w:val="clear" w:color="000000" w:fill="FFFFFF"/>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Single half court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center"/>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Stadium hire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lastRenderedPageBreak/>
              <w:t>Aquahub-Personal Training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30mins 1:1 (1 free session)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60mins 1:1 (1 free session)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30mins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60mins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Start Up Trial - 3 sessions (30mins)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10 pass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10 pass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10 pass 30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10 pass 60 mins - 1:1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10 pass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Member 10 pass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864.00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10 pass 30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711.00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proofErr w:type="spellStart"/>
            <w:proofErr w:type="gramStart"/>
            <w:r w:rsidRPr="00715BEC">
              <w:rPr>
                <w:rFonts w:ascii="Calibri" w:eastAsia="Times New Roman" w:hAnsi="Calibri" w:cs="Calibri"/>
                <w:sz w:val="16"/>
                <w:szCs w:val="16"/>
                <w:lang w:eastAsia="en-AU"/>
              </w:rPr>
              <w:t>Non member</w:t>
            </w:r>
            <w:proofErr w:type="spellEnd"/>
            <w:proofErr w:type="gramEnd"/>
            <w:r w:rsidRPr="00715BEC">
              <w:rPr>
                <w:rFonts w:ascii="Calibri" w:eastAsia="Times New Roman" w:hAnsi="Calibri" w:cs="Calibri"/>
                <w:sz w:val="16"/>
                <w:szCs w:val="16"/>
                <w:lang w:eastAsia="en-AU"/>
              </w:rPr>
              <w:t xml:space="preserve"> 10 pass 60 mins - 2:1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954.00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Aquahub-Active Adults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Active Adults programs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7.00</w:t>
            </w:r>
          </w:p>
        </w:tc>
      </w:tr>
      <w:tr w:rsidR="00715BEC" w:rsidRPr="00715BEC" w:rsidTr="004B2F64">
        <w:trPr>
          <w:trHeight w:val="290"/>
        </w:trPr>
        <w:tc>
          <w:tcPr>
            <w:tcW w:w="5880" w:type="dxa"/>
            <w:tcBorders>
              <w:top w:val="nil"/>
              <w:left w:val="nil"/>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Active Adults - 10 visit pass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Dry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fortnight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Aquahub-Membership Joining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Aquahub-Creche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Creche Member - 1 Session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Creche Member - 2 Sessions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18.50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Occasional Care 1 session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Occasional Care 2 sessions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Aquahub-Aquahub Membership - Wet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Aquahub-Adults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Swim Spa Sauna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73.80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Adult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73.80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 Spa Sauna Adult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11.50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Aquahub-Juniors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7.00</w:t>
            </w:r>
          </w:p>
        </w:tc>
      </w:tr>
      <w:tr w:rsidR="00715BEC" w:rsidRPr="00715BEC" w:rsidTr="004B2F64">
        <w:trPr>
          <w:trHeight w:val="290"/>
        </w:trPr>
        <w:tc>
          <w:tcPr>
            <w:tcW w:w="5880" w:type="dxa"/>
            <w:tcBorders>
              <w:top w:val="nil"/>
              <w:left w:val="single" w:sz="4" w:space="0" w:color="auto"/>
              <w:bottom w:val="single" w:sz="4" w:space="0" w:color="auto"/>
              <w:right w:val="nil"/>
            </w:tcBorders>
            <w:shd w:val="clear" w:color="000000" w:fill="FFFFFF"/>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Child Swim</w:t>
            </w:r>
          </w:p>
        </w:tc>
        <w:tc>
          <w:tcPr>
            <w:tcW w:w="1345"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 -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Swim Spa Sauna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87.30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Concession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Concession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 Spa Sauna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Aquahub-Senior Card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Seniors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66.60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 xml:space="preserve">Swim Spa </w:t>
            </w:r>
            <w:proofErr w:type="gramStart"/>
            <w:r w:rsidRPr="00715BEC">
              <w:rPr>
                <w:rFonts w:ascii="Calibri" w:eastAsia="Times New Roman" w:hAnsi="Calibri" w:cs="Calibri"/>
                <w:sz w:val="16"/>
                <w:szCs w:val="16"/>
                <w:lang w:eastAsia="en-AU"/>
              </w:rPr>
              <w:t>Sauna  Senior</w:t>
            </w:r>
            <w:proofErr w:type="gramEnd"/>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715BEC" w:rsidRPr="00715BEC" w:rsidRDefault="00715BEC" w:rsidP="00715BEC">
            <w:pPr>
              <w:rPr>
                <w:rFonts w:ascii="Calibri" w:eastAsia="Times New Roman" w:hAnsi="Calibri" w:cs="Calibri"/>
                <w:sz w:val="16"/>
                <w:szCs w:val="16"/>
                <w:lang w:eastAsia="en-AU"/>
              </w:rPr>
            </w:pPr>
            <w:r w:rsidRPr="00715BEC">
              <w:rPr>
                <w:rFonts w:ascii="Calibri" w:eastAsia="Times New Roman" w:hAnsi="Calibri" w:cs="Calibri"/>
                <w:sz w:val="16"/>
                <w:szCs w:val="16"/>
                <w:lang w:eastAsia="en-AU"/>
              </w:rPr>
              <w:t>10 Pass Swim Spa Sauna Senior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93.60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Aquahub-Family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Family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210.60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Family Swim (2 adults, 1Child)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 - Learn to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fortnight m/ship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Aquahub-Schools Learn to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fortnight m/ship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Aquahub-Water Aerobics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Water Aerobics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Aquahub-Sauna &amp; Spa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Spa/Sauna Upgrade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Aquahub-Lane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Lane Hire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Aquahub-Hydrotherapy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Hydrotherapy Hire Full Pool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Hydrotherapy Hire Half Pool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 Corporate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Individual Lifestyle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Joining fee for all 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Leisure-Family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Lifestyle concession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95.35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Lifestyle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Mates Lifestyle x 2 -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Mates Lifestyle x 3 -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151.45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Mates Lifestyle x 4 -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201.95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Teen </w:t>
            </w:r>
            <w:proofErr w:type="gramStart"/>
            <w:r w:rsidRPr="00715BEC">
              <w:rPr>
                <w:rFonts w:ascii="Calibri" w:eastAsia="Times New Roman" w:hAnsi="Calibri" w:cs="Calibri"/>
                <w:color w:val="000000"/>
                <w:sz w:val="16"/>
                <w:szCs w:val="16"/>
                <w:lang w:eastAsia="en-AU"/>
              </w:rPr>
              <w:t>Lifestyle  Fortnightly</w:t>
            </w:r>
            <w:proofErr w:type="gramEnd"/>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28.05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Leisure-50+Lifestyle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Leisure-Individual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Lifestyle Concession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Lifestyle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Lifestyle Off peak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36.45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Leisure-Golf</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54.10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Leisure-Aquatics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 Lifestyle Concession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29.65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Swim Lifestyle Fortnightly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Carnival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Carnival Hire - per hour, exclusive use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Lane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Pensioners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Child/Concession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Juniors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Juniors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pass Junior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57.60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Family Concessions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Family Concessions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21.40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Adults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Adult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67.50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Senior Card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 Card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 Visit Seniors Swim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Family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Individual 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Corporate 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CMP Corp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50's Plus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CMP 50's Plus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42.40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Memorial Pool Aquatics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Ringwood Golf Course Fees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M/W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Concession</w:t>
            </w:r>
            <w:proofErr w:type="gramEnd"/>
            <w:r w:rsidRPr="00715BEC">
              <w:rPr>
                <w:rFonts w:ascii="Calibri" w:eastAsia="Times New Roman" w:hAnsi="Calibri" w:cs="Calibri"/>
                <w:color w:val="000000"/>
                <w:sz w:val="16"/>
                <w:szCs w:val="16"/>
                <w:lang w:eastAsia="en-AU"/>
              </w:rPr>
              <w:t xml:space="preserve">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Senior</w:t>
            </w:r>
            <w:proofErr w:type="gramEnd"/>
            <w:r w:rsidRPr="00715BEC">
              <w:rPr>
                <w:rFonts w:ascii="Calibri" w:eastAsia="Times New Roman" w:hAnsi="Calibri" w:cs="Calibri"/>
                <w:color w:val="000000"/>
                <w:sz w:val="16"/>
                <w:szCs w:val="16"/>
                <w:lang w:eastAsia="en-AU"/>
              </w:rPr>
              <w:t xml:space="preserve"> Card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 Junior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Weekend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W/E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Weekend </w:t>
            </w:r>
            <w:proofErr w:type="gramStart"/>
            <w:r w:rsidRPr="00715BEC">
              <w:rPr>
                <w:rFonts w:ascii="Calibri" w:eastAsia="Times New Roman" w:hAnsi="Calibri" w:cs="Calibri"/>
                <w:color w:val="000000"/>
                <w:sz w:val="16"/>
                <w:szCs w:val="16"/>
                <w:lang w:eastAsia="en-AU"/>
              </w:rPr>
              <w:t>-  Junior</w:t>
            </w:r>
            <w:proofErr w:type="gramEnd"/>
            <w:r w:rsidRPr="00715BEC">
              <w:rPr>
                <w:rFonts w:ascii="Calibri" w:eastAsia="Times New Roman" w:hAnsi="Calibri" w:cs="Calibri"/>
                <w:color w:val="000000"/>
                <w:sz w:val="16"/>
                <w:szCs w:val="16"/>
                <w:lang w:eastAsia="en-AU"/>
              </w:rPr>
              <w:t xml:space="preserve"> w/e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gramStart"/>
            <w:r w:rsidRPr="00715BEC">
              <w:rPr>
                <w:rFonts w:ascii="Calibri" w:eastAsia="Times New Roman" w:hAnsi="Calibri" w:cs="Calibri"/>
                <w:color w:val="000000"/>
                <w:sz w:val="16"/>
                <w:szCs w:val="16"/>
                <w:lang w:eastAsia="en-AU"/>
              </w:rPr>
              <w:t xml:space="preserve">Adult  </w:t>
            </w:r>
            <w:proofErr w:type="spellStart"/>
            <w:r w:rsidRPr="00715BEC">
              <w:rPr>
                <w:rFonts w:ascii="Calibri" w:eastAsia="Times New Roman" w:hAnsi="Calibri" w:cs="Calibri"/>
                <w:color w:val="000000"/>
                <w:sz w:val="16"/>
                <w:szCs w:val="16"/>
                <w:lang w:eastAsia="en-AU"/>
              </w:rPr>
              <w:t>Mid</w:t>
            </w:r>
            <w:proofErr w:type="gramEnd"/>
            <w:r w:rsidRPr="00715BEC">
              <w:rPr>
                <w:rFonts w:ascii="Calibri" w:eastAsia="Times New Roman" w:hAnsi="Calibri" w:cs="Calibri"/>
                <w:color w:val="000000"/>
                <w:sz w:val="16"/>
                <w:szCs w:val="16"/>
                <w:lang w:eastAsia="en-AU"/>
              </w:rPr>
              <w:t xml:space="preserve"> Week</w:t>
            </w:r>
            <w:proofErr w:type="spellEnd"/>
            <w:r w:rsidRPr="00715BEC">
              <w:rPr>
                <w:rFonts w:ascii="Calibri" w:eastAsia="Times New Roman" w:hAnsi="Calibri" w:cs="Calibri"/>
                <w:color w:val="000000"/>
                <w:sz w:val="16"/>
                <w:szCs w:val="16"/>
                <w:lang w:eastAsia="en-AU"/>
              </w:rPr>
              <w:t xml:space="preserv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Junior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Pension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9 Holes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Senior Card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Weekend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Weekend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Weekend </w:t>
            </w:r>
            <w:proofErr w:type="gramStart"/>
            <w:r w:rsidRPr="00715BEC">
              <w:rPr>
                <w:rFonts w:ascii="Calibri" w:eastAsia="Times New Roman" w:hAnsi="Calibri" w:cs="Calibri"/>
                <w:color w:val="000000"/>
                <w:sz w:val="16"/>
                <w:szCs w:val="16"/>
                <w:lang w:eastAsia="en-AU"/>
              </w:rPr>
              <w:t>-  Junior</w:t>
            </w:r>
            <w:proofErr w:type="gramEnd"/>
            <w:r w:rsidRPr="00715BEC">
              <w:rPr>
                <w:rFonts w:ascii="Calibri" w:eastAsia="Times New Roman" w:hAnsi="Calibri" w:cs="Calibri"/>
                <w:color w:val="000000"/>
                <w:sz w:val="16"/>
                <w:szCs w:val="16"/>
                <w:lang w:eastAsia="en-AU"/>
              </w:rPr>
              <w:t xml:space="preserve"> Weekend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Ringwood Golf Course Family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Ringwood Golf Course 50's Plus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Concession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Ringwood Golf Course Corporate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fortnight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lastRenderedPageBreak/>
              <w:t>Ringwood Golf Equipment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Buggy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Cart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Cart 9</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Club hire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Club hire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Soccer Intro</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Thursday Ladies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Scoresheet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Sunday Mixed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Scoresheet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BB Monday Senior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Scoresheet - Winter Season Fees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Scoresheet - Summer Season Fees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Biddy Ball Skills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New Enrolment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Biddy Ball Play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Weekly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Schools Court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41.55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General Court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Shooting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Off Peak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41.55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Peak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57.10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General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Family Membership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ML Individual Member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Open Days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Open 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Biddy Ball Intro</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Weekly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Basketball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Daily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Multi Sports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Participation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The Rings Soccer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Participation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Nets Volleyball Badminton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Maroondah </w:t>
            </w:r>
            <w:proofErr w:type="gramStart"/>
            <w:r w:rsidRPr="00715BEC">
              <w:rPr>
                <w:rFonts w:ascii="Calibri" w:eastAsia="Times New Roman" w:hAnsi="Calibri" w:cs="Calibri"/>
                <w:b/>
                <w:bCs/>
                <w:color w:val="000000"/>
                <w:sz w:val="16"/>
                <w:szCs w:val="16"/>
                <w:lang w:eastAsia="en-AU"/>
              </w:rPr>
              <w:t>Nets  Netball</w:t>
            </w:r>
            <w:proofErr w:type="gramEnd"/>
            <w:r w:rsidRPr="00715BEC">
              <w:rPr>
                <w:rFonts w:ascii="Calibri" w:eastAsia="Times New Roman" w:hAnsi="Calibri" w:cs="Calibri"/>
                <w:b/>
                <w:bCs/>
                <w:color w:val="000000"/>
                <w:sz w:val="16"/>
                <w:szCs w:val="16"/>
                <w:lang w:eastAsia="en-AU"/>
              </w:rPr>
              <w:t xml:space="preserve">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Rep Program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Maroondah </w:t>
            </w:r>
            <w:proofErr w:type="gramStart"/>
            <w:r w:rsidRPr="00715BEC">
              <w:rPr>
                <w:rFonts w:ascii="Calibri" w:eastAsia="Times New Roman" w:hAnsi="Calibri" w:cs="Calibri"/>
                <w:b/>
                <w:bCs/>
                <w:color w:val="000000"/>
                <w:sz w:val="16"/>
                <w:szCs w:val="16"/>
                <w:lang w:eastAsia="en-AU"/>
              </w:rPr>
              <w:t>Nets  Multi</w:t>
            </w:r>
            <w:proofErr w:type="gramEnd"/>
            <w:r w:rsidRPr="00715BEC">
              <w:rPr>
                <w:rFonts w:ascii="Calibri" w:eastAsia="Times New Roman" w:hAnsi="Calibri" w:cs="Calibri"/>
                <w:b/>
                <w:bCs/>
                <w:color w:val="000000"/>
                <w:sz w:val="16"/>
                <w:szCs w:val="16"/>
                <w:lang w:eastAsia="en-AU"/>
              </w:rPr>
              <w:t xml:space="preserve"> Sports 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Holiday Prog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Maroondah </w:t>
            </w:r>
            <w:proofErr w:type="gramStart"/>
            <w:r w:rsidRPr="00715BEC">
              <w:rPr>
                <w:rFonts w:ascii="Calibri" w:eastAsia="Times New Roman" w:hAnsi="Calibri" w:cs="Calibri"/>
                <w:b/>
                <w:bCs/>
                <w:color w:val="000000"/>
                <w:sz w:val="16"/>
                <w:szCs w:val="16"/>
                <w:lang w:eastAsia="en-AU"/>
              </w:rPr>
              <w:t>Nets  School</w:t>
            </w:r>
            <w:proofErr w:type="gramEnd"/>
            <w:r w:rsidRPr="00715BEC">
              <w:rPr>
                <w:rFonts w:ascii="Calibri" w:eastAsia="Times New Roman" w:hAnsi="Calibri" w:cs="Calibri"/>
                <w:b/>
                <w:bCs/>
                <w:color w:val="000000"/>
                <w:sz w:val="16"/>
                <w:szCs w:val="16"/>
                <w:lang w:eastAsia="en-AU"/>
              </w:rPr>
              <w:t xml:space="preserve"> Court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Court Hire - Schools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41.55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Maroondah </w:t>
            </w:r>
            <w:proofErr w:type="gramStart"/>
            <w:r w:rsidRPr="00715BEC">
              <w:rPr>
                <w:rFonts w:ascii="Calibri" w:eastAsia="Times New Roman" w:hAnsi="Calibri" w:cs="Calibri"/>
                <w:b/>
                <w:bCs/>
                <w:color w:val="000000"/>
                <w:sz w:val="16"/>
                <w:szCs w:val="16"/>
                <w:lang w:eastAsia="en-AU"/>
              </w:rPr>
              <w:t>Nets  General</w:t>
            </w:r>
            <w:proofErr w:type="gramEnd"/>
            <w:r w:rsidRPr="00715BEC">
              <w:rPr>
                <w:rFonts w:ascii="Calibri" w:eastAsia="Times New Roman" w:hAnsi="Calibri" w:cs="Calibri"/>
                <w:b/>
                <w:bCs/>
                <w:color w:val="000000"/>
                <w:sz w:val="16"/>
                <w:szCs w:val="16"/>
                <w:lang w:eastAsia="en-AU"/>
              </w:rPr>
              <w:t xml:space="preserve"> Court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Off Peak Badminton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Off Peak Netball Indoor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41.75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Off Peak Netball Outdoor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13.25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Off Peak Table Tennis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14.95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Off Peak Volleyball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30.55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Peak Badminton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Peak Netball Indoor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57.10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Peak Netball Outdoor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16.20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Peak Table Tennis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19.05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 Peak Volleyball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38.30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Nets Function Room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Room Hire </w:t>
            </w:r>
            <w:proofErr w:type="gramStart"/>
            <w:r w:rsidRPr="00715BEC">
              <w:rPr>
                <w:rFonts w:ascii="Calibri" w:eastAsia="Times New Roman" w:hAnsi="Calibri" w:cs="Calibri"/>
                <w:color w:val="000000"/>
                <w:sz w:val="16"/>
                <w:szCs w:val="16"/>
                <w:lang w:eastAsia="en-AU"/>
              </w:rPr>
              <w:t>-  Kitchen</w:t>
            </w:r>
            <w:proofErr w:type="gramEnd"/>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Room Hire - Combined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Room Hire - Room 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Room Hire - Room B</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Dorset Golf Course Fees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M/W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34.50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Concession</w:t>
            </w:r>
            <w:proofErr w:type="gramEnd"/>
            <w:r w:rsidRPr="00715BEC">
              <w:rPr>
                <w:rFonts w:ascii="Calibri" w:eastAsia="Times New Roman" w:hAnsi="Calibri" w:cs="Calibri"/>
                <w:color w:val="000000"/>
                <w:sz w:val="16"/>
                <w:szCs w:val="16"/>
                <w:lang w:eastAsia="en-AU"/>
              </w:rPr>
              <w:t xml:space="preserve">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24.00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w:t>
            </w:r>
            <w:proofErr w:type="gramStart"/>
            <w:r w:rsidRPr="00715BEC">
              <w:rPr>
                <w:rFonts w:ascii="Calibri" w:eastAsia="Times New Roman" w:hAnsi="Calibri" w:cs="Calibri"/>
                <w:color w:val="000000"/>
                <w:sz w:val="16"/>
                <w:szCs w:val="16"/>
                <w:lang w:eastAsia="en-AU"/>
              </w:rPr>
              <w:t>-  Senior</w:t>
            </w:r>
            <w:proofErr w:type="gramEnd"/>
            <w:r w:rsidRPr="00715BEC">
              <w:rPr>
                <w:rFonts w:ascii="Calibri" w:eastAsia="Times New Roman" w:hAnsi="Calibri" w:cs="Calibri"/>
                <w:color w:val="000000"/>
                <w:sz w:val="16"/>
                <w:szCs w:val="16"/>
                <w:lang w:eastAsia="en-AU"/>
              </w:rPr>
              <w:t xml:space="preserve"> Card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 Junior m/w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Weekend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W/E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18 Hole Weekend </w:t>
            </w:r>
            <w:proofErr w:type="gramStart"/>
            <w:r w:rsidRPr="00715BEC">
              <w:rPr>
                <w:rFonts w:ascii="Calibri" w:eastAsia="Times New Roman" w:hAnsi="Calibri" w:cs="Calibri"/>
                <w:color w:val="000000"/>
                <w:sz w:val="16"/>
                <w:szCs w:val="16"/>
                <w:lang w:eastAsia="en-AU"/>
              </w:rPr>
              <w:t>-  Junior</w:t>
            </w:r>
            <w:proofErr w:type="gramEnd"/>
            <w:r w:rsidRPr="00715BEC">
              <w:rPr>
                <w:rFonts w:ascii="Calibri" w:eastAsia="Times New Roman" w:hAnsi="Calibri" w:cs="Calibri"/>
                <w:color w:val="000000"/>
                <w:sz w:val="16"/>
                <w:szCs w:val="16"/>
                <w:lang w:eastAsia="en-AU"/>
              </w:rPr>
              <w:t xml:space="preserve"> w/e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gramStart"/>
            <w:r w:rsidRPr="00715BEC">
              <w:rPr>
                <w:rFonts w:ascii="Calibri" w:eastAsia="Times New Roman" w:hAnsi="Calibri" w:cs="Calibri"/>
                <w:color w:val="000000"/>
                <w:sz w:val="16"/>
                <w:szCs w:val="16"/>
                <w:lang w:eastAsia="en-AU"/>
              </w:rPr>
              <w:t xml:space="preserve">Adult  </w:t>
            </w:r>
            <w:proofErr w:type="spellStart"/>
            <w:r w:rsidRPr="00715BEC">
              <w:rPr>
                <w:rFonts w:ascii="Calibri" w:eastAsia="Times New Roman" w:hAnsi="Calibri" w:cs="Calibri"/>
                <w:color w:val="000000"/>
                <w:sz w:val="16"/>
                <w:szCs w:val="16"/>
                <w:lang w:eastAsia="en-AU"/>
              </w:rPr>
              <w:t>Mid</w:t>
            </w:r>
            <w:proofErr w:type="gramEnd"/>
            <w:r w:rsidRPr="00715BEC">
              <w:rPr>
                <w:rFonts w:ascii="Calibri" w:eastAsia="Times New Roman" w:hAnsi="Calibri" w:cs="Calibri"/>
                <w:color w:val="000000"/>
                <w:sz w:val="16"/>
                <w:szCs w:val="16"/>
                <w:lang w:eastAsia="en-AU"/>
              </w:rPr>
              <w:t xml:space="preserve"> Week</w:t>
            </w:r>
            <w:proofErr w:type="spellEnd"/>
            <w:r w:rsidRPr="00715BEC">
              <w:rPr>
                <w:rFonts w:ascii="Calibri" w:eastAsia="Times New Roman" w:hAnsi="Calibri" w:cs="Calibri"/>
                <w:color w:val="000000"/>
                <w:sz w:val="16"/>
                <w:szCs w:val="16"/>
                <w:lang w:eastAsia="en-AU"/>
              </w:rPr>
              <w:t xml:space="preserv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Junior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Pension </w:t>
            </w:r>
            <w:proofErr w:type="spellStart"/>
            <w:r w:rsidRPr="00715BEC">
              <w:rPr>
                <w:rFonts w:ascii="Calibri" w:eastAsia="Times New Roman" w:hAnsi="Calibri" w:cs="Calibri"/>
                <w:color w:val="000000"/>
                <w:sz w:val="16"/>
                <w:szCs w:val="16"/>
                <w:lang w:eastAsia="en-AU"/>
              </w:rPr>
              <w:t>Mid Week</w:t>
            </w:r>
            <w:proofErr w:type="spellEnd"/>
            <w:r w:rsidRPr="00715BEC">
              <w:rPr>
                <w:rFonts w:ascii="Calibri" w:eastAsia="Times New Roman" w:hAnsi="Calibri" w:cs="Calibri"/>
                <w:color w:val="000000"/>
                <w:sz w:val="16"/>
                <w:szCs w:val="16"/>
                <w:lang w:eastAsia="en-AU"/>
              </w:rPr>
              <w:t xml:space="preserve"> 9 Holes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19.50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Senior </w:t>
            </w:r>
            <w:proofErr w:type="spellStart"/>
            <w:r w:rsidRPr="00715BEC">
              <w:rPr>
                <w:rFonts w:ascii="Calibri" w:eastAsia="Times New Roman" w:hAnsi="Calibri" w:cs="Calibri"/>
                <w:color w:val="000000"/>
                <w:sz w:val="16"/>
                <w:szCs w:val="16"/>
                <w:lang w:eastAsia="en-AU"/>
              </w:rPr>
              <w:t>CardMid</w:t>
            </w:r>
            <w:proofErr w:type="spellEnd"/>
            <w:r w:rsidRPr="00715BEC">
              <w:rPr>
                <w:rFonts w:ascii="Calibri" w:eastAsia="Times New Roman" w:hAnsi="Calibri" w:cs="Calibri"/>
                <w:color w:val="000000"/>
                <w:sz w:val="16"/>
                <w:szCs w:val="16"/>
                <w:lang w:eastAsia="en-AU"/>
              </w:rPr>
              <w:t xml:space="preserve"> Week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23.00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Weekend </w:t>
            </w:r>
            <w:proofErr w:type="gramStart"/>
            <w:r w:rsidRPr="00715BEC">
              <w:rPr>
                <w:rFonts w:ascii="Calibri" w:eastAsia="Times New Roman" w:hAnsi="Calibri" w:cs="Calibri"/>
                <w:color w:val="000000"/>
                <w:sz w:val="16"/>
                <w:szCs w:val="16"/>
                <w:lang w:eastAsia="en-AU"/>
              </w:rPr>
              <w:t>-  Adult</w:t>
            </w:r>
            <w:proofErr w:type="gramEnd"/>
            <w:r w:rsidRPr="00715BEC">
              <w:rPr>
                <w:rFonts w:ascii="Calibri" w:eastAsia="Times New Roman" w:hAnsi="Calibri" w:cs="Calibri"/>
                <w:color w:val="000000"/>
                <w:sz w:val="16"/>
                <w:szCs w:val="16"/>
                <w:lang w:eastAsia="en-AU"/>
              </w:rPr>
              <w:t xml:space="preserve"> Weekend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29.00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Weekend </w:t>
            </w:r>
            <w:proofErr w:type="gramStart"/>
            <w:r w:rsidRPr="00715BEC">
              <w:rPr>
                <w:rFonts w:ascii="Calibri" w:eastAsia="Times New Roman" w:hAnsi="Calibri" w:cs="Calibri"/>
                <w:color w:val="000000"/>
                <w:sz w:val="16"/>
                <w:szCs w:val="16"/>
                <w:lang w:eastAsia="en-AU"/>
              </w:rPr>
              <w:t>-  Junior</w:t>
            </w:r>
            <w:proofErr w:type="gramEnd"/>
            <w:r w:rsidRPr="00715BEC">
              <w:rPr>
                <w:rFonts w:ascii="Calibri" w:eastAsia="Times New Roman" w:hAnsi="Calibri" w:cs="Calibri"/>
                <w:color w:val="000000"/>
                <w:sz w:val="16"/>
                <w:szCs w:val="16"/>
                <w:lang w:eastAsia="en-AU"/>
              </w:rPr>
              <w:t xml:space="preserve"> Weekend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Dorset Golf Equipment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Buggy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Cart 18</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Cart 9</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Club hire 18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Club hire 9 holes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Dorset Golf Course Family Memberships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107.70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Per fortnight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53.40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Recreation Program Active Participation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4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on type of run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Night Run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4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on type of run</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on type of run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Run Maroondah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Participation Fee - Community Group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individual 15km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individual 10km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individual 5km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concession 15km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concession 10km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concession 5km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family 5km run/walk (up to 4 participants)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family additional family entry per person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Entry fee - kids 1.2km dash (under 14 years)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Tri Maroondah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1312. Participation fee - varies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Participation Fee - Community Group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Festival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Community site fee - marquee (no power)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Community site fee - display site (no power)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Market stall site - artisan stall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Market stall 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 Business &amp; Eco Village site - commercial business marquee 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 Business &amp; Eco Village site - homegrown marquee 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430.00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 food vendor 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450.00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Carols by Candlelight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Seasonal &amp; casual use of council facilities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spellStart"/>
            <w:r w:rsidRPr="00715BEC">
              <w:rPr>
                <w:rFonts w:ascii="Calibri" w:eastAsia="Times New Roman" w:hAnsi="Calibri" w:cs="Calibri"/>
                <w:b/>
                <w:bCs/>
                <w:color w:val="000000"/>
                <w:sz w:val="16"/>
                <w:szCs w:val="16"/>
                <w:lang w:eastAsia="en-AU"/>
              </w:rPr>
              <w:t>Quambee</w:t>
            </w:r>
            <w:proofErr w:type="spellEnd"/>
            <w:r w:rsidRPr="00715BEC">
              <w:rPr>
                <w:rFonts w:ascii="Calibri" w:eastAsia="Times New Roman" w:hAnsi="Calibri" w:cs="Calibri"/>
                <w:b/>
                <w:bCs/>
                <w:color w:val="000000"/>
                <w:sz w:val="16"/>
                <w:szCs w:val="16"/>
                <w:lang w:eastAsia="en-AU"/>
              </w:rPr>
              <w:t xml:space="preserve"> 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Nth </w:t>
            </w:r>
            <w:proofErr w:type="gramStart"/>
            <w:r w:rsidRPr="00715BEC">
              <w:rPr>
                <w:rFonts w:ascii="Calibri" w:eastAsia="Times New Roman" w:hAnsi="Calibri" w:cs="Calibri"/>
                <w:b/>
                <w:bCs/>
                <w:color w:val="000000"/>
                <w:sz w:val="16"/>
                <w:szCs w:val="16"/>
                <w:lang w:eastAsia="en-AU"/>
              </w:rPr>
              <w:t>Ringwood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Jubilee </w:t>
            </w:r>
            <w:proofErr w:type="gramStart"/>
            <w:r w:rsidRPr="00715BEC">
              <w:rPr>
                <w:rFonts w:ascii="Calibri" w:eastAsia="Times New Roman" w:hAnsi="Calibri" w:cs="Calibri"/>
                <w:b/>
                <w:bCs/>
                <w:color w:val="000000"/>
                <w:sz w:val="16"/>
                <w:szCs w:val="16"/>
                <w:lang w:eastAsia="en-AU"/>
              </w:rPr>
              <w:t>Park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Proclamation Park Income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Heathmont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Manson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HE </w:t>
            </w:r>
            <w:proofErr w:type="gramStart"/>
            <w:r w:rsidRPr="00715BEC">
              <w:rPr>
                <w:rFonts w:ascii="Calibri" w:eastAsia="Times New Roman" w:hAnsi="Calibri" w:cs="Calibri"/>
                <w:b/>
                <w:bCs/>
                <w:color w:val="000000"/>
                <w:sz w:val="16"/>
                <w:szCs w:val="16"/>
                <w:lang w:eastAsia="en-AU"/>
              </w:rPr>
              <w:t>Parker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East </w:t>
            </w:r>
            <w:proofErr w:type="gramStart"/>
            <w:r w:rsidRPr="00715BEC">
              <w:rPr>
                <w:rFonts w:ascii="Calibri" w:eastAsia="Times New Roman" w:hAnsi="Calibri" w:cs="Calibri"/>
                <w:b/>
                <w:bCs/>
                <w:color w:val="000000"/>
                <w:sz w:val="16"/>
                <w:szCs w:val="16"/>
                <w:lang w:eastAsia="en-AU"/>
              </w:rPr>
              <w:t>Ringwood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Mullum 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Belmont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Arrabri Oval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Cheong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Eastfield Park</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Glen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spellStart"/>
            <w:r w:rsidRPr="00715BEC">
              <w:rPr>
                <w:rFonts w:ascii="Calibri" w:eastAsia="Times New Roman" w:hAnsi="Calibri" w:cs="Calibri"/>
                <w:b/>
                <w:bCs/>
                <w:color w:val="000000"/>
                <w:sz w:val="16"/>
                <w:szCs w:val="16"/>
                <w:lang w:eastAsia="en-AU"/>
              </w:rPr>
              <w:t>Gracedale</w:t>
            </w:r>
            <w:proofErr w:type="spellEnd"/>
            <w:r w:rsidRPr="00715BEC">
              <w:rPr>
                <w:rFonts w:ascii="Calibri" w:eastAsia="Times New Roman" w:hAnsi="Calibri" w:cs="Calibri"/>
                <w:b/>
                <w:bCs/>
                <w:color w:val="000000"/>
                <w:sz w:val="16"/>
                <w:szCs w:val="16"/>
                <w:lang w:eastAsia="en-AU"/>
              </w:rPr>
              <w:t xml:space="preserve">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Ainslie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Hughes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Lipscombe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Griff </w:t>
            </w:r>
            <w:proofErr w:type="gramStart"/>
            <w:r w:rsidRPr="00715BEC">
              <w:rPr>
                <w:rFonts w:ascii="Calibri" w:eastAsia="Times New Roman" w:hAnsi="Calibri" w:cs="Calibri"/>
                <w:b/>
                <w:bCs/>
                <w:color w:val="000000"/>
                <w:sz w:val="16"/>
                <w:szCs w:val="16"/>
                <w:lang w:eastAsia="en-AU"/>
              </w:rPr>
              <w:t>Hunt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spellStart"/>
            <w:proofErr w:type="gramStart"/>
            <w:r w:rsidRPr="00715BEC">
              <w:rPr>
                <w:rFonts w:ascii="Calibri" w:eastAsia="Times New Roman" w:hAnsi="Calibri" w:cs="Calibri"/>
                <w:b/>
                <w:bCs/>
                <w:color w:val="000000"/>
                <w:sz w:val="16"/>
                <w:szCs w:val="16"/>
                <w:lang w:eastAsia="en-AU"/>
              </w:rPr>
              <w:t>Barngeong</w:t>
            </w:r>
            <w:proofErr w:type="spellEnd"/>
            <w:r w:rsidRPr="00715BEC">
              <w:rPr>
                <w:rFonts w:ascii="Calibri" w:eastAsia="Times New Roman" w:hAnsi="Calibri" w:cs="Calibri"/>
                <w:b/>
                <w:bCs/>
                <w:color w:val="000000"/>
                <w:sz w:val="16"/>
                <w:szCs w:val="16"/>
                <w:lang w:eastAsia="en-AU"/>
              </w:rPr>
              <w:t xml:space="preserve">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Silcock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Town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Croydon Park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Dorset Complex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xml:space="preserve">Sundry </w:t>
            </w:r>
            <w:proofErr w:type="gramStart"/>
            <w:r w:rsidRPr="00715BEC">
              <w:rPr>
                <w:rFonts w:ascii="Calibri" w:eastAsia="Times New Roman" w:hAnsi="Calibri" w:cs="Calibri"/>
                <w:b/>
                <w:bCs/>
                <w:color w:val="000000"/>
                <w:sz w:val="16"/>
                <w:szCs w:val="16"/>
                <w:lang w:eastAsia="en-AU"/>
              </w:rPr>
              <w:t>Parks  Reserve</w:t>
            </w:r>
            <w:proofErr w:type="gramEnd"/>
            <w:r w:rsidRPr="00715BEC">
              <w:rPr>
                <w:rFonts w:ascii="Calibri" w:eastAsia="Times New Roman" w:hAnsi="Calibri" w:cs="Calibri"/>
                <w:b/>
                <w:bCs/>
                <w:color w:val="000000"/>
                <w:sz w:val="16"/>
                <w:szCs w:val="16"/>
                <w:lang w:eastAsia="en-AU"/>
              </w:rPr>
              <w:t xml:space="preserv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Seasonal &amp; casual use of council facilities (Refer to policy on the Maroondah City Council Website)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East Ringwood Hall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NFP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NFP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Community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Community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Community Night </w:t>
            </w:r>
            <w:proofErr w:type="gramStart"/>
            <w:r w:rsidRPr="00715BEC">
              <w:rPr>
                <w:rFonts w:ascii="Calibri" w:eastAsia="Times New Roman" w:hAnsi="Calibri" w:cs="Calibri"/>
                <w:color w:val="000000"/>
                <w:sz w:val="16"/>
                <w:szCs w:val="16"/>
                <w:lang w:eastAsia="en-AU"/>
              </w:rPr>
              <w:t>Hire  -</w:t>
            </w:r>
            <w:proofErr w:type="gramEnd"/>
            <w:r w:rsidRPr="00715BEC">
              <w:rPr>
                <w:rFonts w:ascii="Calibri" w:eastAsia="Times New Roman" w:hAnsi="Calibri" w:cs="Calibri"/>
                <w:color w:val="000000"/>
                <w:sz w:val="16"/>
                <w:szCs w:val="16"/>
                <w:lang w:eastAsia="en-AU"/>
              </w:rPr>
              <w:t xml:space="preserve">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Community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East Ringwood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East Ringwood Hall Corporate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Corporate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East Ringwood Hall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Occupancy Payments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Tennis Club Rentals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Sporting Clubs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7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Use of facility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Refer to policy on the Maroondah City Council Website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Brushy Creek Hall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Brushy Creek Hall NFP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Brushy Creek Hall NFP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Brushy Creek Hall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Brushy Creek Hall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Community  Night</w:t>
            </w:r>
            <w:proofErr w:type="gramEnd"/>
            <w:r w:rsidRPr="00715BEC">
              <w:rPr>
                <w:rFonts w:ascii="Calibri" w:eastAsia="Times New Roman" w:hAnsi="Calibri" w:cs="Calibri"/>
                <w:color w:val="000000"/>
                <w:sz w:val="16"/>
                <w:szCs w:val="16"/>
                <w:lang w:eastAsia="en-AU"/>
              </w:rPr>
              <w:t xml:space="preserve">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Community  Night</w:t>
            </w:r>
            <w:proofErr w:type="gramEnd"/>
            <w:r w:rsidRPr="00715BEC">
              <w:rPr>
                <w:rFonts w:ascii="Calibri" w:eastAsia="Times New Roman" w:hAnsi="Calibri" w:cs="Calibri"/>
                <w:color w:val="000000"/>
                <w:sz w:val="16"/>
                <w:szCs w:val="16"/>
                <w:lang w:eastAsia="en-AU"/>
              </w:rPr>
              <w:t xml:space="preserve">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Corporate  Night</w:t>
            </w:r>
            <w:proofErr w:type="gramEnd"/>
            <w:r w:rsidRPr="00715BEC">
              <w:rPr>
                <w:rFonts w:ascii="Calibri" w:eastAsia="Times New Roman" w:hAnsi="Calibri" w:cs="Calibri"/>
                <w:color w:val="000000"/>
                <w:sz w:val="16"/>
                <w:szCs w:val="16"/>
                <w:lang w:eastAsia="en-AU"/>
              </w:rPr>
              <w:t xml:space="preserve">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Brushy Creek Hall </w:t>
            </w:r>
            <w:proofErr w:type="gramStart"/>
            <w:r w:rsidRPr="00715BEC">
              <w:rPr>
                <w:rFonts w:ascii="Calibri" w:eastAsia="Times New Roman" w:hAnsi="Calibri" w:cs="Calibri"/>
                <w:color w:val="000000"/>
                <w:sz w:val="16"/>
                <w:szCs w:val="16"/>
                <w:lang w:eastAsia="en-AU"/>
              </w:rPr>
              <w:t>Corporate  Night</w:t>
            </w:r>
            <w:proofErr w:type="gramEnd"/>
            <w:r w:rsidRPr="00715BEC">
              <w:rPr>
                <w:rFonts w:ascii="Calibri" w:eastAsia="Times New Roman" w:hAnsi="Calibri" w:cs="Calibri"/>
                <w:color w:val="000000"/>
                <w:sz w:val="16"/>
                <w:szCs w:val="16"/>
                <w:lang w:eastAsia="en-AU"/>
              </w:rPr>
              <w:t xml:space="preserve">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Croydon Swim Club</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NFP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NFP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Hall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Hall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Community  casual</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Community  casual</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Hall </w:t>
            </w:r>
            <w:proofErr w:type="gramStart"/>
            <w:r w:rsidRPr="00715BEC">
              <w:rPr>
                <w:rFonts w:ascii="Calibri" w:eastAsia="Times New Roman" w:hAnsi="Calibri" w:cs="Calibri"/>
                <w:color w:val="000000"/>
                <w:sz w:val="16"/>
                <w:szCs w:val="16"/>
                <w:lang w:eastAsia="en-AU"/>
              </w:rPr>
              <w:t>Community  Night</w:t>
            </w:r>
            <w:proofErr w:type="gramEnd"/>
            <w:r w:rsidRPr="00715BEC">
              <w:rPr>
                <w:rFonts w:ascii="Calibri" w:eastAsia="Times New Roman" w:hAnsi="Calibri" w:cs="Calibri"/>
                <w:color w:val="000000"/>
                <w:sz w:val="16"/>
                <w:szCs w:val="16"/>
                <w:lang w:eastAsia="en-AU"/>
              </w:rPr>
              <w:t xml:space="preserve">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Hall </w:t>
            </w:r>
            <w:proofErr w:type="gramStart"/>
            <w:r w:rsidRPr="00715BEC">
              <w:rPr>
                <w:rFonts w:ascii="Calibri" w:eastAsia="Times New Roman" w:hAnsi="Calibri" w:cs="Calibri"/>
                <w:color w:val="000000"/>
                <w:sz w:val="16"/>
                <w:szCs w:val="16"/>
                <w:lang w:eastAsia="en-AU"/>
              </w:rPr>
              <w:t>Community  Night</w:t>
            </w:r>
            <w:proofErr w:type="gramEnd"/>
            <w:r w:rsidRPr="00715BEC">
              <w:rPr>
                <w:rFonts w:ascii="Calibri" w:eastAsia="Times New Roman" w:hAnsi="Calibri" w:cs="Calibri"/>
                <w:color w:val="000000"/>
                <w:sz w:val="16"/>
                <w:szCs w:val="16"/>
                <w:lang w:eastAsia="en-AU"/>
              </w:rPr>
              <w:t xml:space="preserve">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Corporate  casual</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Corporate  casual</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Croydon Swimming Club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Hall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Croydon Swimming Club Hall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Belmont Pavilion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NFP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NFP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Belmont Park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Community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Community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Belmont Park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Belmont Park Hall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Keystone Hall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w:t>
            </w:r>
            <w:proofErr w:type="gramStart"/>
            <w:r w:rsidRPr="00715BEC">
              <w:rPr>
                <w:rFonts w:ascii="Calibri" w:eastAsia="Times New Roman" w:hAnsi="Calibri" w:cs="Calibri"/>
                <w:color w:val="000000"/>
                <w:sz w:val="16"/>
                <w:szCs w:val="16"/>
                <w:lang w:eastAsia="en-AU"/>
              </w:rPr>
              <w:t>NFP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w:t>
            </w:r>
            <w:proofErr w:type="gramStart"/>
            <w:r w:rsidRPr="00715BEC">
              <w:rPr>
                <w:rFonts w:ascii="Calibri" w:eastAsia="Times New Roman" w:hAnsi="Calibri" w:cs="Calibri"/>
                <w:color w:val="000000"/>
                <w:sz w:val="16"/>
                <w:szCs w:val="16"/>
                <w:lang w:eastAsia="en-AU"/>
              </w:rPr>
              <w:t>NFP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Community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Community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Keystone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Keystone Hall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Keystone Hall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Glen Frost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Registered Charity hour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Community Group hour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All other businesses hour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NFP regular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NFP regular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NFP Night </w:t>
            </w:r>
            <w:proofErr w:type="gramStart"/>
            <w:r w:rsidRPr="00715BEC">
              <w:rPr>
                <w:rFonts w:ascii="Calibri" w:eastAsia="Times New Roman" w:hAnsi="Calibri" w:cs="Calibri"/>
                <w:color w:val="000000"/>
                <w:sz w:val="16"/>
                <w:szCs w:val="16"/>
                <w:lang w:eastAsia="en-AU"/>
              </w:rPr>
              <w:t>Hire  -</w:t>
            </w:r>
            <w:proofErr w:type="gramEnd"/>
            <w:r w:rsidRPr="00715BEC">
              <w:rPr>
                <w:rFonts w:ascii="Calibri" w:eastAsia="Times New Roman" w:hAnsi="Calibri" w:cs="Calibri"/>
                <w:color w:val="000000"/>
                <w:sz w:val="16"/>
                <w:szCs w:val="16"/>
                <w:lang w:eastAsia="en-AU"/>
              </w:rPr>
              <w:t xml:space="preserve">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NFP Night </w:t>
            </w:r>
            <w:proofErr w:type="gramStart"/>
            <w:r w:rsidRPr="00715BEC">
              <w:rPr>
                <w:rFonts w:ascii="Calibri" w:eastAsia="Times New Roman" w:hAnsi="Calibri" w:cs="Calibri"/>
                <w:color w:val="000000"/>
                <w:sz w:val="16"/>
                <w:szCs w:val="16"/>
                <w:lang w:eastAsia="en-AU"/>
              </w:rPr>
              <w:t>Hire  -</w:t>
            </w:r>
            <w:proofErr w:type="gramEnd"/>
            <w:r w:rsidRPr="00715BEC">
              <w:rPr>
                <w:rFonts w:ascii="Calibri" w:eastAsia="Times New Roman" w:hAnsi="Calibri" w:cs="Calibri"/>
                <w:color w:val="000000"/>
                <w:sz w:val="16"/>
                <w:szCs w:val="16"/>
                <w:lang w:eastAsia="en-AU"/>
              </w:rPr>
              <w:t xml:space="preserve">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Community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Community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Glen Frost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Glen Frost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Parkwood Hall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Parkwood Hall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Bill Wilkins Lodge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Bill Wilkins Lodge NFP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NFP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NFP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NFP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NFP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Community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Community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Community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Community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Corporate </w:t>
            </w:r>
            <w:proofErr w:type="gramStart"/>
            <w:r w:rsidRPr="00715BEC">
              <w:rPr>
                <w:rFonts w:ascii="Calibri" w:eastAsia="Times New Roman" w:hAnsi="Calibri" w:cs="Calibri"/>
                <w:color w:val="000000"/>
                <w:sz w:val="16"/>
                <w:szCs w:val="16"/>
                <w:lang w:eastAsia="en-AU"/>
              </w:rPr>
              <w:t>casual  hour</w:t>
            </w:r>
            <w:proofErr w:type="gramEnd"/>
            <w:r w:rsidRPr="00715BEC">
              <w:rPr>
                <w:rFonts w:ascii="Calibri" w:eastAsia="Times New Roman" w:hAnsi="Calibri" w:cs="Calibri"/>
                <w:color w:val="000000"/>
                <w:sz w:val="16"/>
                <w:szCs w:val="16"/>
                <w:lang w:eastAsia="en-AU"/>
              </w:rPr>
              <w:t xml:space="preserve">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Bill Wilkins Lodge </w:t>
            </w:r>
            <w:proofErr w:type="gramStart"/>
            <w:r w:rsidRPr="00715BEC">
              <w:rPr>
                <w:rFonts w:ascii="Calibri" w:eastAsia="Times New Roman" w:hAnsi="Calibri" w:cs="Calibri"/>
                <w:color w:val="000000"/>
                <w:sz w:val="16"/>
                <w:szCs w:val="16"/>
                <w:lang w:eastAsia="en-AU"/>
              </w:rPr>
              <w:t>Corporate  regular</w:t>
            </w:r>
            <w:proofErr w:type="gramEnd"/>
            <w:r w:rsidRPr="00715BEC">
              <w:rPr>
                <w:rFonts w:ascii="Calibri" w:eastAsia="Times New Roman" w:hAnsi="Calibri" w:cs="Calibri"/>
                <w:color w:val="000000"/>
                <w:sz w:val="16"/>
                <w:szCs w:val="16"/>
                <w:lang w:eastAsia="en-AU"/>
              </w:rPr>
              <w:t xml:space="preserve"> hour rate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Corporate Night Hire - Jul to Dec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Bill Wilkins Lodge Corporate Night Hire - Jan to Jun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Casual Cleaner 3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Federation Estate Lifestyle Centre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Facility Hire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Federation Cultural Centre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Federation Estate Hire of Studio 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Federation Estate Hire of Studio 3</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Federation Estate Hire of Studio 4</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Federation Estate Per month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Theatre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Performance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Rehearsal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Community Performance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Community </w:t>
            </w:r>
            <w:proofErr w:type="gramStart"/>
            <w:r w:rsidRPr="00715BEC">
              <w:rPr>
                <w:rFonts w:ascii="Calibri" w:eastAsia="Times New Roman" w:hAnsi="Calibri" w:cs="Calibri"/>
                <w:color w:val="000000"/>
                <w:sz w:val="16"/>
                <w:szCs w:val="16"/>
                <w:lang w:eastAsia="en-AU"/>
              </w:rPr>
              <w:t>Rehearsal  (</w:t>
            </w:r>
            <w:proofErr w:type="gramEnd"/>
            <w:r w:rsidRPr="00715BEC">
              <w:rPr>
                <w:rFonts w:ascii="Calibri" w:eastAsia="Times New Roman" w:hAnsi="Calibri" w:cs="Calibri"/>
                <w:color w:val="000000"/>
                <w:sz w:val="16"/>
                <w:szCs w:val="16"/>
                <w:lang w:eastAsia="en-AU"/>
              </w:rPr>
              <w:t>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Not for Profit Performance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Not for Profit Rehearsal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Theatre Tickets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Theatre Tickets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Theatre Equipment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Theatre Equipment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Theatre Labour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Theatre labour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Morning Music</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Morning </w:t>
            </w:r>
            <w:proofErr w:type="gramStart"/>
            <w:r w:rsidRPr="00715BEC">
              <w:rPr>
                <w:rFonts w:ascii="Calibri" w:eastAsia="Times New Roman" w:hAnsi="Calibri" w:cs="Calibri"/>
                <w:color w:val="000000"/>
                <w:sz w:val="16"/>
                <w:szCs w:val="16"/>
                <w:lang w:eastAsia="en-AU"/>
              </w:rPr>
              <w:t>Music  (</w:t>
            </w:r>
            <w:proofErr w:type="gramEnd"/>
            <w:r w:rsidRPr="00715BEC">
              <w:rPr>
                <w:rFonts w:ascii="Calibri" w:eastAsia="Times New Roman" w:hAnsi="Calibri" w:cs="Calibri"/>
                <w:color w:val="000000"/>
                <w:sz w:val="16"/>
                <w:szCs w:val="16"/>
                <w:lang w:eastAsia="en-AU"/>
              </w:rPr>
              <w:t>show and morning tea)</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Karralyka Functions-Other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Breakfast Events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Cocktail Events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Full Day - Banquet Room (all 3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Full Day - Maroondah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Full Day - Mt Dandenong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Full Day - Mt. Dandenong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Full Day - Mullum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Banquet Room (all 3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Maroondah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Maroondah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Maroondah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Mt Dandenong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Mt. Dandenong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Commercial Half Day - Mullum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Conference Full Day - 8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Conference Half Day - 5 Hours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Dinner </w:t>
            </w:r>
            <w:proofErr w:type="gramStart"/>
            <w:r w:rsidRPr="00715BEC">
              <w:rPr>
                <w:rFonts w:ascii="Calibri" w:eastAsia="Times New Roman" w:hAnsi="Calibri" w:cs="Calibri"/>
                <w:color w:val="000000"/>
                <w:sz w:val="16"/>
                <w:szCs w:val="16"/>
                <w:lang w:eastAsia="en-AU"/>
              </w:rPr>
              <w:t>Events  (</w:t>
            </w:r>
            <w:proofErr w:type="gramEnd"/>
            <w:r w:rsidRPr="00715BEC">
              <w:rPr>
                <w:rFonts w:ascii="Calibri" w:eastAsia="Times New Roman" w:hAnsi="Calibri" w:cs="Calibri"/>
                <w:color w:val="000000"/>
                <w:sz w:val="16"/>
                <w:szCs w:val="16"/>
                <w:lang w:eastAsia="en-AU"/>
              </w:rPr>
              <w:t>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Lunch Events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Full Day - Banquet Room (all 3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Full Day - Maroondah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Full Day - Mt Dandenong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Full Day - Mt. Dandenong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Full Day - Mullum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Banquet Room (all 3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Maroondah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Maroondah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Maroondah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Mt Dandenong &amp; Mullum Rooms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Mt. Dandenong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Not </w:t>
            </w:r>
            <w:proofErr w:type="gramStart"/>
            <w:r w:rsidRPr="00715BEC">
              <w:rPr>
                <w:rFonts w:ascii="Calibri" w:eastAsia="Times New Roman" w:hAnsi="Calibri" w:cs="Calibri"/>
                <w:color w:val="000000"/>
                <w:sz w:val="16"/>
                <w:szCs w:val="16"/>
                <w:lang w:eastAsia="en-AU"/>
              </w:rPr>
              <w:t>For</w:t>
            </w:r>
            <w:proofErr w:type="gramEnd"/>
            <w:r w:rsidRPr="00715BEC">
              <w:rPr>
                <w:rFonts w:ascii="Calibri" w:eastAsia="Times New Roman" w:hAnsi="Calibri" w:cs="Calibri"/>
                <w:color w:val="000000"/>
                <w:sz w:val="16"/>
                <w:szCs w:val="16"/>
                <w:lang w:eastAsia="en-AU"/>
              </w:rPr>
              <w:t xml:space="preserve"> Profit Half Day - Mullum Room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proofErr w:type="gramStart"/>
            <w:r w:rsidRPr="00715BEC">
              <w:rPr>
                <w:rFonts w:ascii="Calibri" w:eastAsia="Times New Roman" w:hAnsi="Calibri" w:cs="Calibri"/>
                <w:color w:val="000000"/>
                <w:sz w:val="16"/>
                <w:szCs w:val="16"/>
                <w:lang w:eastAsia="en-AU"/>
              </w:rPr>
              <w:t>Pre Theatre</w:t>
            </w:r>
            <w:proofErr w:type="gramEnd"/>
            <w:r w:rsidRPr="00715BEC">
              <w:rPr>
                <w:rFonts w:ascii="Calibri" w:eastAsia="Times New Roman" w:hAnsi="Calibri" w:cs="Calibri"/>
                <w:color w:val="000000"/>
                <w:sz w:val="16"/>
                <w:szCs w:val="16"/>
                <w:lang w:eastAsia="en-AU"/>
              </w:rPr>
              <w:t xml:space="preserve"> Dinner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School </w:t>
            </w:r>
            <w:proofErr w:type="gramStart"/>
            <w:r w:rsidRPr="00715BEC">
              <w:rPr>
                <w:rFonts w:ascii="Calibri" w:eastAsia="Times New Roman" w:hAnsi="Calibri" w:cs="Calibri"/>
                <w:color w:val="000000"/>
                <w:sz w:val="16"/>
                <w:szCs w:val="16"/>
                <w:lang w:eastAsia="en-AU"/>
              </w:rPr>
              <w:t>Function  (</w:t>
            </w:r>
            <w:proofErr w:type="gramEnd"/>
            <w:r w:rsidRPr="00715BEC">
              <w:rPr>
                <w:rFonts w:ascii="Calibri" w:eastAsia="Times New Roman" w:hAnsi="Calibri" w:cs="Calibri"/>
                <w:color w:val="000000"/>
                <w:sz w:val="16"/>
                <w:szCs w:val="16"/>
                <w:lang w:eastAsia="en-AU"/>
              </w:rPr>
              <w:t>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Sporting Club Function (Prices vary according to quote)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20"/>
                <w:szCs w:val="20"/>
                <w:u w:val="single"/>
                <w:lang w:eastAsia="en-AU"/>
              </w:rPr>
            </w:pPr>
            <w:r w:rsidRPr="00715BEC">
              <w:rPr>
                <w:rFonts w:ascii="Calibri" w:eastAsia="Times New Roman" w:hAnsi="Calibri" w:cs="Calibri"/>
                <w:b/>
                <w:bCs/>
                <w:color w:val="000000"/>
                <w:sz w:val="20"/>
                <w:szCs w:val="20"/>
                <w:u w:val="single"/>
                <w:lang w:eastAsia="en-AU"/>
              </w:rPr>
              <w:t>Community Services</w:t>
            </w:r>
          </w:p>
        </w:tc>
        <w:tc>
          <w:tcPr>
            <w:tcW w:w="134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000000" w:fill="D9D9D9"/>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Wyreena Facility Hire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Facility Hire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quote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Music</w:t>
            </w:r>
            <w:proofErr w:type="gramEnd"/>
            <w:r w:rsidRPr="00715BEC">
              <w:rPr>
                <w:rFonts w:ascii="Calibri" w:eastAsia="Times New Roman" w:hAnsi="Calibri" w:cs="Calibri"/>
                <w:b/>
                <w:bCs/>
                <w:color w:val="000000"/>
                <w:sz w:val="16"/>
                <w:szCs w:val="16"/>
                <w:lang w:eastAsia="en-AU"/>
              </w:rPr>
              <w:t xml:space="preserve"> Cafe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Wyreena Open Day Music Café</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35.00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Course</w:t>
            </w:r>
            <w:proofErr w:type="gramEnd"/>
            <w:r w:rsidRPr="00715BEC">
              <w:rPr>
                <w:rFonts w:ascii="Calibri" w:eastAsia="Times New Roman" w:hAnsi="Calibri" w:cs="Calibri"/>
                <w:b/>
                <w:bCs/>
                <w:color w:val="000000"/>
                <w:sz w:val="16"/>
                <w:szCs w:val="16"/>
                <w:lang w:eastAsia="en-AU"/>
              </w:rPr>
              <w:t xml:space="preserve"> Fees Term 1</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Adults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with a disability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Children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Makers workshops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Course</w:t>
            </w:r>
            <w:proofErr w:type="gramEnd"/>
            <w:r w:rsidRPr="00715BEC">
              <w:rPr>
                <w:rFonts w:ascii="Calibri" w:eastAsia="Times New Roman" w:hAnsi="Calibri" w:cs="Calibri"/>
                <w:b/>
                <w:bCs/>
                <w:color w:val="000000"/>
                <w:sz w:val="16"/>
                <w:szCs w:val="16"/>
                <w:lang w:eastAsia="en-AU"/>
              </w:rPr>
              <w:t xml:space="preserve"> Fees Term 2</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with a disability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Children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Makers workshops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Course</w:t>
            </w:r>
            <w:proofErr w:type="gramEnd"/>
            <w:r w:rsidRPr="00715BEC">
              <w:rPr>
                <w:rFonts w:ascii="Calibri" w:eastAsia="Times New Roman" w:hAnsi="Calibri" w:cs="Calibri"/>
                <w:b/>
                <w:bCs/>
                <w:color w:val="000000"/>
                <w:sz w:val="16"/>
                <w:szCs w:val="16"/>
                <w:lang w:eastAsia="en-AU"/>
              </w:rPr>
              <w:t xml:space="preserve"> Fees Term 3</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lastRenderedPageBreak/>
              <w:t xml:space="preserve">Adults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with a disability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Children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Makers workshops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Course</w:t>
            </w:r>
            <w:proofErr w:type="gramEnd"/>
            <w:r w:rsidRPr="00715BEC">
              <w:rPr>
                <w:rFonts w:ascii="Calibri" w:eastAsia="Times New Roman" w:hAnsi="Calibri" w:cs="Calibri"/>
                <w:b/>
                <w:bCs/>
                <w:color w:val="000000"/>
                <w:sz w:val="16"/>
                <w:szCs w:val="16"/>
                <w:lang w:eastAsia="en-AU"/>
              </w:rPr>
              <w:t xml:space="preserve"> Fees Term 4</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942CC">
        <w:trPr>
          <w:trHeight w:val="33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942CC">
        <w:trPr>
          <w:trHeight w:val="365"/>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Adults with a disability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942CC">
        <w:trPr>
          <w:trHeight w:val="242"/>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Children</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942CC">
        <w:trPr>
          <w:trHeight w:val="262"/>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Makers workshops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course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School</w:t>
            </w:r>
            <w:proofErr w:type="gramEnd"/>
            <w:r w:rsidRPr="00715BEC">
              <w:rPr>
                <w:rFonts w:ascii="Calibri" w:eastAsia="Times New Roman" w:hAnsi="Calibri" w:cs="Calibri"/>
                <w:b/>
                <w:bCs/>
                <w:color w:val="000000"/>
                <w:sz w:val="16"/>
                <w:szCs w:val="16"/>
                <w:lang w:eastAsia="en-AU"/>
              </w:rPr>
              <w:t xml:space="preserve"> Holiday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47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Wyreena School Holidays Fees Course Fees </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workshop</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proofErr w:type="gramStart"/>
            <w:r w:rsidRPr="00715BEC">
              <w:rPr>
                <w:rFonts w:ascii="Calibri" w:eastAsia="Times New Roman" w:hAnsi="Calibri" w:cs="Calibri"/>
                <w:b/>
                <w:bCs/>
                <w:color w:val="000000"/>
                <w:sz w:val="16"/>
                <w:szCs w:val="16"/>
                <w:lang w:eastAsia="en-AU"/>
              </w:rPr>
              <w:t>Wyreena  Arts</w:t>
            </w:r>
            <w:proofErr w:type="gramEnd"/>
            <w:r w:rsidRPr="00715BEC">
              <w:rPr>
                <w:rFonts w:ascii="Calibri" w:eastAsia="Times New Roman" w:hAnsi="Calibri" w:cs="Calibri"/>
                <w:b/>
                <w:bCs/>
                <w:color w:val="000000"/>
                <w:sz w:val="16"/>
                <w:szCs w:val="16"/>
                <w:lang w:eastAsia="en-AU"/>
              </w:rPr>
              <w:t xml:space="preserve"> Lounge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942CC">
        <w:trPr>
          <w:trHeight w:val="34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Rental hire fees for Gallery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Varies according to type of hire</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Holiday Program</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Inhouse 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65.00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Excursion 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76.00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Federation Estate Gallery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xml:space="preserve">Fees for Hire of the Gallery 1 For </w:t>
            </w:r>
            <w:proofErr w:type="gramStart"/>
            <w:r w:rsidRPr="00715BEC">
              <w:rPr>
                <w:rFonts w:ascii="Calibri" w:eastAsia="Times New Roman" w:hAnsi="Calibri" w:cs="Calibri"/>
                <w:color w:val="000000"/>
                <w:sz w:val="16"/>
                <w:szCs w:val="16"/>
                <w:lang w:eastAsia="en-AU"/>
              </w:rPr>
              <w:t>8 week</w:t>
            </w:r>
            <w:proofErr w:type="gramEnd"/>
            <w:r w:rsidRPr="00715BEC">
              <w:rPr>
                <w:rFonts w:ascii="Calibri" w:eastAsia="Times New Roman" w:hAnsi="Calibri" w:cs="Calibri"/>
                <w:color w:val="000000"/>
                <w:sz w:val="16"/>
                <w:szCs w:val="16"/>
                <w:lang w:eastAsia="en-AU"/>
              </w:rPr>
              <w:t xml:space="preserve"> blocks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968.00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Social Support</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Monthly Social Outing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Shopping/library Return Trip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Family Day Care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Family Day Care -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12.17</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Family Day Care - Levy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4.88</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Occasional Day Care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Occasional Day Care - Parents fee (half 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45.00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Occasional Day Care - Parents fee (full day)</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77.00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HACC Allied Health</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OT fee High Fee/ Per Hour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OT fee low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10.35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OT fee medium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Social Inclusion &amp; Well Being</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Low Fee - Social Support Group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7.95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Low Fee - Social Support Group with meal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17.15</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High/Private Fee - Social Support Group</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121.00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High/Private Fee - Social Support Group with meal</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136.60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Maroondah Police Seniors Register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Seniors Register</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4.90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Maternal Child Health Norwood</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Community hourly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Others - hourly rate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Yes</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22.50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lastRenderedPageBreak/>
              <w:t>Meals on Wheels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High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15.60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low 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9.20</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b/>
                <w:bCs/>
                <w:color w:val="000000"/>
                <w:sz w:val="16"/>
                <w:szCs w:val="16"/>
                <w:lang w:eastAsia="en-AU"/>
              </w:rPr>
            </w:pPr>
            <w:r w:rsidRPr="00715BEC">
              <w:rPr>
                <w:rFonts w:ascii="Calibri" w:eastAsia="Times New Roman" w:hAnsi="Calibri" w:cs="Calibri"/>
                <w:b/>
                <w:bCs/>
                <w:color w:val="000000"/>
                <w:sz w:val="16"/>
                <w:szCs w:val="16"/>
                <w:lang w:eastAsia="en-AU"/>
              </w:rPr>
              <w:t>HAC Other Food Services</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 </w:t>
            </w:r>
          </w:p>
        </w:tc>
      </w:tr>
      <w:tr w:rsidR="00715BEC" w:rsidRPr="00715BEC" w:rsidTr="004B2F64">
        <w:trPr>
          <w:trHeight w:val="29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715BEC" w:rsidRPr="00715BEC" w:rsidRDefault="00715BEC" w:rsidP="00715BEC">
            <w:pP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Fee</w:t>
            </w:r>
          </w:p>
        </w:tc>
        <w:tc>
          <w:tcPr>
            <w:tcW w:w="134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D</w:t>
            </w:r>
          </w:p>
        </w:tc>
        <w:tc>
          <w:tcPr>
            <w:tcW w:w="755"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center"/>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No</w:t>
            </w:r>
          </w:p>
        </w:tc>
        <w:tc>
          <w:tcPr>
            <w:tcW w:w="1580" w:type="dxa"/>
            <w:tcBorders>
              <w:top w:val="nil"/>
              <w:left w:val="nil"/>
              <w:bottom w:val="single" w:sz="4" w:space="0" w:color="auto"/>
              <w:right w:val="single" w:sz="4" w:space="0" w:color="auto"/>
            </w:tcBorders>
            <w:shd w:val="clear" w:color="auto" w:fill="auto"/>
            <w:vAlign w:val="bottom"/>
            <w:hideMark/>
          </w:tcPr>
          <w:p w:rsidR="00715BEC" w:rsidRPr="00715BEC" w:rsidRDefault="00715BEC" w:rsidP="00715BEC">
            <w:pPr>
              <w:jc w:val="right"/>
              <w:rPr>
                <w:rFonts w:ascii="Calibri" w:eastAsia="Times New Roman" w:hAnsi="Calibri" w:cs="Calibri"/>
                <w:color w:val="000000"/>
                <w:sz w:val="16"/>
                <w:szCs w:val="16"/>
                <w:lang w:eastAsia="en-AU"/>
              </w:rPr>
            </w:pPr>
            <w:r w:rsidRPr="00715BEC">
              <w:rPr>
                <w:rFonts w:ascii="Calibri" w:eastAsia="Times New Roman" w:hAnsi="Calibri" w:cs="Calibri"/>
                <w:color w:val="000000"/>
                <w:sz w:val="16"/>
                <w:szCs w:val="16"/>
                <w:lang w:eastAsia="en-AU"/>
              </w:rPr>
              <w:t>10.35</w:t>
            </w:r>
          </w:p>
        </w:tc>
      </w:tr>
    </w:tbl>
    <w:p w:rsidR="008C77DD" w:rsidRDefault="008C77DD" w:rsidP="00501510">
      <w:pPr>
        <w:ind w:left="720"/>
        <w:rPr>
          <w:rFonts w:eastAsia="Times New Roman" w:cs="Arial"/>
        </w:rPr>
        <w:sectPr w:rsidR="008C77DD" w:rsidSect="00AB5B37">
          <w:headerReference w:type="default" r:id="rId29"/>
          <w:pgSz w:w="11906" w:h="16838"/>
          <w:pgMar w:top="720" w:right="720" w:bottom="720" w:left="720" w:header="708" w:footer="708" w:gutter="0"/>
          <w:cols w:space="708"/>
          <w:titlePg/>
          <w:docGrid w:linePitch="360"/>
        </w:sectPr>
      </w:pPr>
    </w:p>
    <w:p w:rsidR="0091667F" w:rsidRPr="00501510" w:rsidRDefault="006E39A2" w:rsidP="006E39A2">
      <w:pPr>
        <w:rPr>
          <w:rFonts w:eastAsiaTheme="minorHAnsi" w:cs="Arial"/>
        </w:rPr>
      </w:pPr>
      <w:r>
        <w:rPr>
          <w:noProof/>
        </w:rPr>
        <w:lastRenderedPageBreak/>
        <w:drawing>
          <wp:anchor distT="0" distB="0" distL="114300" distR="114300" simplePos="0" relativeHeight="251666432" behindDoc="1" locked="0" layoutInCell="1" allowOverlap="1" wp14:anchorId="33F4E1AA" wp14:editId="25F01891">
            <wp:simplePos x="0" y="0"/>
            <wp:positionH relativeFrom="margin">
              <wp:posOffset>-177800</wp:posOffset>
            </wp:positionH>
            <wp:positionV relativeFrom="page">
              <wp:posOffset>908050</wp:posOffset>
            </wp:positionV>
            <wp:extent cx="6781800" cy="9061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ntact p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81800" cy="9061450"/>
                    </a:xfrm>
                    <a:prstGeom prst="rect">
                      <a:avLst/>
                    </a:prstGeom>
                  </pic:spPr>
                </pic:pic>
              </a:graphicData>
            </a:graphic>
            <wp14:sizeRelH relativeFrom="margin">
              <wp14:pctWidth>0</wp14:pctWidth>
            </wp14:sizeRelH>
            <wp14:sizeRelV relativeFrom="margin">
              <wp14:pctHeight>0</wp14:pctHeight>
            </wp14:sizeRelV>
          </wp:anchor>
        </w:drawing>
      </w:r>
    </w:p>
    <w:sectPr w:rsidR="0091667F" w:rsidRPr="00501510" w:rsidSect="0091667F">
      <w:footerReference w:type="default" r:id="rId31"/>
      <w:pgSz w:w="11906" w:h="16838"/>
      <w:pgMar w:top="3402"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394" w:rsidRDefault="00EB5394" w:rsidP="006122B0">
      <w:r>
        <w:separator/>
      </w:r>
    </w:p>
  </w:endnote>
  <w:endnote w:type="continuationSeparator" w:id="0">
    <w:p w:rsidR="00EB5394" w:rsidRDefault="00EB5394"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modern"/>
    <w:notTrueType/>
    <w:pitch w:val="variable"/>
    <w:sig w:usb0="A00000FF" w:usb1="4000004A" w:usb2="00000000" w:usb3="00000000" w:csb0="0000000B" w:csb1="00000000"/>
  </w:font>
  <w:font w:name="Book Antiqua">
    <w:panose1 w:val="02040602050305030304"/>
    <w:charset w:val="00"/>
    <w:family w:val="roman"/>
    <w:pitch w:val="variable"/>
    <w:sig w:usb0="00000287" w:usb1="00000000" w:usb2="00000000" w:usb3="00000000" w:csb0="0000009F" w:csb1="00000000"/>
  </w:font>
  <w:font w:name="NewSchool">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rsidP="005759FF">
    <w:pPr>
      <w:pStyle w:val="Footer"/>
      <w:tabs>
        <w:tab w:val="clear" w:pos="4513"/>
        <w:tab w:val="clear" w:pos="9026"/>
      </w:tabs>
      <w:jc w:val="right"/>
    </w:pPr>
    <w:r>
      <w:rPr>
        <w:sz w:val="16"/>
        <w:szCs w:val="16"/>
      </w:rPr>
      <w:t xml:space="preserve">  </w:t>
    </w:r>
    <w:r>
      <w:rPr>
        <w:sz w:val="16"/>
        <w:szCs w:val="16"/>
      </w:rPr>
      <w:tab/>
    </w:r>
    <w:r>
      <w:rPr>
        <w:sz w:val="16"/>
        <w:szCs w:val="16"/>
      </w:rPr>
      <w:tab/>
    </w:r>
    <w:r w:rsidRPr="00507F27">
      <w:rPr>
        <w:sz w:val="16"/>
        <w:szCs w:val="16"/>
      </w:rPr>
      <w:t xml:space="preserve">MAROONDAH CITY COUNCIL - </w:t>
    </w:r>
    <w:r>
      <w:rPr>
        <w:sz w:val="16"/>
        <w:szCs w:val="16"/>
      </w:rPr>
      <w:t>ADOPT</w:t>
    </w:r>
    <w:r w:rsidRPr="00507F27">
      <w:rPr>
        <w:sz w:val="16"/>
        <w:szCs w:val="16"/>
      </w:rPr>
      <w:t>ED BUDGET 2020/</w:t>
    </w:r>
    <w:proofErr w:type="gramStart"/>
    <w:r w:rsidRPr="00507F27">
      <w:rPr>
        <w:sz w:val="16"/>
        <w:szCs w:val="16"/>
      </w:rPr>
      <w:t>21</w:t>
    </w:r>
    <w:r>
      <w:t xml:space="preserve">  </w:t>
    </w:r>
    <w:r>
      <w:tab/>
    </w:r>
    <w:proofErr w:type="gramEnd"/>
    <w:r>
      <w:rPr>
        <w:color w:val="1E5E9F" w:themeColor="accent3" w:themeShade="BF"/>
      </w:rPr>
      <w:t xml:space="preserve">| </w:t>
    </w:r>
    <w:r>
      <w:t xml:space="preserve"> </w:t>
    </w:r>
    <w:sdt>
      <w:sdtPr>
        <w:id w:val="1006795000"/>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3</w:t>
        </w:r>
        <w:r w:rsidRPr="00507F27">
          <w:rPr>
            <w:noProof/>
            <w:sz w:val="20"/>
            <w:szCs w:val="20"/>
          </w:rPr>
          <w:fldChar w:fldCharType="end"/>
        </w:r>
      </w:sdtContent>
    </w:sdt>
  </w:p>
  <w:p w:rsidR="00086D52" w:rsidRDefault="00086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rsidP="00507F27">
    <w:pPr>
      <w:pStyle w:val="Footer"/>
      <w:jc w:val="center"/>
    </w:pPr>
    <w:r>
      <w:rPr>
        <w:sz w:val="16"/>
        <w:szCs w:val="16"/>
      </w:rPr>
      <w:tab/>
      <w:t xml:space="preserve">   </w:t>
    </w:r>
    <w:r>
      <w:rPr>
        <w:sz w:val="16"/>
        <w:szCs w:val="16"/>
      </w:rPr>
      <w:tab/>
      <w:t xml:space="preserve">   </w:t>
    </w:r>
  </w:p>
  <w:p w:rsidR="00086D52" w:rsidRDefault="00086D52" w:rsidP="005759FF">
    <w:pPr>
      <w:pStyle w:val="Footer"/>
      <w:tabs>
        <w:tab w:val="clear" w:pos="4513"/>
        <w:tab w:val="clear" w:pos="9026"/>
      </w:tabs>
    </w:pPr>
    <w:r>
      <w:rPr>
        <w:color w:val="1E5E9F" w:themeColor="accent3" w:themeShade="BF"/>
      </w:rPr>
      <w:t xml:space="preserve"> </w:t>
    </w:r>
    <w:r>
      <w:t xml:space="preserve"> </w:t>
    </w:r>
    <w:sdt>
      <w:sdtPr>
        <w:id w:val="815694057"/>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3</w:t>
        </w:r>
        <w:r w:rsidRPr="00507F27">
          <w:rPr>
            <w:noProof/>
            <w:sz w:val="20"/>
            <w:szCs w:val="20"/>
          </w:rPr>
          <w:fldChar w:fldCharType="end"/>
        </w:r>
      </w:sdtContent>
    </w:sdt>
    <w:r>
      <w:rPr>
        <w:sz w:val="16"/>
        <w:szCs w:val="16"/>
      </w:rPr>
      <w:t xml:space="preserve">  </w:t>
    </w:r>
    <w:r>
      <w:rPr>
        <w:color w:val="1E5E9F" w:themeColor="accent3" w:themeShade="BF"/>
      </w:rPr>
      <w:t>|</w:t>
    </w:r>
    <w:r>
      <w:rPr>
        <w:sz w:val="16"/>
        <w:szCs w:val="16"/>
      </w:rPr>
      <w:t xml:space="preserve"> </w:t>
    </w:r>
    <w:r w:rsidRPr="00507F27">
      <w:rPr>
        <w:sz w:val="16"/>
        <w:szCs w:val="16"/>
      </w:rPr>
      <w:t xml:space="preserve">MAROONDAH CITY COUNCIL - </w:t>
    </w:r>
    <w:r>
      <w:rPr>
        <w:sz w:val="16"/>
        <w:szCs w:val="16"/>
      </w:rPr>
      <w:t>ADOPT</w:t>
    </w:r>
    <w:r w:rsidRPr="00507F27">
      <w:rPr>
        <w:sz w:val="16"/>
        <w:szCs w:val="16"/>
      </w:rPr>
      <w:t>ED BUDGET 2020/21</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pPr>
      <w:pStyle w:val="Footer"/>
    </w:pPr>
    <w:r>
      <w:rPr>
        <w:sz w:val="16"/>
        <w:szCs w:val="16"/>
        <w:lang w:val="en-US"/>
      </w:rPr>
      <w:tab/>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Pr>
        <w:sz w:val="16"/>
        <w:szCs w:val="16"/>
        <w:lang w:val="en-US"/>
      </w:rPr>
      <w:t>PROPOSED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29</w:t>
    </w:r>
    <w:r w:rsidRPr="00026D96">
      <w:rPr>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pPr>
      <w:pStyle w:val="Footer"/>
    </w:pPr>
    <w:r w:rsidRPr="00C86D42">
      <w:rPr>
        <w:sz w:val="16"/>
        <w:szCs w:val="16"/>
        <w:lang w:val="en-US"/>
      </w:rPr>
      <w:t xml:space="preserve">MAROONDAH CITY COUNCIL </w:t>
    </w:r>
    <w:r>
      <w:rPr>
        <w:sz w:val="16"/>
        <w:szCs w:val="16"/>
        <w:lang w:val="en-US"/>
      </w:rPr>
      <w:t>–</w:t>
    </w:r>
    <w:r w:rsidRPr="00C86D42">
      <w:rPr>
        <w:sz w:val="16"/>
        <w:szCs w:val="16"/>
        <w:lang w:val="en-US"/>
      </w:rPr>
      <w:t xml:space="preserve"> </w:t>
    </w:r>
    <w:r>
      <w:rPr>
        <w:sz w:val="16"/>
        <w:szCs w:val="16"/>
        <w:lang w:val="en-US"/>
      </w:rPr>
      <w:t>ADOPTED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30</w:t>
    </w:r>
    <w:r w:rsidRPr="00026D96">
      <w:rPr>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rsidP="0033702D">
    <w:pPr>
      <w:pStyle w:val="Footer"/>
      <w:jc w:val="center"/>
    </w:pPr>
    <w:r>
      <w:rPr>
        <w:sz w:val="16"/>
        <w:szCs w:val="16"/>
      </w:rPr>
      <w:tab/>
    </w:r>
    <w:r w:rsidRPr="00507F27">
      <w:rPr>
        <w:sz w:val="16"/>
        <w:szCs w:val="16"/>
      </w:rPr>
      <w:t xml:space="preserve">MAROONDAH CITY COUNCIL - </w:t>
    </w:r>
    <w:r>
      <w:rPr>
        <w:sz w:val="16"/>
        <w:szCs w:val="16"/>
      </w:rPr>
      <w:t>ADOPT</w:t>
    </w:r>
    <w:r w:rsidRPr="00507F27">
      <w:rPr>
        <w:sz w:val="16"/>
        <w:szCs w:val="16"/>
      </w:rPr>
      <w:t>ED BUDGET 2020/</w:t>
    </w:r>
    <w:proofErr w:type="gramStart"/>
    <w:r w:rsidRPr="00507F27">
      <w:rPr>
        <w:sz w:val="16"/>
        <w:szCs w:val="16"/>
      </w:rPr>
      <w:t>21</w:t>
    </w:r>
    <w:r>
      <w:t xml:space="preserve">  </w:t>
    </w:r>
    <w:r>
      <w:tab/>
    </w:r>
    <w:proofErr w:type="gramEnd"/>
    <w:r>
      <w:rPr>
        <w:color w:val="1E5E9F" w:themeColor="accent3" w:themeShade="BF"/>
      </w:rPr>
      <w:t xml:space="preserve">| </w:t>
    </w:r>
    <w:r>
      <w:t xml:space="preserve"> </w:t>
    </w:r>
    <w:sdt>
      <w:sdtPr>
        <w:id w:val="1162656694"/>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42</w:t>
        </w:r>
        <w:r w:rsidRPr="00507F27">
          <w:rPr>
            <w:noProof/>
            <w:sz w:val="20"/>
            <w:szCs w:val="20"/>
          </w:rPr>
          <w:fldChar w:fldCharType="end"/>
        </w:r>
      </w:sdtContent>
    </w:sdt>
  </w:p>
  <w:p w:rsidR="00086D52" w:rsidRPr="0033702D" w:rsidRDefault="00086D52" w:rsidP="003370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Pr="006122B0" w:rsidRDefault="00086D52" w:rsidP="00512B70">
    <w:pPr>
      <w:pStyle w:val="Footer"/>
      <w:tabs>
        <w:tab w:val="clear" w:pos="4513"/>
        <w:tab w:val="clear" w:pos="9026"/>
        <w:tab w:val="center" w:pos="0"/>
        <w:tab w:val="right" w:pos="8931"/>
      </w:tabs>
      <w:rPr>
        <w:b/>
        <w:sz w:val="20"/>
        <w:lang w:val="en-US"/>
      </w:rPr>
    </w:pPr>
    <w:r>
      <w:rPr>
        <w:sz w:val="16"/>
        <w:szCs w:val="16"/>
        <w:lang w:val="en-US"/>
      </w:rPr>
      <w:tab/>
    </w:r>
    <w:r>
      <w:rPr>
        <w:sz w:val="16"/>
        <w:szCs w:val="16"/>
        <w:lang w:val="en-US"/>
      </w:rPr>
      <w:ptab w:relativeTo="margin" w:alignment="right" w:leader="none"/>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Pr>
        <w:sz w:val="16"/>
        <w:szCs w:val="16"/>
        <w:lang w:val="en-US"/>
      </w:rPr>
      <w:t>ADOPTED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71</w:t>
    </w:r>
    <w:r w:rsidRPr="00026D96">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rsidP="006122B0">
    <w:pPr>
      <w:pStyle w:val="Footer"/>
      <w:jc w:val="right"/>
      <w:rPr>
        <w:sz w:val="20"/>
        <w:lang w:val="en-US"/>
      </w:rPr>
    </w:pPr>
  </w:p>
  <w:p w:rsidR="00086D52" w:rsidRPr="006122B0" w:rsidRDefault="00086D52" w:rsidP="005759FF">
    <w:pPr>
      <w:pStyle w:val="Footer"/>
      <w:tabs>
        <w:tab w:val="clear" w:pos="4513"/>
        <w:tab w:val="clear" w:pos="9026"/>
        <w:tab w:val="center" w:pos="0"/>
        <w:tab w:val="left" w:pos="4536"/>
      </w:tabs>
      <w:rPr>
        <w:b/>
        <w:sz w:val="20"/>
        <w:lang w:val="en-US"/>
      </w:rPr>
    </w:pPr>
    <w:r>
      <w:rPr>
        <w:lang w:val="en-US"/>
      </w:rPr>
      <w:t xml:space="preserve">  </w:t>
    </w:r>
    <w:r>
      <w:rPr>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Pr>
        <w:sz w:val="16"/>
        <w:szCs w:val="16"/>
        <w:lang w:val="en-US"/>
      </w:rPr>
      <w:t>ADOPTED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91</w:t>
    </w:r>
    <w:r w:rsidRPr="00026D96">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Default="00086D52" w:rsidP="006122B0">
    <w:pPr>
      <w:pStyle w:val="Footer"/>
      <w:jc w:val="right"/>
      <w:rPr>
        <w:sz w:val="20"/>
        <w:lang w:val="en-US"/>
      </w:rPr>
    </w:pPr>
  </w:p>
  <w:p w:rsidR="00086D52" w:rsidRPr="006122B0" w:rsidRDefault="00086D52" w:rsidP="000643C7">
    <w:pPr>
      <w:pStyle w:val="Footer"/>
      <w:tabs>
        <w:tab w:val="clear" w:pos="4513"/>
        <w:tab w:val="clear" w:pos="9026"/>
        <w:tab w:val="center" w:pos="0"/>
        <w:tab w:val="left" w:pos="5103"/>
        <w:tab w:val="right" w:pos="8931"/>
      </w:tabs>
      <w:rPr>
        <w:b/>
        <w:sz w:val="20"/>
        <w:lang w:val="en-US"/>
      </w:rPr>
    </w:pPr>
    <w:r>
      <w:rPr>
        <w:lang w:val="en-US"/>
      </w:rPr>
      <w:t xml:space="preserve">  </w:t>
    </w:r>
    <w:r>
      <w:rPr>
        <w:lang w:val="en-US"/>
      </w:rPr>
      <w:tab/>
    </w:r>
    <w:r>
      <w:rPr>
        <w:lang w:val="en-US"/>
      </w:rPr>
      <w:tab/>
    </w:r>
    <w:r>
      <w:rPr>
        <w:lang w:val="en-US"/>
      </w:rPr>
      <w:tab/>
      <w:t xml:space="preserve">     </w:t>
    </w:r>
    <w:r w:rsidRPr="00C86D42">
      <w:rPr>
        <w:sz w:val="16"/>
        <w:szCs w:val="16"/>
        <w:lang w:val="en-US"/>
      </w:rPr>
      <w:t xml:space="preserve">MAROONDAH CITY COUNCIL </w:t>
    </w:r>
    <w:r>
      <w:rPr>
        <w:sz w:val="16"/>
        <w:szCs w:val="16"/>
        <w:lang w:val="en-US"/>
      </w:rPr>
      <w:t>–PROPOSED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113</w:t>
    </w:r>
    <w:r w:rsidRPr="00026D96">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394" w:rsidRDefault="00EB5394" w:rsidP="006122B0">
      <w:r>
        <w:separator/>
      </w:r>
    </w:p>
  </w:footnote>
  <w:footnote w:type="continuationSeparator" w:id="0">
    <w:p w:rsidR="00EB5394" w:rsidRDefault="00EB5394" w:rsidP="00612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52" w:rsidRPr="00166184" w:rsidRDefault="00086D52" w:rsidP="00166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648"/>
    <w:multiLevelType w:val="multilevel"/>
    <w:tmpl w:val="CB1CACD4"/>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1" w15:restartNumberingAfterBreak="0">
    <w:nsid w:val="052F12DE"/>
    <w:multiLevelType w:val="hybridMultilevel"/>
    <w:tmpl w:val="2C4A98A6"/>
    <w:styleLink w:val="ImportedStyle2"/>
    <w:lvl w:ilvl="0" w:tplc="2C4A98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C47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6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AC8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AB4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74D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1097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2E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02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C96653"/>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855427"/>
    <w:multiLevelType w:val="hybridMultilevel"/>
    <w:tmpl w:val="5FDE3F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15A41"/>
    <w:multiLevelType w:val="hybridMultilevel"/>
    <w:tmpl w:val="4B94D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9338C1"/>
    <w:multiLevelType w:val="hybridMultilevel"/>
    <w:tmpl w:val="107A8D56"/>
    <w:lvl w:ilvl="0" w:tplc="0C090001">
      <w:start w:val="1"/>
      <w:numFmt w:val="bullet"/>
      <w:lvlText w:val=""/>
      <w:lvlJc w:val="left"/>
      <w:pPr>
        <w:tabs>
          <w:tab w:val="num" w:pos="720"/>
        </w:tabs>
        <w:ind w:left="720" w:hanging="360"/>
      </w:pPr>
      <w:rPr>
        <w:rFonts w:ascii="Symbol" w:hAnsi="Symbol" w:hint="default"/>
      </w:rPr>
    </w:lvl>
    <w:lvl w:ilvl="1" w:tplc="1292BEF0">
      <w:start w:val="1"/>
      <w:numFmt w:val="bullet"/>
      <w:lvlText w:val="〉"/>
      <w:lvlJc w:val="left"/>
      <w:pPr>
        <w:tabs>
          <w:tab w:val="num" w:pos="1440"/>
        </w:tabs>
        <w:ind w:left="1440" w:hanging="360"/>
      </w:pPr>
      <w:rPr>
        <w:rFonts w:ascii="MS Mincho" w:eastAsia="Times New Roman" w:hAnsi="MS Mincho" w:cs="Times New Roman" w:hint="eastAsia"/>
      </w:rPr>
    </w:lvl>
    <w:lvl w:ilvl="2" w:tplc="746E0BDE">
      <w:start w:val="1"/>
      <w:numFmt w:val="bullet"/>
      <w:lvlText w:val="〉"/>
      <w:lvlJc w:val="left"/>
      <w:pPr>
        <w:tabs>
          <w:tab w:val="num" w:pos="2160"/>
        </w:tabs>
        <w:ind w:left="2160" w:hanging="360"/>
      </w:pPr>
      <w:rPr>
        <w:rFonts w:ascii="MS Mincho" w:eastAsia="Times New Roman" w:hAnsi="MS Mincho" w:cs="Times New Roman" w:hint="eastAsia"/>
      </w:rPr>
    </w:lvl>
    <w:lvl w:ilvl="3" w:tplc="87728676">
      <w:start w:val="1"/>
      <w:numFmt w:val="bullet"/>
      <w:lvlText w:val="〉"/>
      <w:lvlJc w:val="left"/>
      <w:pPr>
        <w:tabs>
          <w:tab w:val="num" w:pos="2880"/>
        </w:tabs>
        <w:ind w:left="2880" w:hanging="360"/>
      </w:pPr>
      <w:rPr>
        <w:rFonts w:ascii="MS Mincho" w:eastAsia="Times New Roman" w:hAnsi="MS Mincho" w:cs="Times New Roman" w:hint="eastAsia"/>
      </w:rPr>
    </w:lvl>
    <w:lvl w:ilvl="4" w:tplc="CBB2E712">
      <w:start w:val="1"/>
      <w:numFmt w:val="bullet"/>
      <w:lvlText w:val="〉"/>
      <w:lvlJc w:val="left"/>
      <w:pPr>
        <w:tabs>
          <w:tab w:val="num" w:pos="3600"/>
        </w:tabs>
        <w:ind w:left="3600" w:hanging="360"/>
      </w:pPr>
      <w:rPr>
        <w:rFonts w:ascii="MS Mincho" w:eastAsia="Times New Roman" w:hAnsi="MS Mincho" w:cs="Times New Roman" w:hint="eastAsia"/>
      </w:rPr>
    </w:lvl>
    <w:lvl w:ilvl="5" w:tplc="31C01110">
      <w:start w:val="1"/>
      <w:numFmt w:val="bullet"/>
      <w:lvlText w:val="〉"/>
      <w:lvlJc w:val="left"/>
      <w:pPr>
        <w:tabs>
          <w:tab w:val="num" w:pos="4320"/>
        </w:tabs>
        <w:ind w:left="4320" w:hanging="360"/>
      </w:pPr>
      <w:rPr>
        <w:rFonts w:ascii="MS Mincho" w:eastAsia="Times New Roman" w:hAnsi="MS Mincho" w:cs="Times New Roman" w:hint="eastAsia"/>
      </w:rPr>
    </w:lvl>
    <w:lvl w:ilvl="6" w:tplc="17743DC2">
      <w:start w:val="1"/>
      <w:numFmt w:val="bullet"/>
      <w:lvlText w:val="〉"/>
      <w:lvlJc w:val="left"/>
      <w:pPr>
        <w:tabs>
          <w:tab w:val="num" w:pos="5040"/>
        </w:tabs>
        <w:ind w:left="5040" w:hanging="360"/>
      </w:pPr>
      <w:rPr>
        <w:rFonts w:ascii="MS Mincho" w:eastAsia="Times New Roman" w:hAnsi="MS Mincho" w:cs="Times New Roman" w:hint="eastAsia"/>
      </w:rPr>
    </w:lvl>
    <w:lvl w:ilvl="7" w:tplc="A1F4A232">
      <w:start w:val="1"/>
      <w:numFmt w:val="bullet"/>
      <w:lvlText w:val="〉"/>
      <w:lvlJc w:val="left"/>
      <w:pPr>
        <w:tabs>
          <w:tab w:val="num" w:pos="5760"/>
        </w:tabs>
        <w:ind w:left="5760" w:hanging="360"/>
      </w:pPr>
      <w:rPr>
        <w:rFonts w:ascii="MS Mincho" w:eastAsia="Times New Roman" w:hAnsi="MS Mincho" w:cs="Times New Roman" w:hint="eastAsia"/>
      </w:rPr>
    </w:lvl>
    <w:lvl w:ilvl="8" w:tplc="DAFA59F4">
      <w:start w:val="1"/>
      <w:numFmt w:val="bullet"/>
      <w:lvlText w:val="〉"/>
      <w:lvlJc w:val="left"/>
      <w:pPr>
        <w:tabs>
          <w:tab w:val="num" w:pos="6480"/>
        </w:tabs>
        <w:ind w:left="6480" w:hanging="360"/>
      </w:pPr>
      <w:rPr>
        <w:rFonts w:ascii="MS Mincho" w:eastAsia="Times New Roman" w:hAnsi="MS Mincho" w:cs="Times New Roman" w:hint="eastAsia"/>
      </w:rPr>
    </w:lvl>
  </w:abstractNum>
  <w:abstractNum w:abstractNumId="6" w15:restartNumberingAfterBreak="0">
    <w:nsid w:val="12C42CC4"/>
    <w:multiLevelType w:val="hybridMultilevel"/>
    <w:tmpl w:val="4E72ED3E"/>
    <w:styleLink w:val="ImportedStyle6"/>
    <w:lvl w:ilvl="0" w:tplc="262A9C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504F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AC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234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AADC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7A1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213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29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72F2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A633F"/>
    <w:multiLevelType w:val="hybridMultilevel"/>
    <w:tmpl w:val="E85A86B0"/>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156D35"/>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652140"/>
    <w:multiLevelType w:val="hybridMultilevel"/>
    <w:tmpl w:val="96D0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F4065D"/>
    <w:multiLevelType w:val="hybridMultilevel"/>
    <w:tmpl w:val="B8CE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1460D"/>
    <w:multiLevelType w:val="hybridMultilevel"/>
    <w:tmpl w:val="B178B9B2"/>
    <w:lvl w:ilvl="0" w:tplc="8C6A69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02731"/>
    <w:multiLevelType w:val="hybridMultilevel"/>
    <w:tmpl w:val="9C98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0E4267"/>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964AF1"/>
    <w:multiLevelType w:val="multilevel"/>
    <w:tmpl w:val="939424DC"/>
    <w:lvl w:ilvl="0">
      <w:start w:val="2"/>
      <w:numFmt w:val="decimal"/>
      <w:lvlText w:val="%1"/>
      <w:lvlJc w:val="left"/>
      <w:pPr>
        <w:ind w:left="470" w:hanging="470"/>
      </w:pPr>
      <w:rPr>
        <w:rFonts w:cs="Arial" w:hint="default"/>
        <w:sz w:val="22"/>
      </w:rPr>
    </w:lvl>
    <w:lvl w:ilvl="1">
      <w:start w:val="3"/>
      <w:numFmt w:val="decimal"/>
      <w:lvlText w:val="%1.%2"/>
      <w:lvlJc w:val="left"/>
      <w:pPr>
        <w:ind w:left="720" w:hanging="72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440" w:hanging="144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800" w:hanging="180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6" w15:restartNumberingAfterBreak="0">
    <w:nsid w:val="45867130"/>
    <w:multiLevelType w:val="hybridMultilevel"/>
    <w:tmpl w:val="24008AB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69749B"/>
    <w:multiLevelType w:val="hybridMultilevel"/>
    <w:tmpl w:val="F2F40968"/>
    <w:lvl w:ilvl="0" w:tplc="F0CA0FF2">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4BF531EE"/>
    <w:multiLevelType w:val="hybridMultilevel"/>
    <w:tmpl w:val="9C748A70"/>
    <w:lvl w:ilvl="0" w:tplc="3D543960">
      <w:start w:val="2"/>
      <w:numFmt w:val="decimal"/>
      <w:lvlText w:val="%1."/>
      <w:lvlJc w:val="left"/>
      <w:pPr>
        <w:ind w:left="644" w:hanging="360"/>
      </w:pPr>
      <w:rPr>
        <w:rFonts w:eastAsiaTheme="minorHAnsi" w:hint="default"/>
        <w:b w:val="0"/>
        <w:i/>
        <w:color w:val="5C80AC"/>
        <w:sz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FF829B1"/>
    <w:multiLevelType w:val="hybridMultilevel"/>
    <w:tmpl w:val="579C7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F5569F"/>
    <w:multiLevelType w:val="hybridMultilevel"/>
    <w:tmpl w:val="CCAE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112AA2"/>
    <w:multiLevelType w:val="multilevel"/>
    <w:tmpl w:val="8BF2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843B1"/>
    <w:multiLevelType w:val="hybridMultilevel"/>
    <w:tmpl w:val="693462CC"/>
    <w:numStyleLink w:val="ImportedStyle4"/>
  </w:abstractNum>
  <w:abstractNum w:abstractNumId="25" w15:restartNumberingAfterBreak="0">
    <w:nsid w:val="5F7F6859"/>
    <w:multiLevelType w:val="hybridMultilevel"/>
    <w:tmpl w:val="44C2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780FA3"/>
    <w:multiLevelType w:val="hybridMultilevel"/>
    <w:tmpl w:val="4D788700"/>
    <w:lvl w:ilvl="0" w:tplc="AC34CEF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844338"/>
    <w:multiLevelType w:val="hybridMultilevel"/>
    <w:tmpl w:val="E57450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42309"/>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C9015D"/>
    <w:multiLevelType w:val="hybridMultilevel"/>
    <w:tmpl w:val="141E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1A4715"/>
    <w:multiLevelType w:val="hybridMultilevel"/>
    <w:tmpl w:val="57D4DBBC"/>
    <w:lvl w:ilvl="0" w:tplc="8A5EA52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AD518D"/>
    <w:multiLevelType w:val="hybridMultilevel"/>
    <w:tmpl w:val="A4803778"/>
    <w:lvl w:ilvl="0" w:tplc="1D5E0608">
      <w:start w:val="1"/>
      <w:numFmt w:val="decimal"/>
      <w:lvlText w:val="%1)"/>
      <w:lvlJc w:val="left"/>
      <w:pPr>
        <w:ind w:left="36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6F54D1"/>
    <w:multiLevelType w:val="hybridMultilevel"/>
    <w:tmpl w:val="5F56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9A2703"/>
    <w:multiLevelType w:val="hybridMultilevel"/>
    <w:tmpl w:val="63D2D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790D9B"/>
    <w:multiLevelType w:val="hybridMultilevel"/>
    <w:tmpl w:val="44887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0"/>
  </w:num>
  <w:num w:numId="4">
    <w:abstractNumId w:val="24"/>
    <w:lvlOverride w:ilvl="0">
      <w:lvl w:ilvl="0" w:tplc="56B490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9473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D60D7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E460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C12B8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0048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B8CB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7A88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5A68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6"/>
  </w:num>
  <w:num w:numId="6">
    <w:abstractNumId w:val="26"/>
  </w:num>
  <w:num w:numId="7">
    <w:abstractNumId w:val="30"/>
  </w:num>
  <w:num w:numId="8">
    <w:abstractNumId w:val="25"/>
  </w:num>
  <w:num w:numId="9">
    <w:abstractNumId w:val="31"/>
  </w:num>
  <w:num w:numId="10">
    <w:abstractNumId w:val="8"/>
  </w:num>
  <w:num w:numId="11">
    <w:abstractNumId w:val="7"/>
  </w:num>
  <w:num w:numId="12">
    <w:abstractNumId w:val="12"/>
  </w:num>
  <w:num w:numId="13">
    <w:abstractNumId w:val="34"/>
  </w:num>
  <w:num w:numId="14">
    <w:abstractNumId w:val="32"/>
  </w:num>
  <w:num w:numId="15">
    <w:abstractNumId w:val="29"/>
  </w:num>
  <w:num w:numId="16">
    <w:abstractNumId w:val="22"/>
  </w:num>
  <w:num w:numId="17">
    <w:abstractNumId w:val="10"/>
  </w:num>
  <w:num w:numId="18">
    <w:abstractNumId w:val="27"/>
  </w:num>
  <w:num w:numId="19">
    <w:abstractNumId w:val="17"/>
  </w:num>
  <w:num w:numId="20">
    <w:abstractNumId w:val="28"/>
  </w:num>
  <w:num w:numId="21">
    <w:abstractNumId w:val="2"/>
  </w:num>
  <w:num w:numId="22">
    <w:abstractNumId w:val="14"/>
  </w:num>
  <w:num w:numId="23">
    <w:abstractNumId w:val="9"/>
  </w:num>
  <w:num w:numId="24">
    <w:abstractNumId w:val="0"/>
  </w:num>
  <w:num w:numId="25">
    <w:abstractNumId w:val="3"/>
  </w:num>
  <w:num w:numId="26">
    <w:abstractNumId w:val="24"/>
    <w:lvlOverride w:ilvl="0">
      <w:lvl w:ilvl="0" w:tplc="56B490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DE9473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4D60D740">
        <w:start w:val="1"/>
        <w:numFmt w:val="bullet"/>
        <w:lvlText w:val="▪"/>
        <w:lvlJc w:val="left"/>
        <w:pPr>
          <w:tabs>
            <w:tab w:val="left" w:pos="1418"/>
          </w:tabs>
          <w:ind w:left="17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34E460FA">
        <w:start w:val="1"/>
        <w:numFmt w:val="bullet"/>
        <w:lvlText w:val="•"/>
        <w:lvlJc w:val="left"/>
        <w:pPr>
          <w:tabs>
            <w:tab w:val="left" w:pos="1418"/>
          </w:tabs>
          <w:ind w:left="242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C12B82C">
        <w:start w:val="1"/>
        <w:numFmt w:val="bullet"/>
        <w:lvlText w:val="o"/>
        <w:lvlJc w:val="left"/>
        <w:pPr>
          <w:tabs>
            <w:tab w:val="left" w:pos="1418"/>
          </w:tabs>
          <w:ind w:left="314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0B004858">
        <w:start w:val="1"/>
        <w:numFmt w:val="bullet"/>
        <w:lvlText w:val="▪"/>
        <w:lvlJc w:val="left"/>
        <w:pPr>
          <w:tabs>
            <w:tab w:val="left" w:pos="1418"/>
          </w:tabs>
          <w:ind w:left="386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AAB8CB86">
        <w:start w:val="1"/>
        <w:numFmt w:val="bullet"/>
        <w:lvlText w:val="•"/>
        <w:lvlJc w:val="left"/>
        <w:pPr>
          <w:tabs>
            <w:tab w:val="left" w:pos="1418"/>
          </w:tabs>
          <w:ind w:left="458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817A88E8">
        <w:start w:val="1"/>
        <w:numFmt w:val="bullet"/>
        <w:lvlText w:val="o"/>
        <w:lvlJc w:val="left"/>
        <w:pPr>
          <w:tabs>
            <w:tab w:val="left" w:pos="1418"/>
          </w:tabs>
          <w:ind w:left="53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AE5A6812">
        <w:start w:val="1"/>
        <w:numFmt w:val="bullet"/>
        <w:lvlText w:val="▪"/>
        <w:lvlJc w:val="left"/>
        <w:pPr>
          <w:tabs>
            <w:tab w:val="left" w:pos="1418"/>
          </w:tabs>
          <w:ind w:left="602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7">
    <w:abstractNumId w:val="13"/>
  </w:num>
  <w:num w:numId="28">
    <w:abstractNumId w:val="33"/>
  </w:num>
  <w:num w:numId="29">
    <w:abstractNumId w:val="4"/>
  </w:num>
  <w:num w:numId="30">
    <w:abstractNumId w:val="21"/>
  </w:num>
  <w:num w:numId="31">
    <w:abstractNumId w:val="11"/>
  </w:num>
  <w:num w:numId="32">
    <w:abstractNumId w:val="23"/>
  </w:num>
  <w:num w:numId="33">
    <w:abstractNumId w:val="5"/>
  </w:num>
  <w:num w:numId="34">
    <w:abstractNumId w:val="19"/>
  </w:num>
  <w:num w:numId="35">
    <w:abstractNumId w:val="15"/>
  </w:num>
  <w:num w:numId="3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8"/>
    <w:rsid w:val="000008F2"/>
    <w:rsid w:val="00000D83"/>
    <w:rsid w:val="00001B7A"/>
    <w:rsid w:val="0000279C"/>
    <w:rsid w:val="00002C7A"/>
    <w:rsid w:val="00002F3D"/>
    <w:rsid w:val="00004219"/>
    <w:rsid w:val="00004D8B"/>
    <w:rsid w:val="00005919"/>
    <w:rsid w:val="0000752A"/>
    <w:rsid w:val="00007AB3"/>
    <w:rsid w:val="00007C71"/>
    <w:rsid w:val="00010444"/>
    <w:rsid w:val="00010B5B"/>
    <w:rsid w:val="00010EED"/>
    <w:rsid w:val="00010F23"/>
    <w:rsid w:val="00011675"/>
    <w:rsid w:val="00011C12"/>
    <w:rsid w:val="0001254B"/>
    <w:rsid w:val="0001259A"/>
    <w:rsid w:val="00012819"/>
    <w:rsid w:val="00012AB4"/>
    <w:rsid w:val="000141F8"/>
    <w:rsid w:val="000143EB"/>
    <w:rsid w:val="00014515"/>
    <w:rsid w:val="00015AC0"/>
    <w:rsid w:val="0001724C"/>
    <w:rsid w:val="000173EC"/>
    <w:rsid w:val="0001775A"/>
    <w:rsid w:val="00021270"/>
    <w:rsid w:val="00021405"/>
    <w:rsid w:val="00021B90"/>
    <w:rsid w:val="00021F8C"/>
    <w:rsid w:val="00022F4B"/>
    <w:rsid w:val="00023BD4"/>
    <w:rsid w:val="000246CF"/>
    <w:rsid w:val="00026252"/>
    <w:rsid w:val="00026C4F"/>
    <w:rsid w:val="00026D96"/>
    <w:rsid w:val="00027723"/>
    <w:rsid w:val="00027A99"/>
    <w:rsid w:val="00031A42"/>
    <w:rsid w:val="00032290"/>
    <w:rsid w:val="00033110"/>
    <w:rsid w:val="0003352D"/>
    <w:rsid w:val="00033D28"/>
    <w:rsid w:val="00034B12"/>
    <w:rsid w:val="00034B21"/>
    <w:rsid w:val="000354F6"/>
    <w:rsid w:val="000358CF"/>
    <w:rsid w:val="000359F0"/>
    <w:rsid w:val="0003716D"/>
    <w:rsid w:val="00040024"/>
    <w:rsid w:val="00040CC7"/>
    <w:rsid w:val="00041072"/>
    <w:rsid w:val="00041251"/>
    <w:rsid w:val="00041351"/>
    <w:rsid w:val="000413AB"/>
    <w:rsid w:val="000420CB"/>
    <w:rsid w:val="00042E2A"/>
    <w:rsid w:val="00043A90"/>
    <w:rsid w:val="000440FA"/>
    <w:rsid w:val="00045194"/>
    <w:rsid w:val="000454BB"/>
    <w:rsid w:val="00045D12"/>
    <w:rsid w:val="000469B0"/>
    <w:rsid w:val="000478C1"/>
    <w:rsid w:val="00047E3D"/>
    <w:rsid w:val="000519E2"/>
    <w:rsid w:val="00051E95"/>
    <w:rsid w:val="0005285E"/>
    <w:rsid w:val="000529CB"/>
    <w:rsid w:val="00052CAE"/>
    <w:rsid w:val="00053F02"/>
    <w:rsid w:val="000546F9"/>
    <w:rsid w:val="000558F3"/>
    <w:rsid w:val="00055965"/>
    <w:rsid w:val="000561CD"/>
    <w:rsid w:val="000607C2"/>
    <w:rsid w:val="00060A2F"/>
    <w:rsid w:val="00062063"/>
    <w:rsid w:val="00062148"/>
    <w:rsid w:val="00062212"/>
    <w:rsid w:val="00062353"/>
    <w:rsid w:val="000643C7"/>
    <w:rsid w:val="00064BDA"/>
    <w:rsid w:val="00065232"/>
    <w:rsid w:val="000666F6"/>
    <w:rsid w:val="0007000B"/>
    <w:rsid w:val="000717DC"/>
    <w:rsid w:val="00071AC9"/>
    <w:rsid w:val="00072376"/>
    <w:rsid w:val="00072CF8"/>
    <w:rsid w:val="00072EE0"/>
    <w:rsid w:val="0007350E"/>
    <w:rsid w:val="00073781"/>
    <w:rsid w:val="00073A7F"/>
    <w:rsid w:val="00074856"/>
    <w:rsid w:val="00075849"/>
    <w:rsid w:val="00076B2A"/>
    <w:rsid w:val="000777C1"/>
    <w:rsid w:val="000812B6"/>
    <w:rsid w:val="0008140F"/>
    <w:rsid w:val="00082F1B"/>
    <w:rsid w:val="00086D52"/>
    <w:rsid w:val="00086E34"/>
    <w:rsid w:val="000870C7"/>
    <w:rsid w:val="00087E77"/>
    <w:rsid w:val="000901FE"/>
    <w:rsid w:val="0009164E"/>
    <w:rsid w:val="000928AA"/>
    <w:rsid w:val="00093DD0"/>
    <w:rsid w:val="00095210"/>
    <w:rsid w:val="000959D4"/>
    <w:rsid w:val="00095E02"/>
    <w:rsid w:val="00095FA6"/>
    <w:rsid w:val="000968D9"/>
    <w:rsid w:val="00096B36"/>
    <w:rsid w:val="00096C37"/>
    <w:rsid w:val="00097730"/>
    <w:rsid w:val="000A0E26"/>
    <w:rsid w:val="000A17D9"/>
    <w:rsid w:val="000A2064"/>
    <w:rsid w:val="000A264F"/>
    <w:rsid w:val="000A2C6B"/>
    <w:rsid w:val="000A3457"/>
    <w:rsid w:val="000A43F2"/>
    <w:rsid w:val="000A4A7D"/>
    <w:rsid w:val="000A4A98"/>
    <w:rsid w:val="000A50DF"/>
    <w:rsid w:val="000A59FA"/>
    <w:rsid w:val="000A6385"/>
    <w:rsid w:val="000A6856"/>
    <w:rsid w:val="000A6DEE"/>
    <w:rsid w:val="000A7545"/>
    <w:rsid w:val="000B0158"/>
    <w:rsid w:val="000B1447"/>
    <w:rsid w:val="000B2CC3"/>
    <w:rsid w:val="000B46AE"/>
    <w:rsid w:val="000B4724"/>
    <w:rsid w:val="000B59E0"/>
    <w:rsid w:val="000B6E5F"/>
    <w:rsid w:val="000B7B89"/>
    <w:rsid w:val="000C011E"/>
    <w:rsid w:val="000C066B"/>
    <w:rsid w:val="000C0BC8"/>
    <w:rsid w:val="000C0BE7"/>
    <w:rsid w:val="000C1601"/>
    <w:rsid w:val="000C20EE"/>
    <w:rsid w:val="000C2B78"/>
    <w:rsid w:val="000C2D00"/>
    <w:rsid w:val="000C3D1C"/>
    <w:rsid w:val="000C4341"/>
    <w:rsid w:val="000C43BD"/>
    <w:rsid w:val="000C4B93"/>
    <w:rsid w:val="000C4F75"/>
    <w:rsid w:val="000C5AF3"/>
    <w:rsid w:val="000C675D"/>
    <w:rsid w:val="000C6FAF"/>
    <w:rsid w:val="000C74A5"/>
    <w:rsid w:val="000C7E46"/>
    <w:rsid w:val="000D0649"/>
    <w:rsid w:val="000D0B87"/>
    <w:rsid w:val="000D0CB4"/>
    <w:rsid w:val="000D26D6"/>
    <w:rsid w:val="000D2C83"/>
    <w:rsid w:val="000D47E3"/>
    <w:rsid w:val="000D4DD6"/>
    <w:rsid w:val="000D5C00"/>
    <w:rsid w:val="000D600D"/>
    <w:rsid w:val="000D6067"/>
    <w:rsid w:val="000D6D7F"/>
    <w:rsid w:val="000D7DCA"/>
    <w:rsid w:val="000E06B1"/>
    <w:rsid w:val="000E1473"/>
    <w:rsid w:val="000E14D7"/>
    <w:rsid w:val="000E2EB0"/>
    <w:rsid w:val="000E3BD8"/>
    <w:rsid w:val="000E41F7"/>
    <w:rsid w:val="000E46DA"/>
    <w:rsid w:val="000E52EA"/>
    <w:rsid w:val="000E581A"/>
    <w:rsid w:val="000E7300"/>
    <w:rsid w:val="000E77BA"/>
    <w:rsid w:val="000E7C4F"/>
    <w:rsid w:val="000F02E5"/>
    <w:rsid w:val="000F0ACF"/>
    <w:rsid w:val="000F0ADA"/>
    <w:rsid w:val="000F0CC4"/>
    <w:rsid w:val="000F1C48"/>
    <w:rsid w:val="000F30FD"/>
    <w:rsid w:val="000F4382"/>
    <w:rsid w:val="000F48B9"/>
    <w:rsid w:val="000F4F66"/>
    <w:rsid w:val="000F570F"/>
    <w:rsid w:val="000F5893"/>
    <w:rsid w:val="000F689C"/>
    <w:rsid w:val="00101A48"/>
    <w:rsid w:val="00101E30"/>
    <w:rsid w:val="001021FF"/>
    <w:rsid w:val="00102284"/>
    <w:rsid w:val="00103711"/>
    <w:rsid w:val="001039AD"/>
    <w:rsid w:val="00104FB9"/>
    <w:rsid w:val="001052E7"/>
    <w:rsid w:val="00106048"/>
    <w:rsid w:val="00106B51"/>
    <w:rsid w:val="00107E58"/>
    <w:rsid w:val="0011027E"/>
    <w:rsid w:val="0011061E"/>
    <w:rsid w:val="00110D60"/>
    <w:rsid w:val="00112540"/>
    <w:rsid w:val="001129FD"/>
    <w:rsid w:val="00112F8E"/>
    <w:rsid w:val="00113107"/>
    <w:rsid w:val="00114C76"/>
    <w:rsid w:val="00115139"/>
    <w:rsid w:val="0011586B"/>
    <w:rsid w:val="001162F8"/>
    <w:rsid w:val="00122D52"/>
    <w:rsid w:val="0012305E"/>
    <w:rsid w:val="00123C9C"/>
    <w:rsid w:val="00125A38"/>
    <w:rsid w:val="00126519"/>
    <w:rsid w:val="001277DB"/>
    <w:rsid w:val="00127C4F"/>
    <w:rsid w:val="00130DC3"/>
    <w:rsid w:val="00131232"/>
    <w:rsid w:val="00131987"/>
    <w:rsid w:val="0013199E"/>
    <w:rsid w:val="00133A91"/>
    <w:rsid w:val="001348AC"/>
    <w:rsid w:val="00135373"/>
    <w:rsid w:val="001359B0"/>
    <w:rsid w:val="00140079"/>
    <w:rsid w:val="00141796"/>
    <w:rsid w:val="00142293"/>
    <w:rsid w:val="001436B9"/>
    <w:rsid w:val="00143943"/>
    <w:rsid w:val="00143EB2"/>
    <w:rsid w:val="001440F3"/>
    <w:rsid w:val="00144476"/>
    <w:rsid w:val="00144937"/>
    <w:rsid w:val="00145E22"/>
    <w:rsid w:val="00145E56"/>
    <w:rsid w:val="0014674C"/>
    <w:rsid w:val="00147851"/>
    <w:rsid w:val="00150A4B"/>
    <w:rsid w:val="00150C1C"/>
    <w:rsid w:val="0015139A"/>
    <w:rsid w:val="0015202B"/>
    <w:rsid w:val="001542A1"/>
    <w:rsid w:val="00154340"/>
    <w:rsid w:val="00154723"/>
    <w:rsid w:val="00156219"/>
    <w:rsid w:val="00156318"/>
    <w:rsid w:val="00156A69"/>
    <w:rsid w:val="0015781D"/>
    <w:rsid w:val="00157FD6"/>
    <w:rsid w:val="001613B8"/>
    <w:rsid w:val="001617CD"/>
    <w:rsid w:val="0016201E"/>
    <w:rsid w:val="001627C3"/>
    <w:rsid w:val="00162BB9"/>
    <w:rsid w:val="001639F0"/>
    <w:rsid w:val="00163A34"/>
    <w:rsid w:val="00163C20"/>
    <w:rsid w:val="00164B62"/>
    <w:rsid w:val="00164C68"/>
    <w:rsid w:val="00164E62"/>
    <w:rsid w:val="00164EEB"/>
    <w:rsid w:val="00165691"/>
    <w:rsid w:val="00165900"/>
    <w:rsid w:val="00166184"/>
    <w:rsid w:val="00166209"/>
    <w:rsid w:val="00166DA3"/>
    <w:rsid w:val="0016708A"/>
    <w:rsid w:val="001675A5"/>
    <w:rsid w:val="001706DA"/>
    <w:rsid w:val="001707C2"/>
    <w:rsid w:val="00171558"/>
    <w:rsid w:val="00171879"/>
    <w:rsid w:val="00171BA1"/>
    <w:rsid w:val="001728BF"/>
    <w:rsid w:val="00172BE6"/>
    <w:rsid w:val="00172CB9"/>
    <w:rsid w:val="00172D80"/>
    <w:rsid w:val="001736BE"/>
    <w:rsid w:val="00173717"/>
    <w:rsid w:val="0017541F"/>
    <w:rsid w:val="0017620F"/>
    <w:rsid w:val="00176675"/>
    <w:rsid w:val="00176A8A"/>
    <w:rsid w:val="0017754C"/>
    <w:rsid w:val="001776B2"/>
    <w:rsid w:val="00177BAA"/>
    <w:rsid w:val="001805A4"/>
    <w:rsid w:val="0018438C"/>
    <w:rsid w:val="00186A35"/>
    <w:rsid w:val="00187375"/>
    <w:rsid w:val="00190880"/>
    <w:rsid w:val="0019150B"/>
    <w:rsid w:val="0019179C"/>
    <w:rsid w:val="00191823"/>
    <w:rsid w:val="00191C0E"/>
    <w:rsid w:val="0019235C"/>
    <w:rsid w:val="0019373C"/>
    <w:rsid w:val="00193E8B"/>
    <w:rsid w:val="00194F16"/>
    <w:rsid w:val="001953D7"/>
    <w:rsid w:val="001958E6"/>
    <w:rsid w:val="001963AF"/>
    <w:rsid w:val="00196C3A"/>
    <w:rsid w:val="00197F10"/>
    <w:rsid w:val="001A0115"/>
    <w:rsid w:val="001A0A01"/>
    <w:rsid w:val="001A1082"/>
    <w:rsid w:val="001A1726"/>
    <w:rsid w:val="001A1939"/>
    <w:rsid w:val="001A302D"/>
    <w:rsid w:val="001A3B98"/>
    <w:rsid w:val="001A486F"/>
    <w:rsid w:val="001A4C84"/>
    <w:rsid w:val="001A5284"/>
    <w:rsid w:val="001A5AAD"/>
    <w:rsid w:val="001A7275"/>
    <w:rsid w:val="001B0431"/>
    <w:rsid w:val="001B1C8C"/>
    <w:rsid w:val="001B1D4C"/>
    <w:rsid w:val="001B3847"/>
    <w:rsid w:val="001B3F06"/>
    <w:rsid w:val="001B4DD5"/>
    <w:rsid w:val="001B7940"/>
    <w:rsid w:val="001B7B82"/>
    <w:rsid w:val="001C083E"/>
    <w:rsid w:val="001C0987"/>
    <w:rsid w:val="001C0ACB"/>
    <w:rsid w:val="001C128A"/>
    <w:rsid w:val="001C1D79"/>
    <w:rsid w:val="001C2294"/>
    <w:rsid w:val="001C2BD2"/>
    <w:rsid w:val="001C500B"/>
    <w:rsid w:val="001C591C"/>
    <w:rsid w:val="001C5A44"/>
    <w:rsid w:val="001C6609"/>
    <w:rsid w:val="001C69C1"/>
    <w:rsid w:val="001C7793"/>
    <w:rsid w:val="001C7D3B"/>
    <w:rsid w:val="001D0461"/>
    <w:rsid w:val="001D0E07"/>
    <w:rsid w:val="001D0FCB"/>
    <w:rsid w:val="001D11D9"/>
    <w:rsid w:val="001D31D1"/>
    <w:rsid w:val="001D33C8"/>
    <w:rsid w:val="001D3E20"/>
    <w:rsid w:val="001D41C7"/>
    <w:rsid w:val="001D541C"/>
    <w:rsid w:val="001D5B3D"/>
    <w:rsid w:val="001D5D8F"/>
    <w:rsid w:val="001D61DD"/>
    <w:rsid w:val="001D6D2D"/>
    <w:rsid w:val="001D6D9C"/>
    <w:rsid w:val="001E00F2"/>
    <w:rsid w:val="001E0EE1"/>
    <w:rsid w:val="001E10BA"/>
    <w:rsid w:val="001E197D"/>
    <w:rsid w:val="001E1EA1"/>
    <w:rsid w:val="001E267D"/>
    <w:rsid w:val="001E2BC3"/>
    <w:rsid w:val="001E2FB1"/>
    <w:rsid w:val="001E3384"/>
    <w:rsid w:val="001E3F9D"/>
    <w:rsid w:val="001E52E6"/>
    <w:rsid w:val="001E66A4"/>
    <w:rsid w:val="001E67E6"/>
    <w:rsid w:val="001E7276"/>
    <w:rsid w:val="001F09E9"/>
    <w:rsid w:val="001F0C6B"/>
    <w:rsid w:val="001F0F28"/>
    <w:rsid w:val="001F1312"/>
    <w:rsid w:val="001F14DD"/>
    <w:rsid w:val="001F1FF5"/>
    <w:rsid w:val="001F4145"/>
    <w:rsid w:val="001F4396"/>
    <w:rsid w:val="001F4508"/>
    <w:rsid w:val="001F6A24"/>
    <w:rsid w:val="001F6AFE"/>
    <w:rsid w:val="001F6C21"/>
    <w:rsid w:val="001F6F98"/>
    <w:rsid w:val="001F6FBB"/>
    <w:rsid w:val="001F7C1D"/>
    <w:rsid w:val="00200141"/>
    <w:rsid w:val="00201C13"/>
    <w:rsid w:val="00202063"/>
    <w:rsid w:val="00202105"/>
    <w:rsid w:val="00202361"/>
    <w:rsid w:val="002024AD"/>
    <w:rsid w:val="00202F44"/>
    <w:rsid w:val="00204994"/>
    <w:rsid w:val="00204E99"/>
    <w:rsid w:val="00206E86"/>
    <w:rsid w:val="00206F24"/>
    <w:rsid w:val="00207284"/>
    <w:rsid w:val="00207CAE"/>
    <w:rsid w:val="002104DA"/>
    <w:rsid w:val="00210FA4"/>
    <w:rsid w:val="0021131A"/>
    <w:rsid w:val="00211AFA"/>
    <w:rsid w:val="00212046"/>
    <w:rsid w:val="00212BA3"/>
    <w:rsid w:val="00212D4D"/>
    <w:rsid w:val="00215629"/>
    <w:rsid w:val="0021601E"/>
    <w:rsid w:val="002168CE"/>
    <w:rsid w:val="0021696B"/>
    <w:rsid w:val="00220130"/>
    <w:rsid w:val="00220761"/>
    <w:rsid w:val="002219D0"/>
    <w:rsid w:val="00221B46"/>
    <w:rsid w:val="00222005"/>
    <w:rsid w:val="0022371E"/>
    <w:rsid w:val="00225443"/>
    <w:rsid w:val="0022569F"/>
    <w:rsid w:val="00225F47"/>
    <w:rsid w:val="002267DE"/>
    <w:rsid w:val="00226A41"/>
    <w:rsid w:val="0022758D"/>
    <w:rsid w:val="002301A4"/>
    <w:rsid w:val="002309A2"/>
    <w:rsid w:val="002309A5"/>
    <w:rsid w:val="00230D32"/>
    <w:rsid w:val="00231975"/>
    <w:rsid w:val="00233806"/>
    <w:rsid w:val="0023476D"/>
    <w:rsid w:val="00234B98"/>
    <w:rsid w:val="002354EA"/>
    <w:rsid w:val="0023576F"/>
    <w:rsid w:val="00237151"/>
    <w:rsid w:val="002462B4"/>
    <w:rsid w:val="00247060"/>
    <w:rsid w:val="00247D60"/>
    <w:rsid w:val="00247DE7"/>
    <w:rsid w:val="00247EAF"/>
    <w:rsid w:val="002507FA"/>
    <w:rsid w:val="0025081B"/>
    <w:rsid w:val="00251E54"/>
    <w:rsid w:val="00252484"/>
    <w:rsid w:val="00252C45"/>
    <w:rsid w:val="00253484"/>
    <w:rsid w:val="00253646"/>
    <w:rsid w:val="00254341"/>
    <w:rsid w:val="00255978"/>
    <w:rsid w:val="00256780"/>
    <w:rsid w:val="00256BDB"/>
    <w:rsid w:val="00257B5B"/>
    <w:rsid w:val="00260C58"/>
    <w:rsid w:val="0026130F"/>
    <w:rsid w:val="002622B1"/>
    <w:rsid w:val="00262C19"/>
    <w:rsid w:val="00263DBE"/>
    <w:rsid w:val="00264AA0"/>
    <w:rsid w:val="00265BCB"/>
    <w:rsid w:val="002669BE"/>
    <w:rsid w:val="00267133"/>
    <w:rsid w:val="00267641"/>
    <w:rsid w:val="00271194"/>
    <w:rsid w:val="002717A7"/>
    <w:rsid w:val="00273644"/>
    <w:rsid w:val="00273702"/>
    <w:rsid w:val="0027394B"/>
    <w:rsid w:val="00273FA5"/>
    <w:rsid w:val="00274DF7"/>
    <w:rsid w:val="002751ED"/>
    <w:rsid w:val="0027529F"/>
    <w:rsid w:val="00277EB1"/>
    <w:rsid w:val="00280031"/>
    <w:rsid w:val="00281038"/>
    <w:rsid w:val="00281380"/>
    <w:rsid w:val="002819B5"/>
    <w:rsid w:val="002828E3"/>
    <w:rsid w:val="00282AD9"/>
    <w:rsid w:val="00282EBF"/>
    <w:rsid w:val="00283851"/>
    <w:rsid w:val="00283CB7"/>
    <w:rsid w:val="00284200"/>
    <w:rsid w:val="00285546"/>
    <w:rsid w:val="0028567A"/>
    <w:rsid w:val="00286030"/>
    <w:rsid w:val="00287111"/>
    <w:rsid w:val="00287137"/>
    <w:rsid w:val="00287947"/>
    <w:rsid w:val="00290F3D"/>
    <w:rsid w:val="00291C61"/>
    <w:rsid w:val="00293B16"/>
    <w:rsid w:val="0029447A"/>
    <w:rsid w:val="0029462D"/>
    <w:rsid w:val="00294E99"/>
    <w:rsid w:val="00296CA3"/>
    <w:rsid w:val="002975B2"/>
    <w:rsid w:val="002A0132"/>
    <w:rsid w:val="002A331C"/>
    <w:rsid w:val="002A35BA"/>
    <w:rsid w:val="002A41B9"/>
    <w:rsid w:val="002A461F"/>
    <w:rsid w:val="002A4865"/>
    <w:rsid w:val="002A4E94"/>
    <w:rsid w:val="002A4F8D"/>
    <w:rsid w:val="002A5342"/>
    <w:rsid w:val="002B0D45"/>
    <w:rsid w:val="002B2458"/>
    <w:rsid w:val="002B2630"/>
    <w:rsid w:val="002B27B5"/>
    <w:rsid w:val="002B2869"/>
    <w:rsid w:val="002B314D"/>
    <w:rsid w:val="002B40E6"/>
    <w:rsid w:val="002B4E59"/>
    <w:rsid w:val="002B6707"/>
    <w:rsid w:val="002B78FE"/>
    <w:rsid w:val="002C0959"/>
    <w:rsid w:val="002C0F9E"/>
    <w:rsid w:val="002C131F"/>
    <w:rsid w:val="002C135C"/>
    <w:rsid w:val="002C16F6"/>
    <w:rsid w:val="002C1FED"/>
    <w:rsid w:val="002C231E"/>
    <w:rsid w:val="002C2337"/>
    <w:rsid w:val="002C5355"/>
    <w:rsid w:val="002C5507"/>
    <w:rsid w:val="002C6C29"/>
    <w:rsid w:val="002C6C49"/>
    <w:rsid w:val="002C7E5D"/>
    <w:rsid w:val="002C7EF5"/>
    <w:rsid w:val="002D0252"/>
    <w:rsid w:val="002D03FC"/>
    <w:rsid w:val="002D0FB3"/>
    <w:rsid w:val="002D1AEE"/>
    <w:rsid w:val="002D2A95"/>
    <w:rsid w:val="002D3BE8"/>
    <w:rsid w:val="002D4779"/>
    <w:rsid w:val="002D5016"/>
    <w:rsid w:val="002D56B7"/>
    <w:rsid w:val="002D65DF"/>
    <w:rsid w:val="002D6B9B"/>
    <w:rsid w:val="002D6EBD"/>
    <w:rsid w:val="002D7454"/>
    <w:rsid w:val="002D7501"/>
    <w:rsid w:val="002E093D"/>
    <w:rsid w:val="002E1321"/>
    <w:rsid w:val="002E1591"/>
    <w:rsid w:val="002E1657"/>
    <w:rsid w:val="002E16C1"/>
    <w:rsid w:val="002E1DFE"/>
    <w:rsid w:val="002E2244"/>
    <w:rsid w:val="002E2D6E"/>
    <w:rsid w:val="002E4B33"/>
    <w:rsid w:val="002E5B85"/>
    <w:rsid w:val="002E67B7"/>
    <w:rsid w:val="002E755C"/>
    <w:rsid w:val="002F030D"/>
    <w:rsid w:val="002F08C5"/>
    <w:rsid w:val="002F1621"/>
    <w:rsid w:val="002F1FCF"/>
    <w:rsid w:val="002F2D37"/>
    <w:rsid w:val="002F31F2"/>
    <w:rsid w:val="002F3448"/>
    <w:rsid w:val="002F71B3"/>
    <w:rsid w:val="003016A4"/>
    <w:rsid w:val="003017E0"/>
    <w:rsid w:val="00301E72"/>
    <w:rsid w:val="0030302B"/>
    <w:rsid w:val="0030318A"/>
    <w:rsid w:val="00303BD9"/>
    <w:rsid w:val="00303D43"/>
    <w:rsid w:val="00304284"/>
    <w:rsid w:val="0030482A"/>
    <w:rsid w:val="003048D3"/>
    <w:rsid w:val="00305664"/>
    <w:rsid w:val="00305A01"/>
    <w:rsid w:val="00305C76"/>
    <w:rsid w:val="003062E6"/>
    <w:rsid w:val="00306308"/>
    <w:rsid w:val="0030683A"/>
    <w:rsid w:val="00306EAB"/>
    <w:rsid w:val="00307127"/>
    <w:rsid w:val="003077CF"/>
    <w:rsid w:val="00310F57"/>
    <w:rsid w:val="00311B25"/>
    <w:rsid w:val="00312879"/>
    <w:rsid w:val="003130E5"/>
    <w:rsid w:val="003137AC"/>
    <w:rsid w:val="003138A8"/>
    <w:rsid w:val="003139ED"/>
    <w:rsid w:val="00316268"/>
    <w:rsid w:val="00316687"/>
    <w:rsid w:val="00317523"/>
    <w:rsid w:val="00320101"/>
    <w:rsid w:val="00321512"/>
    <w:rsid w:val="00321888"/>
    <w:rsid w:val="00321FB9"/>
    <w:rsid w:val="003233F0"/>
    <w:rsid w:val="0032361C"/>
    <w:rsid w:val="0032377D"/>
    <w:rsid w:val="00324235"/>
    <w:rsid w:val="003254DF"/>
    <w:rsid w:val="0032570B"/>
    <w:rsid w:val="00326393"/>
    <w:rsid w:val="003268B6"/>
    <w:rsid w:val="00327456"/>
    <w:rsid w:val="00327ADB"/>
    <w:rsid w:val="00327B31"/>
    <w:rsid w:val="00330586"/>
    <w:rsid w:val="0033146F"/>
    <w:rsid w:val="00335881"/>
    <w:rsid w:val="00336E08"/>
    <w:rsid w:val="0033702D"/>
    <w:rsid w:val="0033740B"/>
    <w:rsid w:val="00340780"/>
    <w:rsid w:val="00341029"/>
    <w:rsid w:val="00341171"/>
    <w:rsid w:val="003411A6"/>
    <w:rsid w:val="00341572"/>
    <w:rsid w:val="00341997"/>
    <w:rsid w:val="00341B2B"/>
    <w:rsid w:val="00342623"/>
    <w:rsid w:val="00343895"/>
    <w:rsid w:val="003450A1"/>
    <w:rsid w:val="003454AA"/>
    <w:rsid w:val="00346966"/>
    <w:rsid w:val="003507E8"/>
    <w:rsid w:val="00350FF7"/>
    <w:rsid w:val="00351D1F"/>
    <w:rsid w:val="0035224D"/>
    <w:rsid w:val="00353415"/>
    <w:rsid w:val="00353597"/>
    <w:rsid w:val="00353D29"/>
    <w:rsid w:val="003545FE"/>
    <w:rsid w:val="003547A9"/>
    <w:rsid w:val="00355806"/>
    <w:rsid w:val="003560DF"/>
    <w:rsid w:val="00356CB8"/>
    <w:rsid w:val="003571B7"/>
    <w:rsid w:val="0035757A"/>
    <w:rsid w:val="00360F2A"/>
    <w:rsid w:val="003624BB"/>
    <w:rsid w:val="00362693"/>
    <w:rsid w:val="003631A2"/>
    <w:rsid w:val="00363A1C"/>
    <w:rsid w:val="00363C85"/>
    <w:rsid w:val="00364826"/>
    <w:rsid w:val="00370D46"/>
    <w:rsid w:val="00372171"/>
    <w:rsid w:val="0037273D"/>
    <w:rsid w:val="00372FC5"/>
    <w:rsid w:val="003739C4"/>
    <w:rsid w:val="00374085"/>
    <w:rsid w:val="0037509A"/>
    <w:rsid w:val="00375427"/>
    <w:rsid w:val="003758FE"/>
    <w:rsid w:val="00376539"/>
    <w:rsid w:val="00377027"/>
    <w:rsid w:val="00380DF7"/>
    <w:rsid w:val="003829AD"/>
    <w:rsid w:val="0038427F"/>
    <w:rsid w:val="003843C3"/>
    <w:rsid w:val="00384AB2"/>
    <w:rsid w:val="00384C70"/>
    <w:rsid w:val="00384EF5"/>
    <w:rsid w:val="00385222"/>
    <w:rsid w:val="00385358"/>
    <w:rsid w:val="00385DF1"/>
    <w:rsid w:val="00386F9C"/>
    <w:rsid w:val="00387D25"/>
    <w:rsid w:val="00387D94"/>
    <w:rsid w:val="00387F8F"/>
    <w:rsid w:val="0039197D"/>
    <w:rsid w:val="003919CE"/>
    <w:rsid w:val="0039245B"/>
    <w:rsid w:val="003927EC"/>
    <w:rsid w:val="003935B3"/>
    <w:rsid w:val="00393710"/>
    <w:rsid w:val="0039373A"/>
    <w:rsid w:val="003942E8"/>
    <w:rsid w:val="0039473C"/>
    <w:rsid w:val="00394BD2"/>
    <w:rsid w:val="0039510B"/>
    <w:rsid w:val="003958F7"/>
    <w:rsid w:val="003970B2"/>
    <w:rsid w:val="003973BA"/>
    <w:rsid w:val="003A035B"/>
    <w:rsid w:val="003A1583"/>
    <w:rsid w:val="003A1766"/>
    <w:rsid w:val="003A3A95"/>
    <w:rsid w:val="003A43B0"/>
    <w:rsid w:val="003A56CD"/>
    <w:rsid w:val="003A5B0F"/>
    <w:rsid w:val="003A6D2A"/>
    <w:rsid w:val="003A6DF0"/>
    <w:rsid w:val="003A76B7"/>
    <w:rsid w:val="003B037C"/>
    <w:rsid w:val="003B05B7"/>
    <w:rsid w:val="003B1522"/>
    <w:rsid w:val="003B1665"/>
    <w:rsid w:val="003B25E3"/>
    <w:rsid w:val="003B2A74"/>
    <w:rsid w:val="003B44DE"/>
    <w:rsid w:val="003B518B"/>
    <w:rsid w:val="003B65C9"/>
    <w:rsid w:val="003B6662"/>
    <w:rsid w:val="003B7269"/>
    <w:rsid w:val="003B7698"/>
    <w:rsid w:val="003C0FEA"/>
    <w:rsid w:val="003C1240"/>
    <w:rsid w:val="003C1D1C"/>
    <w:rsid w:val="003C2AEE"/>
    <w:rsid w:val="003C2E90"/>
    <w:rsid w:val="003C49F7"/>
    <w:rsid w:val="003C5EF4"/>
    <w:rsid w:val="003D0C70"/>
    <w:rsid w:val="003D1423"/>
    <w:rsid w:val="003D26C9"/>
    <w:rsid w:val="003D2915"/>
    <w:rsid w:val="003D4FA9"/>
    <w:rsid w:val="003D65C4"/>
    <w:rsid w:val="003D6CA5"/>
    <w:rsid w:val="003E0CAC"/>
    <w:rsid w:val="003E0D73"/>
    <w:rsid w:val="003E2421"/>
    <w:rsid w:val="003E35F7"/>
    <w:rsid w:val="003E3A03"/>
    <w:rsid w:val="003E408E"/>
    <w:rsid w:val="003E442D"/>
    <w:rsid w:val="003E4718"/>
    <w:rsid w:val="003E56BA"/>
    <w:rsid w:val="003E6EF8"/>
    <w:rsid w:val="003E7D68"/>
    <w:rsid w:val="003F0071"/>
    <w:rsid w:val="003F00DF"/>
    <w:rsid w:val="003F1011"/>
    <w:rsid w:val="003F1571"/>
    <w:rsid w:val="003F16DF"/>
    <w:rsid w:val="003F1C47"/>
    <w:rsid w:val="003F1D12"/>
    <w:rsid w:val="003F26AA"/>
    <w:rsid w:val="003F27CD"/>
    <w:rsid w:val="003F2B7F"/>
    <w:rsid w:val="003F3B45"/>
    <w:rsid w:val="003F61C9"/>
    <w:rsid w:val="003F63FA"/>
    <w:rsid w:val="003F6445"/>
    <w:rsid w:val="003F6631"/>
    <w:rsid w:val="003F6F47"/>
    <w:rsid w:val="003F71C9"/>
    <w:rsid w:val="003F7540"/>
    <w:rsid w:val="003F7D49"/>
    <w:rsid w:val="003F7DF6"/>
    <w:rsid w:val="003F7EEF"/>
    <w:rsid w:val="004002C6"/>
    <w:rsid w:val="00401115"/>
    <w:rsid w:val="004030A2"/>
    <w:rsid w:val="004030E3"/>
    <w:rsid w:val="004037FB"/>
    <w:rsid w:val="0040481F"/>
    <w:rsid w:val="0040530B"/>
    <w:rsid w:val="00405E34"/>
    <w:rsid w:val="00406D30"/>
    <w:rsid w:val="00407269"/>
    <w:rsid w:val="0040737B"/>
    <w:rsid w:val="00407CBF"/>
    <w:rsid w:val="00407D80"/>
    <w:rsid w:val="00410218"/>
    <w:rsid w:val="004105D4"/>
    <w:rsid w:val="004123A2"/>
    <w:rsid w:val="004126A2"/>
    <w:rsid w:val="00413D57"/>
    <w:rsid w:val="00414FC3"/>
    <w:rsid w:val="00415719"/>
    <w:rsid w:val="00415CA3"/>
    <w:rsid w:val="00415F45"/>
    <w:rsid w:val="00416A01"/>
    <w:rsid w:val="00416E4A"/>
    <w:rsid w:val="00417F3A"/>
    <w:rsid w:val="00420181"/>
    <w:rsid w:val="00420784"/>
    <w:rsid w:val="0042146B"/>
    <w:rsid w:val="004215F1"/>
    <w:rsid w:val="00423443"/>
    <w:rsid w:val="00423921"/>
    <w:rsid w:val="00423C20"/>
    <w:rsid w:val="0042500A"/>
    <w:rsid w:val="0042513A"/>
    <w:rsid w:val="00425322"/>
    <w:rsid w:val="00425596"/>
    <w:rsid w:val="00426B7D"/>
    <w:rsid w:val="0042771D"/>
    <w:rsid w:val="00427FF3"/>
    <w:rsid w:val="0043076E"/>
    <w:rsid w:val="0043102E"/>
    <w:rsid w:val="004317D4"/>
    <w:rsid w:val="00433288"/>
    <w:rsid w:val="00433667"/>
    <w:rsid w:val="00433BCE"/>
    <w:rsid w:val="00433C38"/>
    <w:rsid w:val="00434873"/>
    <w:rsid w:val="00435BBC"/>
    <w:rsid w:val="004373FB"/>
    <w:rsid w:val="00437431"/>
    <w:rsid w:val="00437B06"/>
    <w:rsid w:val="00440E8D"/>
    <w:rsid w:val="004416E4"/>
    <w:rsid w:val="00441779"/>
    <w:rsid w:val="00441A36"/>
    <w:rsid w:val="0044367B"/>
    <w:rsid w:val="00443E31"/>
    <w:rsid w:val="0044495F"/>
    <w:rsid w:val="00444BF6"/>
    <w:rsid w:val="0044645D"/>
    <w:rsid w:val="00447AF1"/>
    <w:rsid w:val="00447ED2"/>
    <w:rsid w:val="00447F13"/>
    <w:rsid w:val="00450929"/>
    <w:rsid w:val="004526ED"/>
    <w:rsid w:val="00452BA6"/>
    <w:rsid w:val="00452D67"/>
    <w:rsid w:val="00454C41"/>
    <w:rsid w:val="00454E8B"/>
    <w:rsid w:val="00456038"/>
    <w:rsid w:val="004562CF"/>
    <w:rsid w:val="004569CF"/>
    <w:rsid w:val="00461315"/>
    <w:rsid w:val="004616BE"/>
    <w:rsid w:val="004619D6"/>
    <w:rsid w:val="00461CBB"/>
    <w:rsid w:val="0046232E"/>
    <w:rsid w:val="004634BD"/>
    <w:rsid w:val="0046386A"/>
    <w:rsid w:val="0046386E"/>
    <w:rsid w:val="00463CCD"/>
    <w:rsid w:val="004642A5"/>
    <w:rsid w:val="00464FC9"/>
    <w:rsid w:val="00465065"/>
    <w:rsid w:val="00466632"/>
    <w:rsid w:val="00466810"/>
    <w:rsid w:val="00467556"/>
    <w:rsid w:val="00470285"/>
    <w:rsid w:val="00471616"/>
    <w:rsid w:val="00472743"/>
    <w:rsid w:val="00472A62"/>
    <w:rsid w:val="0047380B"/>
    <w:rsid w:val="00473891"/>
    <w:rsid w:val="004740E5"/>
    <w:rsid w:val="0047437D"/>
    <w:rsid w:val="004757B8"/>
    <w:rsid w:val="0047716D"/>
    <w:rsid w:val="00477603"/>
    <w:rsid w:val="00477C78"/>
    <w:rsid w:val="00480D3C"/>
    <w:rsid w:val="00480F97"/>
    <w:rsid w:val="00481D80"/>
    <w:rsid w:val="004829E2"/>
    <w:rsid w:val="00482DFA"/>
    <w:rsid w:val="0048311B"/>
    <w:rsid w:val="00483430"/>
    <w:rsid w:val="004835DB"/>
    <w:rsid w:val="004837A7"/>
    <w:rsid w:val="00483FA2"/>
    <w:rsid w:val="00484118"/>
    <w:rsid w:val="00484918"/>
    <w:rsid w:val="00484FF7"/>
    <w:rsid w:val="00485942"/>
    <w:rsid w:val="00486242"/>
    <w:rsid w:val="0048742A"/>
    <w:rsid w:val="00487B9D"/>
    <w:rsid w:val="00487DE8"/>
    <w:rsid w:val="00491828"/>
    <w:rsid w:val="00492640"/>
    <w:rsid w:val="004927BE"/>
    <w:rsid w:val="004928CF"/>
    <w:rsid w:val="00492C28"/>
    <w:rsid w:val="00492EEB"/>
    <w:rsid w:val="00493661"/>
    <w:rsid w:val="004942CC"/>
    <w:rsid w:val="004959C0"/>
    <w:rsid w:val="00496354"/>
    <w:rsid w:val="00496525"/>
    <w:rsid w:val="00496A45"/>
    <w:rsid w:val="00496AB9"/>
    <w:rsid w:val="004A0492"/>
    <w:rsid w:val="004A04F8"/>
    <w:rsid w:val="004A05CA"/>
    <w:rsid w:val="004A0D7E"/>
    <w:rsid w:val="004A18BC"/>
    <w:rsid w:val="004A1FD6"/>
    <w:rsid w:val="004A2319"/>
    <w:rsid w:val="004A281C"/>
    <w:rsid w:val="004A3178"/>
    <w:rsid w:val="004A425F"/>
    <w:rsid w:val="004A463F"/>
    <w:rsid w:val="004A486F"/>
    <w:rsid w:val="004A5E8C"/>
    <w:rsid w:val="004A605C"/>
    <w:rsid w:val="004A6C5E"/>
    <w:rsid w:val="004A7C0B"/>
    <w:rsid w:val="004B168F"/>
    <w:rsid w:val="004B2040"/>
    <w:rsid w:val="004B2ABE"/>
    <w:rsid w:val="004B2F64"/>
    <w:rsid w:val="004B306B"/>
    <w:rsid w:val="004B3098"/>
    <w:rsid w:val="004B3B08"/>
    <w:rsid w:val="004B401C"/>
    <w:rsid w:val="004B5841"/>
    <w:rsid w:val="004B632D"/>
    <w:rsid w:val="004B6E6D"/>
    <w:rsid w:val="004B6F29"/>
    <w:rsid w:val="004B753E"/>
    <w:rsid w:val="004B7BB9"/>
    <w:rsid w:val="004B7E62"/>
    <w:rsid w:val="004C08E0"/>
    <w:rsid w:val="004C0B77"/>
    <w:rsid w:val="004C11F3"/>
    <w:rsid w:val="004C12F6"/>
    <w:rsid w:val="004C2183"/>
    <w:rsid w:val="004C2701"/>
    <w:rsid w:val="004C2A63"/>
    <w:rsid w:val="004C3D59"/>
    <w:rsid w:val="004C425D"/>
    <w:rsid w:val="004C459F"/>
    <w:rsid w:val="004C45A1"/>
    <w:rsid w:val="004C49E9"/>
    <w:rsid w:val="004C56DE"/>
    <w:rsid w:val="004C5D4B"/>
    <w:rsid w:val="004C6A76"/>
    <w:rsid w:val="004C7311"/>
    <w:rsid w:val="004C7F6A"/>
    <w:rsid w:val="004D0E5A"/>
    <w:rsid w:val="004D0E7C"/>
    <w:rsid w:val="004D219B"/>
    <w:rsid w:val="004D26FB"/>
    <w:rsid w:val="004D2B67"/>
    <w:rsid w:val="004D36EA"/>
    <w:rsid w:val="004D4476"/>
    <w:rsid w:val="004D50AE"/>
    <w:rsid w:val="004D5F09"/>
    <w:rsid w:val="004D6158"/>
    <w:rsid w:val="004D6366"/>
    <w:rsid w:val="004D73D4"/>
    <w:rsid w:val="004D7436"/>
    <w:rsid w:val="004E00C0"/>
    <w:rsid w:val="004E0500"/>
    <w:rsid w:val="004E0941"/>
    <w:rsid w:val="004E1779"/>
    <w:rsid w:val="004E193E"/>
    <w:rsid w:val="004E4286"/>
    <w:rsid w:val="004E42A7"/>
    <w:rsid w:val="004E50C9"/>
    <w:rsid w:val="004E5444"/>
    <w:rsid w:val="004E59B0"/>
    <w:rsid w:val="004E6BA2"/>
    <w:rsid w:val="004F0777"/>
    <w:rsid w:val="004F11EF"/>
    <w:rsid w:val="004F1AA2"/>
    <w:rsid w:val="004F1AE7"/>
    <w:rsid w:val="004F1D5D"/>
    <w:rsid w:val="004F1F65"/>
    <w:rsid w:val="004F222F"/>
    <w:rsid w:val="004F258A"/>
    <w:rsid w:val="004F2FC8"/>
    <w:rsid w:val="004F33D0"/>
    <w:rsid w:val="004F581D"/>
    <w:rsid w:val="004F581E"/>
    <w:rsid w:val="004F7195"/>
    <w:rsid w:val="00500D63"/>
    <w:rsid w:val="00500FA3"/>
    <w:rsid w:val="00501260"/>
    <w:rsid w:val="00501510"/>
    <w:rsid w:val="00501A47"/>
    <w:rsid w:val="00501B37"/>
    <w:rsid w:val="00502A41"/>
    <w:rsid w:val="00502E71"/>
    <w:rsid w:val="0050320F"/>
    <w:rsid w:val="0050321F"/>
    <w:rsid w:val="00504116"/>
    <w:rsid w:val="00505472"/>
    <w:rsid w:val="00506679"/>
    <w:rsid w:val="005076F4"/>
    <w:rsid w:val="00507C68"/>
    <w:rsid w:val="00507EC1"/>
    <w:rsid w:val="00507F27"/>
    <w:rsid w:val="00510154"/>
    <w:rsid w:val="005107C2"/>
    <w:rsid w:val="00510D19"/>
    <w:rsid w:val="00511063"/>
    <w:rsid w:val="00511270"/>
    <w:rsid w:val="00512B70"/>
    <w:rsid w:val="00512CA2"/>
    <w:rsid w:val="00513782"/>
    <w:rsid w:val="00513A51"/>
    <w:rsid w:val="00513B8B"/>
    <w:rsid w:val="00514864"/>
    <w:rsid w:val="00514EF7"/>
    <w:rsid w:val="00515E8C"/>
    <w:rsid w:val="005168B6"/>
    <w:rsid w:val="00517008"/>
    <w:rsid w:val="00517F35"/>
    <w:rsid w:val="00517F63"/>
    <w:rsid w:val="00520140"/>
    <w:rsid w:val="00521B50"/>
    <w:rsid w:val="00522963"/>
    <w:rsid w:val="005233E1"/>
    <w:rsid w:val="005240D9"/>
    <w:rsid w:val="005242D8"/>
    <w:rsid w:val="005262CD"/>
    <w:rsid w:val="00526B76"/>
    <w:rsid w:val="00527C67"/>
    <w:rsid w:val="00530E65"/>
    <w:rsid w:val="00531284"/>
    <w:rsid w:val="005329AE"/>
    <w:rsid w:val="00533FB8"/>
    <w:rsid w:val="005348A0"/>
    <w:rsid w:val="00535466"/>
    <w:rsid w:val="00535B21"/>
    <w:rsid w:val="00535D4D"/>
    <w:rsid w:val="00535FC6"/>
    <w:rsid w:val="005366A3"/>
    <w:rsid w:val="00537904"/>
    <w:rsid w:val="00537E75"/>
    <w:rsid w:val="0054041A"/>
    <w:rsid w:val="00540A42"/>
    <w:rsid w:val="00541385"/>
    <w:rsid w:val="005429AB"/>
    <w:rsid w:val="00543187"/>
    <w:rsid w:val="00544016"/>
    <w:rsid w:val="00544946"/>
    <w:rsid w:val="00544EFE"/>
    <w:rsid w:val="00546242"/>
    <w:rsid w:val="00546B34"/>
    <w:rsid w:val="00546D07"/>
    <w:rsid w:val="0054712B"/>
    <w:rsid w:val="00552618"/>
    <w:rsid w:val="00552C9E"/>
    <w:rsid w:val="005534F0"/>
    <w:rsid w:val="00554199"/>
    <w:rsid w:val="005549AC"/>
    <w:rsid w:val="00554EB0"/>
    <w:rsid w:val="00555AAF"/>
    <w:rsid w:val="00555D09"/>
    <w:rsid w:val="00556426"/>
    <w:rsid w:val="00557055"/>
    <w:rsid w:val="0056000B"/>
    <w:rsid w:val="0056079A"/>
    <w:rsid w:val="00561072"/>
    <w:rsid w:val="00561F45"/>
    <w:rsid w:val="00562EE0"/>
    <w:rsid w:val="00562F4D"/>
    <w:rsid w:val="005645CC"/>
    <w:rsid w:val="005646BC"/>
    <w:rsid w:val="0056470B"/>
    <w:rsid w:val="00564CE2"/>
    <w:rsid w:val="0056504B"/>
    <w:rsid w:val="005660EC"/>
    <w:rsid w:val="005661A5"/>
    <w:rsid w:val="0056713C"/>
    <w:rsid w:val="00567904"/>
    <w:rsid w:val="00571B3C"/>
    <w:rsid w:val="00572BAE"/>
    <w:rsid w:val="00573162"/>
    <w:rsid w:val="00573F4D"/>
    <w:rsid w:val="00574039"/>
    <w:rsid w:val="005759FF"/>
    <w:rsid w:val="00575D15"/>
    <w:rsid w:val="00575D83"/>
    <w:rsid w:val="00576A3E"/>
    <w:rsid w:val="00577D7F"/>
    <w:rsid w:val="00577DDA"/>
    <w:rsid w:val="0058061C"/>
    <w:rsid w:val="0058126B"/>
    <w:rsid w:val="00581463"/>
    <w:rsid w:val="00581EA7"/>
    <w:rsid w:val="00582DD0"/>
    <w:rsid w:val="00582E32"/>
    <w:rsid w:val="00583A75"/>
    <w:rsid w:val="00583CB6"/>
    <w:rsid w:val="00584A7A"/>
    <w:rsid w:val="00584BD1"/>
    <w:rsid w:val="005852BD"/>
    <w:rsid w:val="00586198"/>
    <w:rsid w:val="00586A2B"/>
    <w:rsid w:val="00587548"/>
    <w:rsid w:val="005906E7"/>
    <w:rsid w:val="005909A0"/>
    <w:rsid w:val="00590EEB"/>
    <w:rsid w:val="00591659"/>
    <w:rsid w:val="0059277E"/>
    <w:rsid w:val="00593073"/>
    <w:rsid w:val="00595591"/>
    <w:rsid w:val="00596A85"/>
    <w:rsid w:val="00597BAB"/>
    <w:rsid w:val="005A17EF"/>
    <w:rsid w:val="005A1B96"/>
    <w:rsid w:val="005A216F"/>
    <w:rsid w:val="005A2D8B"/>
    <w:rsid w:val="005A344C"/>
    <w:rsid w:val="005A3558"/>
    <w:rsid w:val="005A4825"/>
    <w:rsid w:val="005A4E5D"/>
    <w:rsid w:val="005A571A"/>
    <w:rsid w:val="005A5B94"/>
    <w:rsid w:val="005A5E51"/>
    <w:rsid w:val="005A6363"/>
    <w:rsid w:val="005A661F"/>
    <w:rsid w:val="005A721F"/>
    <w:rsid w:val="005A7CB4"/>
    <w:rsid w:val="005B032A"/>
    <w:rsid w:val="005B03E5"/>
    <w:rsid w:val="005B04E8"/>
    <w:rsid w:val="005B12AA"/>
    <w:rsid w:val="005B2CF4"/>
    <w:rsid w:val="005B2FD1"/>
    <w:rsid w:val="005B3A7C"/>
    <w:rsid w:val="005B4048"/>
    <w:rsid w:val="005B5198"/>
    <w:rsid w:val="005B579C"/>
    <w:rsid w:val="005B5D36"/>
    <w:rsid w:val="005B5E5D"/>
    <w:rsid w:val="005B5E86"/>
    <w:rsid w:val="005B61F8"/>
    <w:rsid w:val="005B64C0"/>
    <w:rsid w:val="005B677A"/>
    <w:rsid w:val="005B7BFF"/>
    <w:rsid w:val="005C17DD"/>
    <w:rsid w:val="005C2300"/>
    <w:rsid w:val="005C377D"/>
    <w:rsid w:val="005C40D3"/>
    <w:rsid w:val="005C41B0"/>
    <w:rsid w:val="005C42F7"/>
    <w:rsid w:val="005C49BF"/>
    <w:rsid w:val="005C4EE7"/>
    <w:rsid w:val="005C5E1B"/>
    <w:rsid w:val="005C63E5"/>
    <w:rsid w:val="005C7A51"/>
    <w:rsid w:val="005C7BDA"/>
    <w:rsid w:val="005D25E1"/>
    <w:rsid w:val="005D25ED"/>
    <w:rsid w:val="005D267C"/>
    <w:rsid w:val="005D4F56"/>
    <w:rsid w:val="005D5509"/>
    <w:rsid w:val="005D5C82"/>
    <w:rsid w:val="005D5F8F"/>
    <w:rsid w:val="005D67ED"/>
    <w:rsid w:val="005D732E"/>
    <w:rsid w:val="005D735C"/>
    <w:rsid w:val="005E0810"/>
    <w:rsid w:val="005E2B0C"/>
    <w:rsid w:val="005E3575"/>
    <w:rsid w:val="005E4007"/>
    <w:rsid w:val="005E48DC"/>
    <w:rsid w:val="005E5285"/>
    <w:rsid w:val="005E5616"/>
    <w:rsid w:val="005E5828"/>
    <w:rsid w:val="005E5F68"/>
    <w:rsid w:val="005E6461"/>
    <w:rsid w:val="005E656A"/>
    <w:rsid w:val="005E676F"/>
    <w:rsid w:val="005E7D98"/>
    <w:rsid w:val="005F002C"/>
    <w:rsid w:val="005F10BD"/>
    <w:rsid w:val="005F1372"/>
    <w:rsid w:val="005F185D"/>
    <w:rsid w:val="005F343C"/>
    <w:rsid w:val="005F34D8"/>
    <w:rsid w:val="005F3626"/>
    <w:rsid w:val="005F5D13"/>
    <w:rsid w:val="005F5F71"/>
    <w:rsid w:val="005F7303"/>
    <w:rsid w:val="005F78D7"/>
    <w:rsid w:val="005F7976"/>
    <w:rsid w:val="005F7D42"/>
    <w:rsid w:val="00600C66"/>
    <w:rsid w:val="00600E7B"/>
    <w:rsid w:val="006011BA"/>
    <w:rsid w:val="00601A1E"/>
    <w:rsid w:val="00602AC7"/>
    <w:rsid w:val="00602B1D"/>
    <w:rsid w:val="00603A6A"/>
    <w:rsid w:val="006041E6"/>
    <w:rsid w:val="006045EA"/>
    <w:rsid w:val="006048B0"/>
    <w:rsid w:val="00605BF1"/>
    <w:rsid w:val="00606557"/>
    <w:rsid w:val="0060727D"/>
    <w:rsid w:val="0060782B"/>
    <w:rsid w:val="00611826"/>
    <w:rsid w:val="00611C3C"/>
    <w:rsid w:val="006122B0"/>
    <w:rsid w:val="0061234A"/>
    <w:rsid w:val="006133E7"/>
    <w:rsid w:val="006133FF"/>
    <w:rsid w:val="00613ED2"/>
    <w:rsid w:val="00614792"/>
    <w:rsid w:val="00615641"/>
    <w:rsid w:val="0061583B"/>
    <w:rsid w:val="00615F0A"/>
    <w:rsid w:val="00621075"/>
    <w:rsid w:val="0062123F"/>
    <w:rsid w:val="006215BB"/>
    <w:rsid w:val="006219DB"/>
    <w:rsid w:val="00623E2B"/>
    <w:rsid w:val="0062442B"/>
    <w:rsid w:val="006245BA"/>
    <w:rsid w:val="00624887"/>
    <w:rsid w:val="00624B26"/>
    <w:rsid w:val="00624E08"/>
    <w:rsid w:val="0062520C"/>
    <w:rsid w:val="0062661D"/>
    <w:rsid w:val="006277A6"/>
    <w:rsid w:val="006309C5"/>
    <w:rsid w:val="006371EE"/>
    <w:rsid w:val="00637AFC"/>
    <w:rsid w:val="00637F99"/>
    <w:rsid w:val="00640726"/>
    <w:rsid w:val="00640880"/>
    <w:rsid w:val="00640AFF"/>
    <w:rsid w:val="00640D6E"/>
    <w:rsid w:val="00641777"/>
    <w:rsid w:val="006420EC"/>
    <w:rsid w:val="00643F60"/>
    <w:rsid w:val="00643F62"/>
    <w:rsid w:val="00643FA2"/>
    <w:rsid w:val="0064564D"/>
    <w:rsid w:val="0064628A"/>
    <w:rsid w:val="00647D90"/>
    <w:rsid w:val="00650FF1"/>
    <w:rsid w:val="00651536"/>
    <w:rsid w:val="006523B9"/>
    <w:rsid w:val="00652603"/>
    <w:rsid w:val="00652A87"/>
    <w:rsid w:val="00653443"/>
    <w:rsid w:val="006567A3"/>
    <w:rsid w:val="00656B16"/>
    <w:rsid w:val="00657343"/>
    <w:rsid w:val="0065738F"/>
    <w:rsid w:val="00660AEE"/>
    <w:rsid w:val="00661601"/>
    <w:rsid w:val="00661679"/>
    <w:rsid w:val="00661C24"/>
    <w:rsid w:val="00662938"/>
    <w:rsid w:val="00663D01"/>
    <w:rsid w:val="0066404F"/>
    <w:rsid w:val="00665C79"/>
    <w:rsid w:val="0066620A"/>
    <w:rsid w:val="00666395"/>
    <w:rsid w:val="00666611"/>
    <w:rsid w:val="0066714C"/>
    <w:rsid w:val="00667BD9"/>
    <w:rsid w:val="00667CC5"/>
    <w:rsid w:val="00670A7C"/>
    <w:rsid w:val="00671297"/>
    <w:rsid w:val="00671A82"/>
    <w:rsid w:val="00672FC9"/>
    <w:rsid w:val="00674C5A"/>
    <w:rsid w:val="00676B14"/>
    <w:rsid w:val="00676BE1"/>
    <w:rsid w:val="0067717A"/>
    <w:rsid w:val="006773BC"/>
    <w:rsid w:val="006805A0"/>
    <w:rsid w:val="00680BA2"/>
    <w:rsid w:val="00680F80"/>
    <w:rsid w:val="00681212"/>
    <w:rsid w:val="0068134E"/>
    <w:rsid w:val="00682E3C"/>
    <w:rsid w:val="0068452B"/>
    <w:rsid w:val="00684802"/>
    <w:rsid w:val="00685001"/>
    <w:rsid w:val="00685E12"/>
    <w:rsid w:val="00685F67"/>
    <w:rsid w:val="0068717B"/>
    <w:rsid w:val="006876D2"/>
    <w:rsid w:val="006877A4"/>
    <w:rsid w:val="0069160A"/>
    <w:rsid w:val="00691971"/>
    <w:rsid w:val="00691C27"/>
    <w:rsid w:val="006922A0"/>
    <w:rsid w:val="0069383B"/>
    <w:rsid w:val="00693CE0"/>
    <w:rsid w:val="006958CF"/>
    <w:rsid w:val="006971D4"/>
    <w:rsid w:val="0069793A"/>
    <w:rsid w:val="006979A9"/>
    <w:rsid w:val="00697EEF"/>
    <w:rsid w:val="006A0389"/>
    <w:rsid w:val="006A0C52"/>
    <w:rsid w:val="006A2549"/>
    <w:rsid w:val="006A3D4B"/>
    <w:rsid w:val="006A437B"/>
    <w:rsid w:val="006A43A0"/>
    <w:rsid w:val="006A544E"/>
    <w:rsid w:val="006A5546"/>
    <w:rsid w:val="006A5998"/>
    <w:rsid w:val="006A6073"/>
    <w:rsid w:val="006A6449"/>
    <w:rsid w:val="006A6BC2"/>
    <w:rsid w:val="006A70FB"/>
    <w:rsid w:val="006B02DA"/>
    <w:rsid w:val="006B0E1B"/>
    <w:rsid w:val="006B0EC1"/>
    <w:rsid w:val="006B0EFF"/>
    <w:rsid w:val="006B1662"/>
    <w:rsid w:val="006B1BDF"/>
    <w:rsid w:val="006B1D31"/>
    <w:rsid w:val="006B3AF2"/>
    <w:rsid w:val="006B5D1B"/>
    <w:rsid w:val="006B6A09"/>
    <w:rsid w:val="006B6A83"/>
    <w:rsid w:val="006C4B62"/>
    <w:rsid w:val="006C5311"/>
    <w:rsid w:val="006C78EB"/>
    <w:rsid w:val="006D05C5"/>
    <w:rsid w:val="006D0BB4"/>
    <w:rsid w:val="006D0BEF"/>
    <w:rsid w:val="006D0FC2"/>
    <w:rsid w:val="006D1856"/>
    <w:rsid w:val="006D1C14"/>
    <w:rsid w:val="006D1DA3"/>
    <w:rsid w:val="006D2E27"/>
    <w:rsid w:val="006D4214"/>
    <w:rsid w:val="006D4C07"/>
    <w:rsid w:val="006D52D9"/>
    <w:rsid w:val="006D52DD"/>
    <w:rsid w:val="006D5D58"/>
    <w:rsid w:val="006D5E17"/>
    <w:rsid w:val="006D6CAC"/>
    <w:rsid w:val="006D7B32"/>
    <w:rsid w:val="006E00EA"/>
    <w:rsid w:val="006E022F"/>
    <w:rsid w:val="006E026A"/>
    <w:rsid w:val="006E0921"/>
    <w:rsid w:val="006E0D98"/>
    <w:rsid w:val="006E14D9"/>
    <w:rsid w:val="006E1951"/>
    <w:rsid w:val="006E312D"/>
    <w:rsid w:val="006E39A2"/>
    <w:rsid w:val="006E427D"/>
    <w:rsid w:val="006E4F21"/>
    <w:rsid w:val="006E5D05"/>
    <w:rsid w:val="006F0770"/>
    <w:rsid w:val="006F0782"/>
    <w:rsid w:val="006F0AF2"/>
    <w:rsid w:val="006F3142"/>
    <w:rsid w:val="006F3456"/>
    <w:rsid w:val="006F3CFB"/>
    <w:rsid w:val="006F4039"/>
    <w:rsid w:val="006F4049"/>
    <w:rsid w:val="006F4C18"/>
    <w:rsid w:val="006F4D50"/>
    <w:rsid w:val="006F524E"/>
    <w:rsid w:val="006F5EA0"/>
    <w:rsid w:val="006F62B8"/>
    <w:rsid w:val="007004E4"/>
    <w:rsid w:val="007021DA"/>
    <w:rsid w:val="00703117"/>
    <w:rsid w:val="00703D93"/>
    <w:rsid w:val="00704067"/>
    <w:rsid w:val="007045DD"/>
    <w:rsid w:val="00704FD8"/>
    <w:rsid w:val="007056D5"/>
    <w:rsid w:val="0070585E"/>
    <w:rsid w:val="00706776"/>
    <w:rsid w:val="0071179E"/>
    <w:rsid w:val="00711B73"/>
    <w:rsid w:val="00711C5F"/>
    <w:rsid w:val="00711C9F"/>
    <w:rsid w:val="00711ECC"/>
    <w:rsid w:val="007123AE"/>
    <w:rsid w:val="00713022"/>
    <w:rsid w:val="0071468A"/>
    <w:rsid w:val="00715964"/>
    <w:rsid w:val="00715BEC"/>
    <w:rsid w:val="00715D4A"/>
    <w:rsid w:val="00715DFC"/>
    <w:rsid w:val="00716591"/>
    <w:rsid w:val="00717278"/>
    <w:rsid w:val="007174C6"/>
    <w:rsid w:val="00720E14"/>
    <w:rsid w:val="007221B1"/>
    <w:rsid w:val="00722DAF"/>
    <w:rsid w:val="0072313D"/>
    <w:rsid w:val="00723EA6"/>
    <w:rsid w:val="00724392"/>
    <w:rsid w:val="007248E2"/>
    <w:rsid w:val="00724A2C"/>
    <w:rsid w:val="00724AD4"/>
    <w:rsid w:val="00726ED6"/>
    <w:rsid w:val="007274A1"/>
    <w:rsid w:val="007277F2"/>
    <w:rsid w:val="00730300"/>
    <w:rsid w:val="007308C5"/>
    <w:rsid w:val="00730AB2"/>
    <w:rsid w:val="0073155E"/>
    <w:rsid w:val="0073363B"/>
    <w:rsid w:val="00733955"/>
    <w:rsid w:val="0073446E"/>
    <w:rsid w:val="007349F9"/>
    <w:rsid w:val="00735377"/>
    <w:rsid w:val="00735C35"/>
    <w:rsid w:val="00735ED8"/>
    <w:rsid w:val="00737740"/>
    <w:rsid w:val="00740601"/>
    <w:rsid w:val="00740EB7"/>
    <w:rsid w:val="00740ECF"/>
    <w:rsid w:val="00740F2C"/>
    <w:rsid w:val="0074158D"/>
    <w:rsid w:val="00741DC5"/>
    <w:rsid w:val="00742F74"/>
    <w:rsid w:val="0074329C"/>
    <w:rsid w:val="00744A91"/>
    <w:rsid w:val="00745256"/>
    <w:rsid w:val="0074662D"/>
    <w:rsid w:val="00747066"/>
    <w:rsid w:val="007501EC"/>
    <w:rsid w:val="007508AF"/>
    <w:rsid w:val="007509A2"/>
    <w:rsid w:val="00750A02"/>
    <w:rsid w:val="00754148"/>
    <w:rsid w:val="0075427B"/>
    <w:rsid w:val="007547D6"/>
    <w:rsid w:val="0075499B"/>
    <w:rsid w:val="007549F2"/>
    <w:rsid w:val="00756EB8"/>
    <w:rsid w:val="00756FF7"/>
    <w:rsid w:val="00757CAC"/>
    <w:rsid w:val="00757EDA"/>
    <w:rsid w:val="00760CA2"/>
    <w:rsid w:val="00760CEA"/>
    <w:rsid w:val="00761CF6"/>
    <w:rsid w:val="00761E7B"/>
    <w:rsid w:val="007620B3"/>
    <w:rsid w:val="00762D32"/>
    <w:rsid w:val="007642A7"/>
    <w:rsid w:val="007644CB"/>
    <w:rsid w:val="00764D21"/>
    <w:rsid w:val="0076503B"/>
    <w:rsid w:val="00765B7C"/>
    <w:rsid w:val="00766023"/>
    <w:rsid w:val="00766079"/>
    <w:rsid w:val="00767318"/>
    <w:rsid w:val="00767515"/>
    <w:rsid w:val="00770085"/>
    <w:rsid w:val="007703AB"/>
    <w:rsid w:val="007705C8"/>
    <w:rsid w:val="00771F92"/>
    <w:rsid w:val="007739E1"/>
    <w:rsid w:val="00774D3E"/>
    <w:rsid w:val="00775C53"/>
    <w:rsid w:val="007768A6"/>
    <w:rsid w:val="0077715C"/>
    <w:rsid w:val="007771C0"/>
    <w:rsid w:val="007807BF"/>
    <w:rsid w:val="00780C1B"/>
    <w:rsid w:val="00782058"/>
    <w:rsid w:val="00782D3B"/>
    <w:rsid w:val="007835A1"/>
    <w:rsid w:val="007838C4"/>
    <w:rsid w:val="00783B15"/>
    <w:rsid w:val="00783CED"/>
    <w:rsid w:val="00783D09"/>
    <w:rsid w:val="00785FD5"/>
    <w:rsid w:val="0078603A"/>
    <w:rsid w:val="0078676E"/>
    <w:rsid w:val="00786A64"/>
    <w:rsid w:val="00786BDB"/>
    <w:rsid w:val="00787485"/>
    <w:rsid w:val="00787BD5"/>
    <w:rsid w:val="0079083D"/>
    <w:rsid w:val="00791333"/>
    <w:rsid w:val="0079273B"/>
    <w:rsid w:val="00792880"/>
    <w:rsid w:val="0079346B"/>
    <w:rsid w:val="00793CC3"/>
    <w:rsid w:val="00793DF0"/>
    <w:rsid w:val="007941F0"/>
    <w:rsid w:val="00794BB9"/>
    <w:rsid w:val="007950FD"/>
    <w:rsid w:val="007951F9"/>
    <w:rsid w:val="00795ADD"/>
    <w:rsid w:val="00796393"/>
    <w:rsid w:val="00796E89"/>
    <w:rsid w:val="00796FE0"/>
    <w:rsid w:val="00797270"/>
    <w:rsid w:val="007979CF"/>
    <w:rsid w:val="007A0D27"/>
    <w:rsid w:val="007A152D"/>
    <w:rsid w:val="007A1EC1"/>
    <w:rsid w:val="007A236D"/>
    <w:rsid w:val="007A26B5"/>
    <w:rsid w:val="007A37C7"/>
    <w:rsid w:val="007A739D"/>
    <w:rsid w:val="007A768D"/>
    <w:rsid w:val="007A7AAA"/>
    <w:rsid w:val="007B25EC"/>
    <w:rsid w:val="007B29EC"/>
    <w:rsid w:val="007B3C66"/>
    <w:rsid w:val="007B3FC5"/>
    <w:rsid w:val="007B40E1"/>
    <w:rsid w:val="007B502D"/>
    <w:rsid w:val="007B5209"/>
    <w:rsid w:val="007B5B6A"/>
    <w:rsid w:val="007B5CB0"/>
    <w:rsid w:val="007B63D8"/>
    <w:rsid w:val="007B67C8"/>
    <w:rsid w:val="007B6E7E"/>
    <w:rsid w:val="007B6EA8"/>
    <w:rsid w:val="007B6FAE"/>
    <w:rsid w:val="007B7AFA"/>
    <w:rsid w:val="007B7DDC"/>
    <w:rsid w:val="007B7FC3"/>
    <w:rsid w:val="007C00DB"/>
    <w:rsid w:val="007C12E4"/>
    <w:rsid w:val="007C16E5"/>
    <w:rsid w:val="007C1FFF"/>
    <w:rsid w:val="007C2C80"/>
    <w:rsid w:val="007C4A49"/>
    <w:rsid w:val="007C62A7"/>
    <w:rsid w:val="007C6E5C"/>
    <w:rsid w:val="007C745F"/>
    <w:rsid w:val="007C765E"/>
    <w:rsid w:val="007C7A97"/>
    <w:rsid w:val="007C7B58"/>
    <w:rsid w:val="007C7F78"/>
    <w:rsid w:val="007D09F6"/>
    <w:rsid w:val="007D13CE"/>
    <w:rsid w:val="007D33D8"/>
    <w:rsid w:val="007D36C0"/>
    <w:rsid w:val="007D3963"/>
    <w:rsid w:val="007D50B2"/>
    <w:rsid w:val="007D65B8"/>
    <w:rsid w:val="007D6756"/>
    <w:rsid w:val="007D6EF0"/>
    <w:rsid w:val="007D6F7E"/>
    <w:rsid w:val="007D7F07"/>
    <w:rsid w:val="007D7FA7"/>
    <w:rsid w:val="007E04AB"/>
    <w:rsid w:val="007E0C4D"/>
    <w:rsid w:val="007E1812"/>
    <w:rsid w:val="007E1F56"/>
    <w:rsid w:val="007E390E"/>
    <w:rsid w:val="007E3A0B"/>
    <w:rsid w:val="007E46F6"/>
    <w:rsid w:val="007E4C62"/>
    <w:rsid w:val="007E505C"/>
    <w:rsid w:val="007E569A"/>
    <w:rsid w:val="007E65C7"/>
    <w:rsid w:val="007E69F9"/>
    <w:rsid w:val="007E6D2C"/>
    <w:rsid w:val="007E6D30"/>
    <w:rsid w:val="007F1695"/>
    <w:rsid w:val="007F1A48"/>
    <w:rsid w:val="007F1C1F"/>
    <w:rsid w:val="007F2045"/>
    <w:rsid w:val="007F267C"/>
    <w:rsid w:val="007F38DF"/>
    <w:rsid w:val="007F4C4B"/>
    <w:rsid w:val="007F5430"/>
    <w:rsid w:val="007F5656"/>
    <w:rsid w:val="007F72F6"/>
    <w:rsid w:val="007F7DA6"/>
    <w:rsid w:val="007F7E34"/>
    <w:rsid w:val="008007B3"/>
    <w:rsid w:val="0080171A"/>
    <w:rsid w:val="00801AD3"/>
    <w:rsid w:val="00804B60"/>
    <w:rsid w:val="00805008"/>
    <w:rsid w:val="00805383"/>
    <w:rsid w:val="008069B5"/>
    <w:rsid w:val="008101FF"/>
    <w:rsid w:val="00811E3C"/>
    <w:rsid w:val="00812B5D"/>
    <w:rsid w:val="008136DF"/>
    <w:rsid w:val="0081421D"/>
    <w:rsid w:val="008148BA"/>
    <w:rsid w:val="0081536A"/>
    <w:rsid w:val="00815726"/>
    <w:rsid w:val="00817FE1"/>
    <w:rsid w:val="0082012D"/>
    <w:rsid w:val="0082161C"/>
    <w:rsid w:val="00821DE2"/>
    <w:rsid w:val="0082234F"/>
    <w:rsid w:val="00824CF2"/>
    <w:rsid w:val="008251CE"/>
    <w:rsid w:val="008251F8"/>
    <w:rsid w:val="008266CE"/>
    <w:rsid w:val="008269F6"/>
    <w:rsid w:val="00826C91"/>
    <w:rsid w:val="008277F2"/>
    <w:rsid w:val="00827F8D"/>
    <w:rsid w:val="00830721"/>
    <w:rsid w:val="00830D49"/>
    <w:rsid w:val="00830FD8"/>
    <w:rsid w:val="00831428"/>
    <w:rsid w:val="0083265B"/>
    <w:rsid w:val="00833283"/>
    <w:rsid w:val="008334E8"/>
    <w:rsid w:val="00834B69"/>
    <w:rsid w:val="00836F6A"/>
    <w:rsid w:val="008371BE"/>
    <w:rsid w:val="0083784C"/>
    <w:rsid w:val="00840085"/>
    <w:rsid w:val="0084119E"/>
    <w:rsid w:val="0084120E"/>
    <w:rsid w:val="00841240"/>
    <w:rsid w:val="00841AAD"/>
    <w:rsid w:val="00841AEE"/>
    <w:rsid w:val="0084234F"/>
    <w:rsid w:val="00843149"/>
    <w:rsid w:val="00843D98"/>
    <w:rsid w:val="0084455C"/>
    <w:rsid w:val="008449C4"/>
    <w:rsid w:val="00845681"/>
    <w:rsid w:val="00845F5A"/>
    <w:rsid w:val="00847F53"/>
    <w:rsid w:val="008531CC"/>
    <w:rsid w:val="00853EE9"/>
    <w:rsid w:val="00855479"/>
    <w:rsid w:val="008556BB"/>
    <w:rsid w:val="0085572D"/>
    <w:rsid w:val="00855994"/>
    <w:rsid w:val="008560C8"/>
    <w:rsid w:val="00856E0B"/>
    <w:rsid w:val="00856E3E"/>
    <w:rsid w:val="00857933"/>
    <w:rsid w:val="0085797C"/>
    <w:rsid w:val="00857990"/>
    <w:rsid w:val="00860743"/>
    <w:rsid w:val="00860EA7"/>
    <w:rsid w:val="00862109"/>
    <w:rsid w:val="00862116"/>
    <w:rsid w:val="008627F4"/>
    <w:rsid w:val="00862D2F"/>
    <w:rsid w:val="00862DD7"/>
    <w:rsid w:val="008639E6"/>
    <w:rsid w:val="00864028"/>
    <w:rsid w:val="0086598F"/>
    <w:rsid w:val="00867102"/>
    <w:rsid w:val="00867270"/>
    <w:rsid w:val="00870933"/>
    <w:rsid w:val="00870C19"/>
    <w:rsid w:val="00872B69"/>
    <w:rsid w:val="008746F2"/>
    <w:rsid w:val="00877B8D"/>
    <w:rsid w:val="00880010"/>
    <w:rsid w:val="00880672"/>
    <w:rsid w:val="00880B87"/>
    <w:rsid w:val="00880F12"/>
    <w:rsid w:val="008817CF"/>
    <w:rsid w:val="00884563"/>
    <w:rsid w:val="008847EF"/>
    <w:rsid w:val="0088531A"/>
    <w:rsid w:val="008854A3"/>
    <w:rsid w:val="008858D5"/>
    <w:rsid w:val="008868C1"/>
    <w:rsid w:val="008868C2"/>
    <w:rsid w:val="00886C1A"/>
    <w:rsid w:val="008870A1"/>
    <w:rsid w:val="00887105"/>
    <w:rsid w:val="00887FCF"/>
    <w:rsid w:val="00890875"/>
    <w:rsid w:val="00891632"/>
    <w:rsid w:val="00894BF9"/>
    <w:rsid w:val="008951BE"/>
    <w:rsid w:val="00896CD0"/>
    <w:rsid w:val="00897857"/>
    <w:rsid w:val="008A2A06"/>
    <w:rsid w:val="008A35B7"/>
    <w:rsid w:val="008A3ADA"/>
    <w:rsid w:val="008A4656"/>
    <w:rsid w:val="008A4678"/>
    <w:rsid w:val="008A73F0"/>
    <w:rsid w:val="008B1241"/>
    <w:rsid w:val="008B1875"/>
    <w:rsid w:val="008B2298"/>
    <w:rsid w:val="008B22EE"/>
    <w:rsid w:val="008B529D"/>
    <w:rsid w:val="008B577D"/>
    <w:rsid w:val="008B5A27"/>
    <w:rsid w:val="008B69E7"/>
    <w:rsid w:val="008B6CAA"/>
    <w:rsid w:val="008C11EC"/>
    <w:rsid w:val="008C2783"/>
    <w:rsid w:val="008C2973"/>
    <w:rsid w:val="008C3060"/>
    <w:rsid w:val="008C352A"/>
    <w:rsid w:val="008C4571"/>
    <w:rsid w:val="008C49D1"/>
    <w:rsid w:val="008C4B7A"/>
    <w:rsid w:val="008C549D"/>
    <w:rsid w:val="008C6281"/>
    <w:rsid w:val="008C6DB9"/>
    <w:rsid w:val="008C7783"/>
    <w:rsid w:val="008C77DD"/>
    <w:rsid w:val="008C7EDE"/>
    <w:rsid w:val="008D05FC"/>
    <w:rsid w:val="008D0A24"/>
    <w:rsid w:val="008D0DCA"/>
    <w:rsid w:val="008D13E9"/>
    <w:rsid w:val="008D1A4B"/>
    <w:rsid w:val="008D2D34"/>
    <w:rsid w:val="008D2D84"/>
    <w:rsid w:val="008D32AF"/>
    <w:rsid w:val="008D388A"/>
    <w:rsid w:val="008D4522"/>
    <w:rsid w:val="008D5326"/>
    <w:rsid w:val="008D53B4"/>
    <w:rsid w:val="008D68C7"/>
    <w:rsid w:val="008E0149"/>
    <w:rsid w:val="008E131E"/>
    <w:rsid w:val="008E2179"/>
    <w:rsid w:val="008E24D8"/>
    <w:rsid w:val="008E53A5"/>
    <w:rsid w:val="008E5F3E"/>
    <w:rsid w:val="008E6127"/>
    <w:rsid w:val="008E7457"/>
    <w:rsid w:val="008F0363"/>
    <w:rsid w:val="008F06C6"/>
    <w:rsid w:val="008F0799"/>
    <w:rsid w:val="008F1478"/>
    <w:rsid w:val="008F1692"/>
    <w:rsid w:val="008F2334"/>
    <w:rsid w:val="008F2899"/>
    <w:rsid w:val="008F3AAC"/>
    <w:rsid w:val="008F4163"/>
    <w:rsid w:val="008F516E"/>
    <w:rsid w:val="008F51BB"/>
    <w:rsid w:val="008F6160"/>
    <w:rsid w:val="008F6CBE"/>
    <w:rsid w:val="008F7777"/>
    <w:rsid w:val="00900CAE"/>
    <w:rsid w:val="00903026"/>
    <w:rsid w:val="00903AE8"/>
    <w:rsid w:val="00903E32"/>
    <w:rsid w:val="00904255"/>
    <w:rsid w:val="00904A13"/>
    <w:rsid w:val="00904B18"/>
    <w:rsid w:val="00904CAD"/>
    <w:rsid w:val="00907178"/>
    <w:rsid w:val="009075A5"/>
    <w:rsid w:val="0090769A"/>
    <w:rsid w:val="0091217F"/>
    <w:rsid w:val="009121E4"/>
    <w:rsid w:val="00913133"/>
    <w:rsid w:val="009140B4"/>
    <w:rsid w:val="009151A8"/>
    <w:rsid w:val="00915968"/>
    <w:rsid w:val="00915D20"/>
    <w:rsid w:val="009160F9"/>
    <w:rsid w:val="00916209"/>
    <w:rsid w:val="0091667F"/>
    <w:rsid w:val="009167F9"/>
    <w:rsid w:val="00920213"/>
    <w:rsid w:val="00920809"/>
    <w:rsid w:val="00921178"/>
    <w:rsid w:val="009214FB"/>
    <w:rsid w:val="0092167D"/>
    <w:rsid w:val="0092195D"/>
    <w:rsid w:val="0092308B"/>
    <w:rsid w:val="00923DE6"/>
    <w:rsid w:val="00924368"/>
    <w:rsid w:val="0092463E"/>
    <w:rsid w:val="00924C2A"/>
    <w:rsid w:val="00931F23"/>
    <w:rsid w:val="009329DB"/>
    <w:rsid w:val="009331AF"/>
    <w:rsid w:val="00934051"/>
    <w:rsid w:val="00934083"/>
    <w:rsid w:val="00934888"/>
    <w:rsid w:val="00934919"/>
    <w:rsid w:val="009353CE"/>
    <w:rsid w:val="00935485"/>
    <w:rsid w:val="00935C04"/>
    <w:rsid w:val="00937F3E"/>
    <w:rsid w:val="00941092"/>
    <w:rsid w:val="00941369"/>
    <w:rsid w:val="00941516"/>
    <w:rsid w:val="009441F6"/>
    <w:rsid w:val="009444AE"/>
    <w:rsid w:val="009446AC"/>
    <w:rsid w:val="00944A7B"/>
    <w:rsid w:val="00946137"/>
    <w:rsid w:val="00947CA1"/>
    <w:rsid w:val="00952446"/>
    <w:rsid w:val="00953CEF"/>
    <w:rsid w:val="009545C2"/>
    <w:rsid w:val="009545E2"/>
    <w:rsid w:val="00954867"/>
    <w:rsid w:val="0095575A"/>
    <w:rsid w:val="009557F2"/>
    <w:rsid w:val="00955864"/>
    <w:rsid w:val="00957E6A"/>
    <w:rsid w:val="00961AA3"/>
    <w:rsid w:val="00961BF7"/>
    <w:rsid w:val="0096248E"/>
    <w:rsid w:val="00963986"/>
    <w:rsid w:val="009643FD"/>
    <w:rsid w:val="009646FE"/>
    <w:rsid w:val="009660E5"/>
    <w:rsid w:val="00966867"/>
    <w:rsid w:val="00967D4C"/>
    <w:rsid w:val="009703CF"/>
    <w:rsid w:val="009726BC"/>
    <w:rsid w:val="009737A0"/>
    <w:rsid w:val="009747C2"/>
    <w:rsid w:val="009750D7"/>
    <w:rsid w:val="00976325"/>
    <w:rsid w:val="009772E0"/>
    <w:rsid w:val="00977445"/>
    <w:rsid w:val="009779EA"/>
    <w:rsid w:val="009802D2"/>
    <w:rsid w:val="00980A85"/>
    <w:rsid w:val="009814A1"/>
    <w:rsid w:val="00983363"/>
    <w:rsid w:val="00984557"/>
    <w:rsid w:val="00984A32"/>
    <w:rsid w:val="0098534A"/>
    <w:rsid w:val="0098564C"/>
    <w:rsid w:val="009856FA"/>
    <w:rsid w:val="00986BC5"/>
    <w:rsid w:val="00986BE0"/>
    <w:rsid w:val="00987060"/>
    <w:rsid w:val="00987AD2"/>
    <w:rsid w:val="009900CD"/>
    <w:rsid w:val="009901AA"/>
    <w:rsid w:val="009911B7"/>
    <w:rsid w:val="00992458"/>
    <w:rsid w:val="009924DF"/>
    <w:rsid w:val="00992673"/>
    <w:rsid w:val="00992DC4"/>
    <w:rsid w:val="00992DEF"/>
    <w:rsid w:val="00992E6A"/>
    <w:rsid w:val="00992FA4"/>
    <w:rsid w:val="00993ADB"/>
    <w:rsid w:val="0099419F"/>
    <w:rsid w:val="00994A60"/>
    <w:rsid w:val="00996026"/>
    <w:rsid w:val="0099644E"/>
    <w:rsid w:val="00996516"/>
    <w:rsid w:val="009970C3"/>
    <w:rsid w:val="009A09BA"/>
    <w:rsid w:val="009A0B87"/>
    <w:rsid w:val="009A0C5A"/>
    <w:rsid w:val="009A1888"/>
    <w:rsid w:val="009A1E1A"/>
    <w:rsid w:val="009A2473"/>
    <w:rsid w:val="009A38A0"/>
    <w:rsid w:val="009A4124"/>
    <w:rsid w:val="009A42FE"/>
    <w:rsid w:val="009A4E12"/>
    <w:rsid w:val="009A5131"/>
    <w:rsid w:val="009A5544"/>
    <w:rsid w:val="009A5A1B"/>
    <w:rsid w:val="009A5AA8"/>
    <w:rsid w:val="009A5AC6"/>
    <w:rsid w:val="009A5B33"/>
    <w:rsid w:val="009A5C69"/>
    <w:rsid w:val="009A6538"/>
    <w:rsid w:val="009A673F"/>
    <w:rsid w:val="009A71FD"/>
    <w:rsid w:val="009A7690"/>
    <w:rsid w:val="009B0027"/>
    <w:rsid w:val="009B07FD"/>
    <w:rsid w:val="009B15D2"/>
    <w:rsid w:val="009B2023"/>
    <w:rsid w:val="009B228E"/>
    <w:rsid w:val="009B2EBB"/>
    <w:rsid w:val="009B3EC5"/>
    <w:rsid w:val="009B4CF0"/>
    <w:rsid w:val="009B5872"/>
    <w:rsid w:val="009B6D94"/>
    <w:rsid w:val="009B7925"/>
    <w:rsid w:val="009B793B"/>
    <w:rsid w:val="009C057E"/>
    <w:rsid w:val="009C0882"/>
    <w:rsid w:val="009C1394"/>
    <w:rsid w:val="009C13A0"/>
    <w:rsid w:val="009C16FD"/>
    <w:rsid w:val="009C1F4B"/>
    <w:rsid w:val="009C367E"/>
    <w:rsid w:val="009C3DD6"/>
    <w:rsid w:val="009C52BE"/>
    <w:rsid w:val="009C5694"/>
    <w:rsid w:val="009C5741"/>
    <w:rsid w:val="009C6B7D"/>
    <w:rsid w:val="009C7D6E"/>
    <w:rsid w:val="009D131B"/>
    <w:rsid w:val="009D241C"/>
    <w:rsid w:val="009D267C"/>
    <w:rsid w:val="009D2BAF"/>
    <w:rsid w:val="009D332B"/>
    <w:rsid w:val="009D3F88"/>
    <w:rsid w:val="009D52F3"/>
    <w:rsid w:val="009D5ACD"/>
    <w:rsid w:val="009D6169"/>
    <w:rsid w:val="009D72AC"/>
    <w:rsid w:val="009D7C05"/>
    <w:rsid w:val="009E16C1"/>
    <w:rsid w:val="009E2785"/>
    <w:rsid w:val="009E3A4D"/>
    <w:rsid w:val="009E4A81"/>
    <w:rsid w:val="009E4AF3"/>
    <w:rsid w:val="009E5194"/>
    <w:rsid w:val="009E55AE"/>
    <w:rsid w:val="009E5A91"/>
    <w:rsid w:val="009E6983"/>
    <w:rsid w:val="009E6A37"/>
    <w:rsid w:val="009F0391"/>
    <w:rsid w:val="009F3DB0"/>
    <w:rsid w:val="009F448B"/>
    <w:rsid w:val="009F4AA3"/>
    <w:rsid w:val="009F5653"/>
    <w:rsid w:val="009F62D9"/>
    <w:rsid w:val="009F65CB"/>
    <w:rsid w:val="009F7AFB"/>
    <w:rsid w:val="00A00291"/>
    <w:rsid w:val="00A00519"/>
    <w:rsid w:val="00A01ED7"/>
    <w:rsid w:val="00A020AD"/>
    <w:rsid w:val="00A02314"/>
    <w:rsid w:val="00A0268C"/>
    <w:rsid w:val="00A031BE"/>
    <w:rsid w:val="00A03201"/>
    <w:rsid w:val="00A04BD9"/>
    <w:rsid w:val="00A06142"/>
    <w:rsid w:val="00A10680"/>
    <w:rsid w:val="00A10B0C"/>
    <w:rsid w:val="00A11A09"/>
    <w:rsid w:val="00A11ED6"/>
    <w:rsid w:val="00A122FE"/>
    <w:rsid w:val="00A1298B"/>
    <w:rsid w:val="00A131DE"/>
    <w:rsid w:val="00A13420"/>
    <w:rsid w:val="00A13448"/>
    <w:rsid w:val="00A1364E"/>
    <w:rsid w:val="00A13E3F"/>
    <w:rsid w:val="00A1401A"/>
    <w:rsid w:val="00A154FC"/>
    <w:rsid w:val="00A15B8C"/>
    <w:rsid w:val="00A16CAD"/>
    <w:rsid w:val="00A170E9"/>
    <w:rsid w:val="00A17956"/>
    <w:rsid w:val="00A17E32"/>
    <w:rsid w:val="00A20B47"/>
    <w:rsid w:val="00A226C0"/>
    <w:rsid w:val="00A2419B"/>
    <w:rsid w:val="00A24BC2"/>
    <w:rsid w:val="00A25542"/>
    <w:rsid w:val="00A26A9F"/>
    <w:rsid w:val="00A26D5E"/>
    <w:rsid w:val="00A27FA4"/>
    <w:rsid w:val="00A30446"/>
    <w:rsid w:val="00A309EE"/>
    <w:rsid w:val="00A31D71"/>
    <w:rsid w:val="00A321E4"/>
    <w:rsid w:val="00A32D9D"/>
    <w:rsid w:val="00A3360F"/>
    <w:rsid w:val="00A3372D"/>
    <w:rsid w:val="00A3396B"/>
    <w:rsid w:val="00A34191"/>
    <w:rsid w:val="00A34C78"/>
    <w:rsid w:val="00A35D0D"/>
    <w:rsid w:val="00A362F1"/>
    <w:rsid w:val="00A367AF"/>
    <w:rsid w:val="00A367D0"/>
    <w:rsid w:val="00A368AB"/>
    <w:rsid w:val="00A36B11"/>
    <w:rsid w:val="00A37F6F"/>
    <w:rsid w:val="00A405B3"/>
    <w:rsid w:val="00A40982"/>
    <w:rsid w:val="00A40B48"/>
    <w:rsid w:val="00A40DAF"/>
    <w:rsid w:val="00A4114B"/>
    <w:rsid w:val="00A422E2"/>
    <w:rsid w:val="00A431A7"/>
    <w:rsid w:val="00A434D6"/>
    <w:rsid w:val="00A44D80"/>
    <w:rsid w:val="00A45B82"/>
    <w:rsid w:val="00A46C35"/>
    <w:rsid w:val="00A50656"/>
    <w:rsid w:val="00A50934"/>
    <w:rsid w:val="00A51D21"/>
    <w:rsid w:val="00A51FDF"/>
    <w:rsid w:val="00A52337"/>
    <w:rsid w:val="00A53016"/>
    <w:rsid w:val="00A543F6"/>
    <w:rsid w:val="00A559A3"/>
    <w:rsid w:val="00A565FA"/>
    <w:rsid w:val="00A577CA"/>
    <w:rsid w:val="00A57C7B"/>
    <w:rsid w:val="00A6062D"/>
    <w:rsid w:val="00A60C9A"/>
    <w:rsid w:val="00A61767"/>
    <w:rsid w:val="00A61789"/>
    <w:rsid w:val="00A6215E"/>
    <w:rsid w:val="00A62689"/>
    <w:rsid w:val="00A6293E"/>
    <w:rsid w:val="00A629E8"/>
    <w:rsid w:val="00A62F42"/>
    <w:rsid w:val="00A630CA"/>
    <w:rsid w:val="00A63682"/>
    <w:rsid w:val="00A637C3"/>
    <w:rsid w:val="00A64454"/>
    <w:rsid w:val="00A64ACF"/>
    <w:rsid w:val="00A64ADC"/>
    <w:rsid w:val="00A66D1F"/>
    <w:rsid w:val="00A71553"/>
    <w:rsid w:val="00A717C0"/>
    <w:rsid w:val="00A71DEC"/>
    <w:rsid w:val="00A72F83"/>
    <w:rsid w:val="00A731E7"/>
    <w:rsid w:val="00A73615"/>
    <w:rsid w:val="00A7413F"/>
    <w:rsid w:val="00A75746"/>
    <w:rsid w:val="00A76116"/>
    <w:rsid w:val="00A77242"/>
    <w:rsid w:val="00A77A55"/>
    <w:rsid w:val="00A8019F"/>
    <w:rsid w:val="00A80DB3"/>
    <w:rsid w:val="00A81E18"/>
    <w:rsid w:val="00A8240C"/>
    <w:rsid w:val="00A8291D"/>
    <w:rsid w:val="00A82F70"/>
    <w:rsid w:val="00A83A6F"/>
    <w:rsid w:val="00A83C30"/>
    <w:rsid w:val="00A84C49"/>
    <w:rsid w:val="00A84DDF"/>
    <w:rsid w:val="00A85615"/>
    <w:rsid w:val="00A85E8B"/>
    <w:rsid w:val="00A86DDC"/>
    <w:rsid w:val="00A86E67"/>
    <w:rsid w:val="00A86EC3"/>
    <w:rsid w:val="00A872F1"/>
    <w:rsid w:val="00A87A92"/>
    <w:rsid w:val="00A87C66"/>
    <w:rsid w:val="00A90624"/>
    <w:rsid w:val="00A918B6"/>
    <w:rsid w:val="00A91D6B"/>
    <w:rsid w:val="00A92D64"/>
    <w:rsid w:val="00A93A83"/>
    <w:rsid w:val="00A941C4"/>
    <w:rsid w:val="00A943AD"/>
    <w:rsid w:val="00A9450E"/>
    <w:rsid w:val="00A94DF8"/>
    <w:rsid w:val="00A94F61"/>
    <w:rsid w:val="00A95756"/>
    <w:rsid w:val="00A96FA7"/>
    <w:rsid w:val="00A9749B"/>
    <w:rsid w:val="00A97EED"/>
    <w:rsid w:val="00A97F50"/>
    <w:rsid w:val="00AA0ACD"/>
    <w:rsid w:val="00AA11F6"/>
    <w:rsid w:val="00AA1BB6"/>
    <w:rsid w:val="00AA254D"/>
    <w:rsid w:val="00AA2570"/>
    <w:rsid w:val="00AA2E72"/>
    <w:rsid w:val="00AA57C6"/>
    <w:rsid w:val="00AA6154"/>
    <w:rsid w:val="00AA61CF"/>
    <w:rsid w:val="00AA621F"/>
    <w:rsid w:val="00AA6AAC"/>
    <w:rsid w:val="00AA739C"/>
    <w:rsid w:val="00AA7BF6"/>
    <w:rsid w:val="00AB05F3"/>
    <w:rsid w:val="00AB0B50"/>
    <w:rsid w:val="00AB1724"/>
    <w:rsid w:val="00AB1B13"/>
    <w:rsid w:val="00AB1F09"/>
    <w:rsid w:val="00AB20E6"/>
    <w:rsid w:val="00AB3535"/>
    <w:rsid w:val="00AB3E93"/>
    <w:rsid w:val="00AB5B37"/>
    <w:rsid w:val="00AB5B70"/>
    <w:rsid w:val="00AB5FB7"/>
    <w:rsid w:val="00AB67C7"/>
    <w:rsid w:val="00AB718F"/>
    <w:rsid w:val="00AC1086"/>
    <w:rsid w:val="00AC202B"/>
    <w:rsid w:val="00AC279A"/>
    <w:rsid w:val="00AC302B"/>
    <w:rsid w:val="00AC36D6"/>
    <w:rsid w:val="00AC38A5"/>
    <w:rsid w:val="00AC39D4"/>
    <w:rsid w:val="00AC3BDB"/>
    <w:rsid w:val="00AC412C"/>
    <w:rsid w:val="00AC42DA"/>
    <w:rsid w:val="00AC6E23"/>
    <w:rsid w:val="00AC71E9"/>
    <w:rsid w:val="00AD0B26"/>
    <w:rsid w:val="00AD0B56"/>
    <w:rsid w:val="00AD0BD1"/>
    <w:rsid w:val="00AD13C2"/>
    <w:rsid w:val="00AD14CF"/>
    <w:rsid w:val="00AD1846"/>
    <w:rsid w:val="00AD2556"/>
    <w:rsid w:val="00AD257B"/>
    <w:rsid w:val="00AD28C4"/>
    <w:rsid w:val="00AD3F2D"/>
    <w:rsid w:val="00AD41A5"/>
    <w:rsid w:val="00AD45ED"/>
    <w:rsid w:val="00AD487F"/>
    <w:rsid w:val="00AD5176"/>
    <w:rsid w:val="00AD57E2"/>
    <w:rsid w:val="00AD6034"/>
    <w:rsid w:val="00AD629A"/>
    <w:rsid w:val="00AD6C6B"/>
    <w:rsid w:val="00AD7CA7"/>
    <w:rsid w:val="00AD7E67"/>
    <w:rsid w:val="00AE017F"/>
    <w:rsid w:val="00AE04B2"/>
    <w:rsid w:val="00AE069F"/>
    <w:rsid w:val="00AE0E5A"/>
    <w:rsid w:val="00AE1151"/>
    <w:rsid w:val="00AE1574"/>
    <w:rsid w:val="00AE16CA"/>
    <w:rsid w:val="00AE1ABC"/>
    <w:rsid w:val="00AE2473"/>
    <w:rsid w:val="00AE2A63"/>
    <w:rsid w:val="00AE2B5D"/>
    <w:rsid w:val="00AE3381"/>
    <w:rsid w:val="00AE4999"/>
    <w:rsid w:val="00AE4BED"/>
    <w:rsid w:val="00AE6028"/>
    <w:rsid w:val="00AE65FD"/>
    <w:rsid w:val="00AE6E83"/>
    <w:rsid w:val="00AE6F62"/>
    <w:rsid w:val="00AE78B8"/>
    <w:rsid w:val="00AF00A6"/>
    <w:rsid w:val="00AF1362"/>
    <w:rsid w:val="00AF138B"/>
    <w:rsid w:val="00AF1BA1"/>
    <w:rsid w:val="00AF226C"/>
    <w:rsid w:val="00AF2E99"/>
    <w:rsid w:val="00AF3812"/>
    <w:rsid w:val="00AF479A"/>
    <w:rsid w:val="00AF53EB"/>
    <w:rsid w:val="00AF694B"/>
    <w:rsid w:val="00AF790C"/>
    <w:rsid w:val="00AF7EC3"/>
    <w:rsid w:val="00B00A3A"/>
    <w:rsid w:val="00B02696"/>
    <w:rsid w:val="00B038AB"/>
    <w:rsid w:val="00B03D55"/>
    <w:rsid w:val="00B04243"/>
    <w:rsid w:val="00B04A94"/>
    <w:rsid w:val="00B05C88"/>
    <w:rsid w:val="00B060BB"/>
    <w:rsid w:val="00B06E16"/>
    <w:rsid w:val="00B121EC"/>
    <w:rsid w:val="00B122DA"/>
    <w:rsid w:val="00B13282"/>
    <w:rsid w:val="00B134B3"/>
    <w:rsid w:val="00B1427A"/>
    <w:rsid w:val="00B145C5"/>
    <w:rsid w:val="00B14652"/>
    <w:rsid w:val="00B1483C"/>
    <w:rsid w:val="00B149C5"/>
    <w:rsid w:val="00B150E7"/>
    <w:rsid w:val="00B171DF"/>
    <w:rsid w:val="00B17548"/>
    <w:rsid w:val="00B178F7"/>
    <w:rsid w:val="00B20A1C"/>
    <w:rsid w:val="00B20D5D"/>
    <w:rsid w:val="00B21FA9"/>
    <w:rsid w:val="00B228F1"/>
    <w:rsid w:val="00B22D61"/>
    <w:rsid w:val="00B23883"/>
    <w:rsid w:val="00B24598"/>
    <w:rsid w:val="00B24F0A"/>
    <w:rsid w:val="00B24F55"/>
    <w:rsid w:val="00B255CA"/>
    <w:rsid w:val="00B256F9"/>
    <w:rsid w:val="00B2570B"/>
    <w:rsid w:val="00B257A0"/>
    <w:rsid w:val="00B26954"/>
    <w:rsid w:val="00B278AD"/>
    <w:rsid w:val="00B27BE7"/>
    <w:rsid w:val="00B27D0D"/>
    <w:rsid w:val="00B27F16"/>
    <w:rsid w:val="00B30469"/>
    <w:rsid w:val="00B32ECC"/>
    <w:rsid w:val="00B3322C"/>
    <w:rsid w:val="00B33455"/>
    <w:rsid w:val="00B33768"/>
    <w:rsid w:val="00B3376C"/>
    <w:rsid w:val="00B3387E"/>
    <w:rsid w:val="00B33E28"/>
    <w:rsid w:val="00B35236"/>
    <w:rsid w:val="00B36A09"/>
    <w:rsid w:val="00B40133"/>
    <w:rsid w:val="00B40D14"/>
    <w:rsid w:val="00B40D8B"/>
    <w:rsid w:val="00B41041"/>
    <w:rsid w:val="00B42889"/>
    <w:rsid w:val="00B42BF0"/>
    <w:rsid w:val="00B43D5D"/>
    <w:rsid w:val="00B45899"/>
    <w:rsid w:val="00B45F31"/>
    <w:rsid w:val="00B46174"/>
    <w:rsid w:val="00B46E52"/>
    <w:rsid w:val="00B46EA5"/>
    <w:rsid w:val="00B4712C"/>
    <w:rsid w:val="00B47ED3"/>
    <w:rsid w:val="00B50042"/>
    <w:rsid w:val="00B50942"/>
    <w:rsid w:val="00B51204"/>
    <w:rsid w:val="00B52450"/>
    <w:rsid w:val="00B52F2B"/>
    <w:rsid w:val="00B55848"/>
    <w:rsid w:val="00B55E29"/>
    <w:rsid w:val="00B56335"/>
    <w:rsid w:val="00B56401"/>
    <w:rsid w:val="00B56882"/>
    <w:rsid w:val="00B569C8"/>
    <w:rsid w:val="00B57123"/>
    <w:rsid w:val="00B5777F"/>
    <w:rsid w:val="00B608A1"/>
    <w:rsid w:val="00B6181F"/>
    <w:rsid w:val="00B61D70"/>
    <w:rsid w:val="00B62850"/>
    <w:rsid w:val="00B62C43"/>
    <w:rsid w:val="00B63832"/>
    <w:rsid w:val="00B63BE4"/>
    <w:rsid w:val="00B64059"/>
    <w:rsid w:val="00B642D0"/>
    <w:rsid w:val="00B6450B"/>
    <w:rsid w:val="00B64E70"/>
    <w:rsid w:val="00B65537"/>
    <w:rsid w:val="00B65A1A"/>
    <w:rsid w:val="00B65E3B"/>
    <w:rsid w:val="00B7029E"/>
    <w:rsid w:val="00B70EE3"/>
    <w:rsid w:val="00B712EC"/>
    <w:rsid w:val="00B726AD"/>
    <w:rsid w:val="00B727FC"/>
    <w:rsid w:val="00B746C7"/>
    <w:rsid w:val="00B75098"/>
    <w:rsid w:val="00B75F8C"/>
    <w:rsid w:val="00B760DF"/>
    <w:rsid w:val="00B764B4"/>
    <w:rsid w:val="00B770D5"/>
    <w:rsid w:val="00B77D7A"/>
    <w:rsid w:val="00B77DF5"/>
    <w:rsid w:val="00B8108A"/>
    <w:rsid w:val="00B81B13"/>
    <w:rsid w:val="00B820C7"/>
    <w:rsid w:val="00B824B0"/>
    <w:rsid w:val="00B826AC"/>
    <w:rsid w:val="00B82D88"/>
    <w:rsid w:val="00B83526"/>
    <w:rsid w:val="00B83C88"/>
    <w:rsid w:val="00B83CC7"/>
    <w:rsid w:val="00B85A19"/>
    <w:rsid w:val="00B85A5A"/>
    <w:rsid w:val="00B869AF"/>
    <w:rsid w:val="00B86C56"/>
    <w:rsid w:val="00B8701F"/>
    <w:rsid w:val="00B8773C"/>
    <w:rsid w:val="00B87B17"/>
    <w:rsid w:val="00B90B50"/>
    <w:rsid w:val="00B91002"/>
    <w:rsid w:val="00B91A58"/>
    <w:rsid w:val="00B92630"/>
    <w:rsid w:val="00B92D7E"/>
    <w:rsid w:val="00B92F8D"/>
    <w:rsid w:val="00B93BD9"/>
    <w:rsid w:val="00B93E28"/>
    <w:rsid w:val="00B94F3B"/>
    <w:rsid w:val="00B96253"/>
    <w:rsid w:val="00B9671A"/>
    <w:rsid w:val="00B96C50"/>
    <w:rsid w:val="00BA0A6B"/>
    <w:rsid w:val="00BA0C15"/>
    <w:rsid w:val="00BA1C37"/>
    <w:rsid w:val="00BA1E43"/>
    <w:rsid w:val="00BA2BE8"/>
    <w:rsid w:val="00BA40DD"/>
    <w:rsid w:val="00BA47D6"/>
    <w:rsid w:val="00BA4EA7"/>
    <w:rsid w:val="00BA57C0"/>
    <w:rsid w:val="00BA5811"/>
    <w:rsid w:val="00BA59E5"/>
    <w:rsid w:val="00BA6298"/>
    <w:rsid w:val="00BA673B"/>
    <w:rsid w:val="00BA6CD6"/>
    <w:rsid w:val="00BB050F"/>
    <w:rsid w:val="00BB0E29"/>
    <w:rsid w:val="00BB0E7B"/>
    <w:rsid w:val="00BB112E"/>
    <w:rsid w:val="00BB1600"/>
    <w:rsid w:val="00BB1D65"/>
    <w:rsid w:val="00BB1DF7"/>
    <w:rsid w:val="00BB290E"/>
    <w:rsid w:val="00BB38A6"/>
    <w:rsid w:val="00BB398E"/>
    <w:rsid w:val="00BB3D9E"/>
    <w:rsid w:val="00BB5621"/>
    <w:rsid w:val="00BB7C36"/>
    <w:rsid w:val="00BC0A16"/>
    <w:rsid w:val="00BC33D6"/>
    <w:rsid w:val="00BC43F7"/>
    <w:rsid w:val="00BC45D9"/>
    <w:rsid w:val="00BC497F"/>
    <w:rsid w:val="00BC539D"/>
    <w:rsid w:val="00BC5888"/>
    <w:rsid w:val="00BC6284"/>
    <w:rsid w:val="00BC6844"/>
    <w:rsid w:val="00BC6CAC"/>
    <w:rsid w:val="00BD0C37"/>
    <w:rsid w:val="00BD1169"/>
    <w:rsid w:val="00BD14D7"/>
    <w:rsid w:val="00BD1712"/>
    <w:rsid w:val="00BD241D"/>
    <w:rsid w:val="00BD33FE"/>
    <w:rsid w:val="00BD3F80"/>
    <w:rsid w:val="00BD41F5"/>
    <w:rsid w:val="00BD43F2"/>
    <w:rsid w:val="00BD4760"/>
    <w:rsid w:val="00BD4F36"/>
    <w:rsid w:val="00BD5852"/>
    <w:rsid w:val="00BD5AC1"/>
    <w:rsid w:val="00BD5EEE"/>
    <w:rsid w:val="00BD6F20"/>
    <w:rsid w:val="00BD6F41"/>
    <w:rsid w:val="00BD7A9F"/>
    <w:rsid w:val="00BD7D9F"/>
    <w:rsid w:val="00BE1381"/>
    <w:rsid w:val="00BE13D7"/>
    <w:rsid w:val="00BE1EDB"/>
    <w:rsid w:val="00BE2BBA"/>
    <w:rsid w:val="00BE3420"/>
    <w:rsid w:val="00BE4339"/>
    <w:rsid w:val="00BE5709"/>
    <w:rsid w:val="00BE5B16"/>
    <w:rsid w:val="00BE6085"/>
    <w:rsid w:val="00BE6963"/>
    <w:rsid w:val="00BE6A91"/>
    <w:rsid w:val="00BE6FCB"/>
    <w:rsid w:val="00BE76A3"/>
    <w:rsid w:val="00BE78DE"/>
    <w:rsid w:val="00BF2B9B"/>
    <w:rsid w:val="00BF357B"/>
    <w:rsid w:val="00BF3A25"/>
    <w:rsid w:val="00BF3B7D"/>
    <w:rsid w:val="00BF4DB4"/>
    <w:rsid w:val="00BF5920"/>
    <w:rsid w:val="00BF5D4E"/>
    <w:rsid w:val="00BF61DA"/>
    <w:rsid w:val="00BF7B03"/>
    <w:rsid w:val="00C00F72"/>
    <w:rsid w:val="00C02503"/>
    <w:rsid w:val="00C032CB"/>
    <w:rsid w:val="00C04F1C"/>
    <w:rsid w:val="00C0590C"/>
    <w:rsid w:val="00C05990"/>
    <w:rsid w:val="00C069A0"/>
    <w:rsid w:val="00C06F0B"/>
    <w:rsid w:val="00C076E8"/>
    <w:rsid w:val="00C10AFB"/>
    <w:rsid w:val="00C12318"/>
    <w:rsid w:val="00C12B01"/>
    <w:rsid w:val="00C12ED8"/>
    <w:rsid w:val="00C13271"/>
    <w:rsid w:val="00C13BAD"/>
    <w:rsid w:val="00C14573"/>
    <w:rsid w:val="00C14ABB"/>
    <w:rsid w:val="00C15184"/>
    <w:rsid w:val="00C160DB"/>
    <w:rsid w:val="00C16CDB"/>
    <w:rsid w:val="00C17690"/>
    <w:rsid w:val="00C176BC"/>
    <w:rsid w:val="00C176D3"/>
    <w:rsid w:val="00C179BD"/>
    <w:rsid w:val="00C17A81"/>
    <w:rsid w:val="00C20E5C"/>
    <w:rsid w:val="00C22664"/>
    <w:rsid w:val="00C228B5"/>
    <w:rsid w:val="00C229AC"/>
    <w:rsid w:val="00C22C95"/>
    <w:rsid w:val="00C235A1"/>
    <w:rsid w:val="00C235EF"/>
    <w:rsid w:val="00C2368F"/>
    <w:rsid w:val="00C23A20"/>
    <w:rsid w:val="00C23F2F"/>
    <w:rsid w:val="00C23FF0"/>
    <w:rsid w:val="00C24D6F"/>
    <w:rsid w:val="00C25C69"/>
    <w:rsid w:val="00C25DFD"/>
    <w:rsid w:val="00C260C2"/>
    <w:rsid w:val="00C264F9"/>
    <w:rsid w:val="00C27082"/>
    <w:rsid w:val="00C2709F"/>
    <w:rsid w:val="00C271F4"/>
    <w:rsid w:val="00C27363"/>
    <w:rsid w:val="00C2793B"/>
    <w:rsid w:val="00C27BDF"/>
    <w:rsid w:val="00C30580"/>
    <w:rsid w:val="00C3125E"/>
    <w:rsid w:val="00C329E5"/>
    <w:rsid w:val="00C33B6E"/>
    <w:rsid w:val="00C34174"/>
    <w:rsid w:val="00C35983"/>
    <w:rsid w:val="00C37A69"/>
    <w:rsid w:val="00C37F65"/>
    <w:rsid w:val="00C403D2"/>
    <w:rsid w:val="00C404D5"/>
    <w:rsid w:val="00C40E7D"/>
    <w:rsid w:val="00C41042"/>
    <w:rsid w:val="00C411CD"/>
    <w:rsid w:val="00C4298C"/>
    <w:rsid w:val="00C42E63"/>
    <w:rsid w:val="00C44221"/>
    <w:rsid w:val="00C4448F"/>
    <w:rsid w:val="00C44861"/>
    <w:rsid w:val="00C44E9E"/>
    <w:rsid w:val="00C463D1"/>
    <w:rsid w:val="00C476A6"/>
    <w:rsid w:val="00C50419"/>
    <w:rsid w:val="00C523C1"/>
    <w:rsid w:val="00C52E79"/>
    <w:rsid w:val="00C53411"/>
    <w:rsid w:val="00C535FE"/>
    <w:rsid w:val="00C53698"/>
    <w:rsid w:val="00C5421D"/>
    <w:rsid w:val="00C549D6"/>
    <w:rsid w:val="00C54AEC"/>
    <w:rsid w:val="00C54C3B"/>
    <w:rsid w:val="00C563E0"/>
    <w:rsid w:val="00C566FE"/>
    <w:rsid w:val="00C56B53"/>
    <w:rsid w:val="00C56FAF"/>
    <w:rsid w:val="00C574EF"/>
    <w:rsid w:val="00C57977"/>
    <w:rsid w:val="00C60B33"/>
    <w:rsid w:val="00C60F48"/>
    <w:rsid w:val="00C61B17"/>
    <w:rsid w:val="00C62B56"/>
    <w:rsid w:val="00C63A74"/>
    <w:rsid w:val="00C63B63"/>
    <w:rsid w:val="00C64285"/>
    <w:rsid w:val="00C6504D"/>
    <w:rsid w:val="00C6555B"/>
    <w:rsid w:val="00C66C8E"/>
    <w:rsid w:val="00C67E98"/>
    <w:rsid w:val="00C70340"/>
    <w:rsid w:val="00C70403"/>
    <w:rsid w:val="00C71C1F"/>
    <w:rsid w:val="00C7291E"/>
    <w:rsid w:val="00C73E51"/>
    <w:rsid w:val="00C74364"/>
    <w:rsid w:val="00C75D63"/>
    <w:rsid w:val="00C760E9"/>
    <w:rsid w:val="00C77305"/>
    <w:rsid w:val="00C77CAF"/>
    <w:rsid w:val="00C800B5"/>
    <w:rsid w:val="00C80EC9"/>
    <w:rsid w:val="00C81490"/>
    <w:rsid w:val="00C81BC6"/>
    <w:rsid w:val="00C82B1E"/>
    <w:rsid w:val="00C83643"/>
    <w:rsid w:val="00C84671"/>
    <w:rsid w:val="00C86D42"/>
    <w:rsid w:val="00C877E4"/>
    <w:rsid w:val="00C87DDF"/>
    <w:rsid w:val="00C87F0D"/>
    <w:rsid w:val="00C90FF3"/>
    <w:rsid w:val="00C916CB"/>
    <w:rsid w:val="00C9232E"/>
    <w:rsid w:val="00C9256E"/>
    <w:rsid w:val="00C92E89"/>
    <w:rsid w:val="00C932D9"/>
    <w:rsid w:val="00C934D0"/>
    <w:rsid w:val="00C94204"/>
    <w:rsid w:val="00C94490"/>
    <w:rsid w:val="00C94527"/>
    <w:rsid w:val="00C9461C"/>
    <w:rsid w:val="00C94FD8"/>
    <w:rsid w:val="00C95E77"/>
    <w:rsid w:val="00C96DFE"/>
    <w:rsid w:val="00C97147"/>
    <w:rsid w:val="00C97533"/>
    <w:rsid w:val="00C97D89"/>
    <w:rsid w:val="00CA075D"/>
    <w:rsid w:val="00CA1519"/>
    <w:rsid w:val="00CA16D5"/>
    <w:rsid w:val="00CA1D15"/>
    <w:rsid w:val="00CA2517"/>
    <w:rsid w:val="00CA2DC0"/>
    <w:rsid w:val="00CA3073"/>
    <w:rsid w:val="00CA31E5"/>
    <w:rsid w:val="00CA3290"/>
    <w:rsid w:val="00CA3411"/>
    <w:rsid w:val="00CA38C3"/>
    <w:rsid w:val="00CA3C65"/>
    <w:rsid w:val="00CA44C5"/>
    <w:rsid w:val="00CA4841"/>
    <w:rsid w:val="00CA52F6"/>
    <w:rsid w:val="00CA5B7F"/>
    <w:rsid w:val="00CA5F6D"/>
    <w:rsid w:val="00CA61B7"/>
    <w:rsid w:val="00CA63F2"/>
    <w:rsid w:val="00CB0541"/>
    <w:rsid w:val="00CB0C7F"/>
    <w:rsid w:val="00CB206E"/>
    <w:rsid w:val="00CB39E0"/>
    <w:rsid w:val="00CB3D26"/>
    <w:rsid w:val="00CB3E04"/>
    <w:rsid w:val="00CB63A8"/>
    <w:rsid w:val="00CB7C18"/>
    <w:rsid w:val="00CB7CE3"/>
    <w:rsid w:val="00CC0BFD"/>
    <w:rsid w:val="00CC12AF"/>
    <w:rsid w:val="00CC1A14"/>
    <w:rsid w:val="00CC1E55"/>
    <w:rsid w:val="00CC2B91"/>
    <w:rsid w:val="00CC334B"/>
    <w:rsid w:val="00CC39CD"/>
    <w:rsid w:val="00CC3D9F"/>
    <w:rsid w:val="00CC4197"/>
    <w:rsid w:val="00CC46A0"/>
    <w:rsid w:val="00CC7301"/>
    <w:rsid w:val="00CC7C92"/>
    <w:rsid w:val="00CD0CFB"/>
    <w:rsid w:val="00CD1DAA"/>
    <w:rsid w:val="00CD3BFE"/>
    <w:rsid w:val="00CD43B7"/>
    <w:rsid w:val="00CD5AE7"/>
    <w:rsid w:val="00CD6D1A"/>
    <w:rsid w:val="00CD739D"/>
    <w:rsid w:val="00CE0EDC"/>
    <w:rsid w:val="00CE29C3"/>
    <w:rsid w:val="00CE3320"/>
    <w:rsid w:val="00CE39BA"/>
    <w:rsid w:val="00CE4D9D"/>
    <w:rsid w:val="00CE642D"/>
    <w:rsid w:val="00CE6531"/>
    <w:rsid w:val="00CE674C"/>
    <w:rsid w:val="00CE7BB0"/>
    <w:rsid w:val="00CE7BB7"/>
    <w:rsid w:val="00CE7F02"/>
    <w:rsid w:val="00CF0125"/>
    <w:rsid w:val="00CF0966"/>
    <w:rsid w:val="00CF0AFF"/>
    <w:rsid w:val="00CF1CBD"/>
    <w:rsid w:val="00CF22EE"/>
    <w:rsid w:val="00CF289F"/>
    <w:rsid w:val="00CF2C1C"/>
    <w:rsid w:val="00CF356C"/>
    <w:rsid w:val="00CF4310"/>
    <w:rsid w:val="00CF5057"/>
    <w:rsid w:val="00CF673E"/>
    <w:rsid w:val="00CF69E1"/>
    <w:rsid w:val="00CF6A1D"/>
    <w:rsid w:val="00CF701C"/>
    <w:rsid w:val="00CF7895"/>
    <w:rsid w:val="00CF7D55"/>
    <w:rsid w:val="00CF7E0F"/>
    <w:rsid w:val="00CF7E5E"/>
    <w:rsid w:val="00CF7F9B"/>
    <w:rsid w:val="00D00036"/>
    <w:rsid w:val="00D0011D"/>
    <w:rsid w:val="00D0052E"/>
    <w:rsid w:val="00D00585"/>
    <w:rsid w:val="00D01807"/>
    <w:rsid w:val="00D01983"/>
    <w:rsid w:val="00D01B44"/>
    <w:rsid w:val="00D03452"/>
    <w:rsid w:val="00D03FD8"/>
    <w:rsid w:val="00D0418A"/>
    <w:rsid w:val="00D050EC"/>
    <w:rsid w:val="00D059E4"/>
    <w:rsid w:val="00D05A19"/>
    <w:rsid w:val="00D0633B"/>
    <w:rsid w:val="00D06E00"/>
    <w:rsid w:val="00D06F28"/>
    <w:rsid w:val="00D07033"/>
    <w:rsid w:val="00D103A8"/>
    <w:rsid w:val="00D10AC9"/>
    <w:rsid w:val="00D11C34"/>
    <w:rsid w:val="00D12283"/>
    <w:rsid w:val="00D12F41"/>
    <w:rsid w:val="00D14B7D"/>
    <w:rsid w:val="00D14BCE"/>
    <w:rsid w:val="00D14D54"/>
    <w:rsid w:val="00D15380"/>
    <w:rsid w:val="00D15DAF"/>
    <w:rsid w:val="00D164F6"/>
    <w:rsid w:val="00D16F50"/>
    <w:rsid w:val="00D179D4"/>
    <w:rsid w:val="00D201AE"/>
    <w:rsid w:val="00D20294"/>
    <w:rsid w:val="00D207CF"/>
    <w:rsid w:val="00D20D3C"/>
    <w:rsid w:val="00D21CA2"/>
    <w:rsid w:val="00D2214C"/>
    <w:rsid w:val="00D22D87"/>
    <w:rsid w:val="00D2557E"/>
    <w:rsid w:val="00D261D2"/>
    <w:rsid w:val="00D27354"/>
    <w:rsid w:val="00D27751"/>
    <w:rsid w:val="00D27807"/>
    <w:rsid w:val="00D27E4B"/>
    <w:rsid w:val="00D301C0"/>
    <w:rsid w:val="00D31A05"/>
    <w:rsid w:val="00D31D1E"/>
    <w:rsid w:val="00D326CF"/>
    <w:rsid w:val="00D33D7A"/>
    <w:rsid w:val="00D34F33"/>
    <w:rsid w:val="00D36BAD"/>
    <w:rsid w:val="00D37209"/>
    <w:rsid w:val="00D37AD3"/>
    <w:rsid w:val="00D40606"/>
    <w:rsid w:val="00D40C06"/>
    <w:rsid w:val="00D41363"/>
    <w:rsid w:val="00D433FC"/>
    <w:rsid w:val="00D43433"/>
    <w:rsid w:val="00D439DA"/>
    <w:rsid w:val="00D44051"/>
    <w:rsid w:val="00D44356"/>
    <w:rsid w:val="00D44B44"/>
    <w:rsid w:val="00D44F86"/>
    <w:rsid w:val="00D45E6D"/>
    <w:rsid w:val="00D50E7F"/>
    <w:rsid w:val="00D50FC4"/>
    <w:rsid w:val="00D51443"/>
    <w:rsid w:val="00D527E8"/>
    <w:rsid w:val="00D53814"/>
    <w:rsid w:val="00D5514B"/>
    <w:rsid w:val="00D554A9"/>
    <w:rsid w:val="00D55B56"/>
    <w:rsid w:val="00D55E4C"/>
    <w:rsid w:val="00D5656F"/>
    <w:rsid w:val="00D569CB"/>
    <w:rsid w:val="00D60282"/>
    <w:rsid w:val="00D611F2"/>
    <w:rsid w:val="00D619EA"/>
    <w:rsid w:val="00D62948"/>
    <w:rsid w:val="00D632D6"/>
    <w:rsid w:val="00D65B57"/>
    <w:rsid w:val="00D678B9"/>
    <w:rsid w:val="00D67E76"/>
    <w:rsid w:val="00D705CC"/>
    <w:rsid w:val="00D7096B"/>
    <w:rsid w:val="00D717C1"/>
    <w:rsid w:val="00D71CD8"/>
    <w:rsid w:val="00D71DF8"/>
    <w:rsid w:val="00D722F1"/>
    <w:rsid w:val="00D728BA"/>
    <w:rsid w:val="00D72D7A"/>
    <w:rsid w:val="00D72F8A"/>
    <w:rsid w:val="00D74004"/>
    <w:rsid w:val="00D752CD"/>
    <w:rsid w:val="00D75FC6"/>
    <w:rsid w:val="00D762B9"/>
    <w:rsid w:val="00D76BD0"/>
    <w:rsid w:val="00D80AE0"/>
    <w:rsid w:val="00D80EDF"/>
    <w:rsid w:val="00D81B47"/>
    <w:rsid w:val="00D823E5"/>
    <w:rsid w:val="00D82BF3"/>
    <w:rsid w:val="00D843CE"/>
    <w:rsid w:val="00D874C9"/>
    <w:rsid w:val="00D877CB"/>
    <w:rsid w:val="00D902A5"/>
    <w:rsid w:val="00D903CC"/>
    <w:rsid w:val="00D90A0C"/>
    <w:rsid w:val="00D911F2"/>
    <w:rsid w:val="00D92045"/>
    <w:rsid w:val="00D9215B"/>
    <w:rsid w:val="00D9293F"/>
    <w:rsid w:val="00D9344E"/>
    <w:rsid w:val="00D93547"/>
    <w:rsid w:val="00D93614"/>
    <w:rsid w:val="00D957F2"/>
    <w:rsid w:val="00D95D53"/>
    <w:rsid w:val="00D96061"/>
    <w:rsid w:val="00D96677"/>
    <w:rsid w:val="00D96C67"/>
    <w:rsid w:val="00D97013"/>
    <w:rsid w:val="00DA0C75"/>
    <w:rsid w:val="00DA19DB"/>
    <w:rsid w:val="00DA19ED"/>
    <w:rsid w:val="00DA21EF"/>
    <w:rsid w:val="00DA3C9B"/>
    <w:rsid w:val="00DA3E0A"/>
    <w:rsid w:val="00DA43C7"/>
    <w:rsid w:val="00DA5C2A"/>
    <w:rsid w:val="00DA6915"/>
    <w:rsid w:val="00DA70C1"/>
    <w:rsid w:val="00DA7969"/>
    <w:rsid w:val="00DA7DD7"/>
    <w:rsid w:val="00DA7FE9"/>
    <w:rsid w:val="00DB00A3"/>
    <w:rsid w:val="00DB0773"/>
    <w:rsid w:val="00DB0AEA"/>
    <w:rsid w:val="00DB1B61"/>
    <w:rsid w:val="00DB1CE6"/>
    <w:rsid w:val="00DB34C4"/>
    <w:rsid w:val="00DB383F"/>
    <w:rsid w:val="00DB417A"/>
    <w:rsid w:val="00DB4368"/>
    <w:rsid w:val="00DB4EE2"/>
    <w:rsid w:val="00DB594D"/>
    <w:rsid w:val="00DB68B0"/>
    <w:rsid w:val="00DB6D1E"/>
    <w:rsid w:val="00DB71D2"/>
    <w:rsid w:val="00DB7DE8"/>
    <w:rsid w:val="00DC008E"/>
    <w:rsid w:val="00DC00C5"/>
    <w:rsid w:val="00DC07FE"/>
    <w:rsid w:val="00DC14EB"/>
    <w:rsid w:val="00DC2655"/>
    <w:rsid w:val="00DC2CD0"/>
    <w:rsid w:val="00DC3B60"/>
    <w:rsid w:val="00DC4393"/>
    <w:rsid w:val="00DC4CA7"/>
    <w:rsid w:val="00DC5BF5"/>
    <w:rsid w:val="00DC5D86"/>
    <w:rsid w:val="00DC6F0B"/>
    <w:rsid w:val="00DC7FA7"/>
    <w:rsid w:val="00DD1562"/>
    <w:rsid w:val="00DD2A93"/>
    <w:rsid w:val="00DD2EE2"/>
    <w:rsid w:val="00DD3D21"/>
    <w:rsid w:val="00DD4081"/>
    <w:rsid w:val="00DD43B4"/>
    <w:rsid w:val="00DD46A8"/>
    <w:rsid w:val="00DD4F8A"/>
    <w:rsid w:val="00DD4FE2"/>
    <w:rsid w:val="00DD5586"/>
    <w:rsid w:val="00DD5944"/>
    <w:rsid w:val="00DD6BC5"/>
    <w:rsid w:val="00DD6E85"/>
    <w:rsid w:val="00DD72CE"/>
    <w:rsid w:val="00DD7A0D"/>
    <w:rsid w:val="00DD7E1D"/>
    <w:rsid w:val="00DE07CF"/>
    <w:rsid w:val="00DE152A"/>
    <w:rsid w:val="00DE2121"/>
    <w:rsid w:val="00DE24DA"/>
    <w:rsid w:val="00DE3252"/>
    <w:rsid w:val="00DE335B"/>
    <w:rsid w:val="00DE3B85"/>
    <w:rsid w:val="00DE3C3C"/>
    <w:rsid w:val="00DE4D82"/>
    <w:rsid w:val="00DE69C8"/>
    <w:rsid w:val="00DE6F51"/>
    <w:rsid w:val="00DF0C78"/>
    <w:rsid w:val="00DF2E1D"/>
    <w:rsid w:val="00DF3302"/>
    <w:rsid w:val="00DF43D4"/>
    <w:rsid w:val="00DF4686"/>
    <w:rsid w:val="00DF4D4D"/>
    <w:rsid w:val="00DF5E4D"/>
    <w:rsid w:val="00DF6D0D"/>
    <w:rsid w:val="00E0035E"/>
    <w:rsid w:val="00E00C5C"/>
    <w:rsid w:val="00E00F41"/>
    <w:rsid w:val="00E0254D"/>
    <w:rsid w:val="00E03D90"/>
    <w:rsid w:val="00E04965"/>
    <w:rsid w:val="00E04AAA"/>
    <w:rsid w:val="00E04BC9"/>
    <w:rsid w:val="00E062F5"/>
    <w:rsid w:val="00E063A2"/>
    <w:rsid w:val="00E06D3D"/>
    <w:rsid w:val="00E105E3"/>
    <w:rsid w:val="00E10766"/>
    <w:rsid w:val="00E10D8E"/>
    <w:rsid w:val="00E11E56"/>
    <w:rsid w:val="00E12C0C"/>
    <w:rsid w:val="00E12F28"/>
    <w:rsid w:val="00E14A26"/>
    <w:rsid w:val="00E1767F"/>
    <w:rsid w:val="00E17A01"/>
    <w:rsid w:val="00E17C59"/>
    <w:rsid w:val="00E17EAF"/>
    <w:rsid w:val="00E20C55"/>
    <w:rsid w:val="00E20CFF"/>
    <w:rsid w:val="00E210BD"/>
    <w:rsid w:val="00E213F0"/>
    <w:rsid w:val="00E2179D"/>
    <w:rsid w:val="00E21D2C"/>
    <w:rsid w:val="00E22AD5"/>
    <w:rsid w:val="00E23B02"/>
    <w:rsid w:val="00E25147"/>
    <w:rsid w:val="00E25557"/>
    <w:rsid w:val="00E26790"/>
    <w:rsid w:val="00E26D21"/>
    <w:rsid w:val="00E27B9E"/>
    <w:rsid w:val="00E3184F"/>
    <w:rsid w:val="00E32263"/>
    <w:rsid w:val="00E32D35"/>
    <w:rsid w:val="00E337AD"/>
    <w:rsid w:val="00E3436F"/>
    <w:rsid w:val="00E3461A"/>
    <w:rsid w:val="00E354CF"/>
    <w:rsid w:val="00E35BBE"/>
    <w:rsid w:val="00E40215"/>
    <w:rsid w:val="00E4145D"/>
    <w:rsid w:val="00E4152E"/>
    <w:rsid w:val="00E4283C"/>
    <w:rsid w:val="00E438AB"/>
    <w:rsid w:val="00E4410A"/>
    <w:rsid w:val="00E44311"/>
    <w:rsid w:val="00E46CEC"/>
    <w:rsid w:val="00E477A5"/>
    <w:rsid w:val="00E47E13"/>
    <w:rsid w:val="00E50907"/>
    <w:rsid w:val="00E51076"/>
    <w:rsid w:val="00E515E1"/>
    <w:rsid w:val="00E51F73"/>
    <w:rsid w:val="00E51FA4"/>
    <w:rsid w:val="00E525DC"/>
    <w:rsid w:val="00E52A3C"/>
    <w:rsid w:val="00E5367E"/>
    <w:rsid w:val="00E53BCC"/>
    <w:rsid w:val="00E564F2"/>
    <w:rsid w:val="00E600C5"/>
    <w:rsid w:val="00E600DC"/>
    <w:rsid w:val="00E60380"/>
    <w:rsid w:val="00E6063C"/>
    <w:rsid w:val="00E6136D"/>
    <w:rsid w:val="00E622A6"/>
    <w:rsid w:val="00E62A9D"/>
    <w:rsid w:val="00E63113"/>
    <w:rsid w:val="00E639CB"/>
    <w:rsid w:val="00E640EA"/>
    <w:rsid w:val="00E64663"/>
    <w:rsid w:val="00E64BB3"/>
    <w:rsid w:val="00E6531C"/>
    <w:rsid w:val="00E66053"/>
    <w:rsid w:val="00E661B3"/>
    <w:rsid w:val="00E66A0D"/>
    <w:rsid w:val="00E67538"/>
    <w:rsid w:val="00E67857"/>
    <w:rsid w:val="00E70B86"/>
    <w:rsid w:val="00E70EE4"/>
    <w:rsid w:val="00E7294B"/>
    <w:rsid w:val="00E72992"/>
    <w:rsid w:val="00E72A24"/>
    <w:rsid w:val="00E73445"/>
    <w:rsid w:val="00E73BBC"/>
    <w:rsid w:val="00E73BEF"/>
    <w:rsid w:val="00E746BF"/>
    <w:rsid w:val="00E753C1"/>
    <w:rsid w:val="00E75BE8"/>
    <w:rsid w:val="00E7742A"/>
    <w:rsid w:val="00E775CA"/>
    <w:rsid w:val="00E81FC3"/>
    <w:rsid w:val="00E829B2"/>
    <w:rsid w:val="00E83E5E"/>
    <w:rsid w:val="00E8441F"/>
    <w:rsid w:val="00E84AF9"/>
    <w:rsid w:val="00E84DDE"/>
    <w:rsid w:val="00E84E80"/>
    <w:rsid w:val="00E851C4"/>
    <w:rsid w:val="00E85DA7"/>
    <w:rsid w:val="00E865CF"/>
    <w:rsid w:val="00E86948"/>
    <w:rsid w:val="00E86C0E"/>
    <w:rsid w:val="00E87A9D"/>
    <w:rsid w:val="00E87B6A"/>
    <w:rsid w:val="00E87F52"/>
    <w:rsid w:val="00E906A3"/>
    <w:rsid w:val="00E907DA"/>
    <w:rsid w:val="00E91722"/>
    <w:rsid w:val="00E91ABB"/>
    <w:rsid w:val="00E91BA6"/>
    <w:rsid w:val="00E92F9F"/>
    <w:rsid w:val="00E931D1"/>
    <w:rsid w:val="00E939C1"/>
    <w:rsid w:val="00E93B94"/>
    <w:rsid w:val="00E968FE"/>
    <w:rsid w:val="00E97139"/>
    <w:rsid w:val="00EA00EA"/>
    <w:rsid w:val="00EA32A0"/>
    <w:rsid w:val="00EA3843"/>
    <w:rsid w:val="00EA3B9A"/>
    <w:rsid w:val="00EA4C19"/>
    <w:rsid w:val="00EA4DAF"/>
    <w:rsid w:val="00EA51B3"/>
    <w:rsid w:val="00EA626C"/>
    <w:rsid w:val="00EA62A7"/>
    <w:rsid w:val="00EA685E"/>
    <w:rsid w:val="00EB0187"/>
    <w:rsid w:val="00EB0600"/>
    <w:rsid w:val="00EB0A14"/>
    <w:rsid w:val="00EB2D33"/>
    <w:rsid w:val="00EB48F2"/>
    <w:rsid w:val="00EB5394"/>
    <w:rsid w:val="00EB5B8A"/>
    <w:rsid w:val="00EB5D56"/>
    <w:rsid w:val="00EB5E33"/>
    <w:rsid w:val="00EB6D94"/>
    <w:rsid w:val="00EC02E5"/>
    <w:rsid w:val="00EC2097"/>
    <w:rsid w:val="00EC2210"/>
    <w:rsid w:val="00EC2C82"/>
    <w:rsid w:val="00EC31DC"/>
    <w:rsid w:val="00EC39DD"/>
    <w:rsid w:val="00EC465E"/>
    <w:rsid w:val="00EC5126"/>
    <w:rsid w:val="00EC5834"/>
    <w:rsid w:val="00EC5AEE"/>
    <w:rsid w:val="00ED1E7F"/>
    <w:rsid w:val="00ED2902"/>
    <w:rsid w:val="00ED2CD1"/>
    <w:rsid w:val="00ED3409"/>
    <w:rsid w:val="00ED3915"/>
    <w:rsid w:val="00ED3F50"/>
    <w:rsid w:val="00ED42F2"/>
    <w:rsid w:val="00ED5D24"/>
    <w:rsid w:val="00ED6A0F"/>
    <w:rsid w:val="00ED779B"/>
    <w:rsid w:val="00ED79FA"/>
    <w:rsid w:val="00EE151F"/>
    <w:rsid w:val="00EE192D"/>
    <w:rsid w:val="00EE194C"/>
    <w:rsid w:val="00EE211E"/>
    <w:rsid w:val="00EE276F"/>
    <w:rsid w:val="00EE2C57"/>
    <w:rsid w:val="00EE2FAA"/>
    <w:rsid w:val="00EE3478"/>
    <w:rsid w:val="00EE3EFA"/>
    <w:rsid w:val="00EE440D"/>
    <w:rsid w:val="00EE4DB1"/>
    <w:rsid w:val="00EE5246"/>
    <w:rsid w:val="00EE54A7"/>
    <w:rsid w:val="00EE5B4A"/>
    <w:rsid w:val="00EE5FBD"/>
    <w:rsid w:val="00EE62F3"/>
    <w:rsid w:val="00EE69A3"/>
    <w:rsid w:val="00EE74D1"/>
    <w:rsid w:val="00EE7F0D"/>
    <w:rsid w:val="00EF0149"/>
    <w:rsid w:val="00EF0FEB"/>
    <w:rsid w:val="00EF1071"/>
    <w:rsid w:val="00EF1176"/>
    <w:rsid w:val="00EF3514"/>
    <w:rsid w:val="00EF4051"/>
    <w:rsid w:val="00EF4586"/>
    <w:rsid w:val="00EF5AE6"/>
    <w:rsid w:val="00EF5C86"/>
    <w:rsid w:val="00EF63E7"/>
    <w:rsid w:val="00EF651D"/>
    <w:rsid w:val="00EF6C40"/>
    <w:rsid w:val="00EF76A5"/>
    <w:rsid w:val="00EF7E8C"/>
    <w:rsid w:val="00F001F0"/>
    <w:rsid w:val="00F00234"/>
    <w:rsid w:val="00F00B11"/>
    <w:rsid w:val="00F00B57"/>
    <w:rsid w:val="00F00D0D"/>
    <w:rsid w:val="00F01902"/>
    <w:rsid w:val="00F02B37"/>
    <w:rsid w:val="00F033DD"/>
    <w:rsid w:val="00F0478B"/>
    <w:rsid w:val="00F04FA9"/>
    <w:rsid w:val="00F05714"/>
    <w:rsid w:val="00F06F87"/>
    <w:rsid w:val="00F071A8"/>
    <w:rsid w:val="00F07554"/>
    <w:rsid w:val="00F07935"/>
    <w:rsid w:val="00F07AA2"/>
    <w:rsid w:val="00F10DB6"/>
    <w:rsid w:val="00F11B3E"/>
    <w:rsid w:val="00F1234C"/>
    <w:rsid w:val="00F12F99"/>
    <w:rsid w:val="00F13EA1"/>
    <w:rsid w:val="00F1472D"/>
    <w:rsid w:val="00F14C31"/>
    <w:rsid w:val="00F1562B"/>
    <w:rsid w:val="00F15B0E"/>
    <w:rsid w:val="00F16FBC"/>
    <w:rsid w:val="00F207E6"/>
    <w:rsid w:val="00F20B4B"/>
    <w:rsid w:val="00F21091"/>
    <w:rsid w:val="00F21761"/>
    <w:rsid w:val="00F21A35"/>
    <w:rsid w:val="00F2286F"/>
    <w:rsid w:val="00F239B4"/>
    <w:rsid w:val="00F25722"/>
    <w:rsid w:val="00F25AE5"/>
    <w:rsid w:val="00F25BA9"/>
    <w:rsid w:val="00F25D0E"/>
    <w:rsid w:val="00F25E54"/>
    <w:rsid w:val="00F2693E"/>
    <w:rsid w:val="00F26EB3"/>
    <w:rsid w:val="00F32748"/>
    <w:rsid w:val="00F3352F"/>
    <w:rsid w:val="00F34881"/>
    <w:rsid w:val="00F3691E"/>
    <w:rsid w:val="00F36BA1"/>
    <w:rsid w:val="00F376D7"/>
    <w:rsid w:val="00F40EB5"/>
    <w:rsid w:val="00F413CC"/>
    <w:rsid w:val="00F418F3"/>
    <w:rsid w:val="00F41DC4"/>
    <w:rsid w:val="00F43333"/>
    <w:rsid w:val="00F44799"/>
    <w:rsid w:val="00F45BA2"/>
    <w:rsid w:val="00F45C53"/>
    <w:rsid w:val="00F469B6"/>
    <w:rsid w:val="00F47267"/>
    <w:rsid w:val="00F5050A"/>
    <w:rsid w:val="00F50723"/>
    <w:rsid w:val="00F50D53"/>
    <w:rsid w:val="00F52051"/>
    <w:rsid w:val="00F52ADA"/>
    <w:rsid w:val="00F532E4"/>
    <w:rsid w:val="00F53326"/>
    <w:rsid w:val="00F53897"/>
    <w:rsid w:val="00F54060"/>
    <w:rsid w:val="00F55CB9"/>
    <w:rsid w:val="00F56F05"/>
    <w:rsid w:val="00F57302"/>
    <w:rsid w:val="00F57E62"/>
    <w:rsid w:val="00F60CD4"/>
    <w:rsid w:val="00F61D04"/>
    <w:rsid w:val="00F621A4"/>
    <w:rsid w:val="00F64697"/>
    <w:rsid w:val="00F64F60"/>
    <w:rsid w:val="00F66ABD"/>
    <w:rsid w:val="00F67133"/>
    <w:rsid w:val="00F67DA3"/>
    <w:rsid w:val="00F701C7"/>
    <w:rsid w:val="00F70B22"/>
    <w:rsid w:val="00F72264"/>
    <w:rsid w:val="00F72ADA"/>
    <w:rsid w:val="00F734F5"/>
    <w:rsid w:val="00F735EC"/>
    <w:rsid w:val="00F73ABE"/>
    <w:rsid w:val="00F73E96"/>
    <w:rsid w:val="00F73F5F"/>
    <w:rsid w:val="00F7415A"/>
    <w:rsid w:val="00F745BA"/>
    <w:rsid w:val="00F77935"/>
    <w:rsid w:val="00F80985"/>
    <w:rsid w:val="00F81031"/>
    <w:rsid w:val="00F81114"/>
    <w:rsid w:val="00F81498"/>
    <w:rsid w:val="00F82EC1"/>
    <w:rsid w:val="00F83461"/>
    <w:rsid w:val="00F83A9C"/>
    <w:rsid w:val="00F84DD0"/>
    <w:rsid w:val="00F8520F"/>
    <w:rsid w:val="00F86052"/>
    <w:rsid w:val="00F865DB"/>
    <w:rsid w:val="00F86A71"/>
    <w:rsid w:val="00F86F60"/>
    <w:rsid w:val="00F87461"/>
    <w:rsid w:val="00F915DE"/>
    <w:rsid w:val="00F9293D"/>
    <w:rsid w:val="00F933B4"/>
    <w:rsid w:val="00F936FA"/>
    <w:rsid w:val="00F937AF"/>
    <w:rsid w:val="00F94D00"/>
    <w:rsid w:val="00F9501A"/>
    <w:rsid w:val="00F952DD"/>
    <w:rsid w:val="00F9531B"/>
    <w:rsid w:val="00F95878"/>
    <w:rsid w:val="00F95F0F"/>
    <w:rsid w:val="00F961B0"/>
    <w:rsid w:val="00F96BAA"/>
    <w:rsid w:val="00FA0188"/>
    <w:rsid w:val="00FA01DB"/>
    <w:rsid w:val="00FA0B1E"/>
    <w:rsid w:val="00FA1831"/>
    <w:rsid w:val="00FA2107"/>
    <w:rsid w:val="00FA2193"/>
    <w:rsid w:val="00FA345F"/>
    <w:rsid w:val="00FA370B"/>
    <w:rsid w:val="00FA388A"/>
    <w:rsid w:val="00FA3A27"/>
    <w:rsid w:val="00FA401B"/>
    <w:rsid w:val="00FA43EF"/>
    <w:rsid w:val="00FA452D"/>
    <w:rsid w:val="00FA4D52"/>
    <w:rsid w:val="00FA4F74"/>
    <w:rsid w:val="00FA5411"/>
    <w:rsid w:val="00FA5C45"/>
    <w:rsid w:val="00FA6CDC"/>
    <w:rsid w:val="00FA6E10"/>
    <w:rsid w:val="00FA703B"/>
    <w:rsid w:val="00FA7885"/>
    <w:rsid w:val="00FB05D0"/>
    <w:rsid w:val="00FB0AD5"/>
    <w:rsid w:val="00FB108C"/>
    <w:rsid w:val="00FB3094"/>
    <w:rsid w:val="00FB3A7B"/>
    <w:rsid w:val="00FB40BB"/>
    <w:rsid w:val="00FB57E6"/>
    <w:rsid w:val="00FB678A"/>
    <w:rsid w:val="00FB6BED"/>
    <w:rsid w:val="00FB7026"/>
    <w:rsid w:val="00FC0800"/>
    <w:rsid w:val="00FC2AB3"/>
    <w:rsid w:val="00FC320A"/>
    <w:rsid w:val="00FC3881"/>
    <w:rsid w:val="00FC59C7"/>
    <w:rsid w:val="00FC5D30"/>
    <w:rsid w:val="00FC6CA7"/>
    <w:rsid w:val="00FC7051"/>
    <w:rsid w:val="00FC7C15"/>
    <w:rsid w:val="00FC7F70"/>
    <w:rsid w:val="00FD0412"/>
    <w:rsid w:val="00FD0CD9"/>
    <w:rsid w:val="00FD1084"/>
    <w:rsid w:val="00FD10A0"/>
    <w:rsid w:val="00FD10D9"/>
    <w:rsid w:val="00FD2965"/>
    <w:rsid w:val="00FD32B9"/>
    <w:rsid w:val="00FD36BA"/>
    <w:rsid w:val="00FD3EB0"/>
    <w:rsid w:val="00FD4BC5"/>
    <w:rsid w:val="00FD6D47"/>
    <w:rsid w:val="00FD6DE3"/>
    <w:rsid w:val="00FD6E05"/>
    <w:rsid w:val="00FD6EC2"/>
    <w:rsid w:val="00FD7B9D"/>
    <w:rsid w:val="00FD7D00"/>
    <w:rsid w:val="00FE2550"/>
    <w:rsid w:val="00FE35DE"/>
    <w:rsid w:val="00FE3CD7"/>
    <w:rsid w:val="00FE4488"/>
    <w:rsid w:val="00FE4805"/>
    <w:rsid w:val="00FE4A1E"/>
    <w:rsid w:val="00FE4E99"/>
    <w:rsid w:val="00FE50FB"/>
    <w:rsid w:val="00FE571D"/>
    <w:rsid w:val="00FE5A63"/>
    <w:rsid w:val="00FE5D46"/>
    <w:rsid w:val="00FE67F0"/>
    <w:rsid w:val="00FE6AFC"/>
    <w:rsid w:val="00FE6C87"/>
    <w:rsid w:val="00FE743A"/>
    <w:rsid w:val="00FE77E0"/>
    <w:rsid w:val="00FE7E4D"/>
    <w:rsid w:val="00FF1173"/>
    <w:rsid w:val="00FF33C7"/>
    <w:rsid w:val="00FF6151"/>
    <w:rsid w:val="00FF63B8"/>
    <w:rsid w:val="00FF77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6F747-6C59-4316-B22C-C752485E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368AB"/>
    <w:rPr>
      <w:rFonts w:ascii="Arial" w:hAnsi="Arial"/>
      <w:sz w:val="22"/>
      <w:szCs w:val="22"/>
      <w:lang w:eastAsia="en-US"/>
    </w:rPr>
  </w:style>
  <w:style w:type="paragraph" w:styleId="Heading1">
    <w:name w:val="heading 1"/>
    <w:basedOn w:val="Normal"/>
    <w:next w:val="Normal"/>
    <w:link w:val="Heading1Char"/>
    <w:qFormat/>
    <w:rsid w:val="00A94DF8"/>
    <w:pPr>
      <w:keepNext/>
      <w:spacing w:before="240" w:after="60"/>
      <w:outlineLvl w:val="0"/>
    </w:pPr>
    <w:rPr>
      <w:rFonts w:eastAsiaTheme="majorEastAsia" w:cstheme="majorBidi"/>
      <w:b/>
      <w:bCs/>
      <w:color w:val="242852" w:themeColor="text2"/>
      <w:kern w:val="32"/>
      <w:sz w:val="48"/>
      <w:szCs w:val="32"/>
    </w:rPr>
  </w:style>
  <w:style w:type="paragraph" w:styleId="Heading2">
    <w:name w:val="heading 2"/>
    <w:basedOn w:val="Normal"/>
    <w:next w:val="Normal"/>
    <w:link w:val="Heading2Char"/>
    <w:unhideWhenUsed/>
    <w:qFormat/>
    <w:rsid w:val="00A94DF8"/>
    <w:pPr>
      <w:keepNext/>
      <w:keepLines/>
      <w:spacing w:before="200"/>
      <w:outlineLvl w:val="1"/>
    </w:pPr>
    <w:rPr>
      <w:rFonts w:eastAsiaTheme="majorEastAsia" w:cs="Arial"/>
      <w:b/>
      <w:bCs/>
      <w:color w:val="242852" w:themeColor="text2"/>
      <w:sz w:val="32"/>
      <w:szCs w:val="28"/>
      <w:lang w:val="en-US"/>
    </w:rPr>
  </w:style>
  <w:style w:type="paragraph" w:styleId="Heading3">
    <w:name w:val="heading 3"/>
    <w:basedOn w:val="ARheading4"/>
    <w:next w:val="Normal"/>
    <w:link w:val="Heading3Char"/>
    <w:unhideWhenUsed/>
    <w:qFormat/>
    <w:rsid w:val="00A94DF8"/>
    <w:pPr>
      <w:outlineLvl w:val="2"/>
    </w:pPr>
    <w:rPr>
      <w:rFonts w:ascii="Arial" w:hAnsi="Arial"/>
    </w:rPr>
  </w:style>
  <w:style w:type="paragraph" w:styleId="Heading4">
    <w:name w:val="heading 4"/>
    <w:basedOn w:val="Normal"/>
    <w:next w:val="Normal"/>
    <w:link w:val="Heading4Char"/>
    <w:unhideWhenUsed/>
    <w:qFormat/>
    <w:rsid w:val="00AE1ABC"/>
    <w:pPr>
      <w:keepNext/>
      <w:keepLines/>
      <w:spacing w:before="200"/>
      <w:outlineLvl w:val="3"/>
    </w:pPr>
    <w:rPr>
      <w:rFonts w:asciiTheme="majorHAnsi" w:eastAsiaTheme="majorEastAsia" w:hAnsiTheme="majorHAnsi" w:cstheme="majorBidi"/>
      <w:b/>
      <w:bCs/>
      <w:i/>
      <w:iCs/>
      <w:color w:val="4A66AC" w:themeColor="accent1"/>
    </w:rPr>
  </w:style>
  <w:style w:type="paragraph" w:styleId="Heading7">
    <w:name w:val="heading 7"/>
    <w:basedOn w:val="Normal"/>
    <w:next w:val="Normal"/>
    <w:link w:val="Heading7Char"/>
    <w:semiHidden/>
    <w:unhideWhenUsed/>
    <w:qFormat/>
    <w:rsid w:val="004B2040"/>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242852"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242852" w:themeColor="text2"/>
      <w:sz w:val="32"/>
      <w:szCs w:val="28"/>
      <w:lang w:val="en-US" w:eastAsia="en-US"/>
    </w:rPr>
  </w:style>
  <w:style w:type="character" w:customStyle="1" w:styleId="Heading3Char">
    <w:name w:val="Heading 3 Char"/>
    <w:basedOn w:val="DefaultParagraphFont"/>
    <w:link w:val="Heading3"/>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A66AC" w:themeColor="accent1"/>
      <w:sz w:val="22"/>
      <w:szCs w:val="22"/>
      <w:lang w:eastAsia="en-US"/>
    </w:rPr>
  </w:style>
  <w:style w:type="paragraph" w:styleId="BalloonText">
    <w:name w:val="Balloon Text"/>
    <w:basedOn w:val="Normal"/>
    <w:link w:val="BalloonTextChar"/>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nhideWhenUsed/>
    <w:rsid w:val="006122B0"/>
    <w:pPr>
      <w:tabs>
        <w:tab w:val="center" w:pos="4513"/>
        <w:tab w:val="right" w:pos="9026"/>
      </w:tabs>
    </w:pPr>
  </w:style>
  <w:style w:type="character" w:customStyle="1" w:styleId="HeaderChar">
    <w:name w:val="Header Char"/>
    <w:basedOn w:val="DefaultParagraphFont"/>
    <w:link w:val="Header"/>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74C80"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74C80"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74C80"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74C80"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7485"/>
    <w:pPr>
      <w:numPr>
        <w:numId w:val="2"/>
      </w:numPr>
    </w:pPr>
  </w:style>
  <w:style w:type="numbering" w:customStyle="1" w:styleId="ImportedStyle4">
    <w:name w:val="Imported Style 4"/>
    <w:rsid w:val="00787485"/>
    <w:pPr>
      <w:numPr>
        <w:numId w:val="3"/>
      </w:numPr>
    </w:pPr>
  </w:style>
  <w:style w:type="numbering" w:customStyle="1" w:styleId="ImportedStyle6">
    <w:name w:val="Imported Style 6"/>
    <w:rsid w:val="00787485"/>
    <w:pPr>
      <w:numPr>
        <w:numId w:val="5"/>
      </w:numPr>
    </w:pPr>
  </w:style>
  <w:style w:type="character" w:customStyle="1" w:styleId="Heading7Char">
    <w:name w:val="Heading 7 Char"/>
    <w:basedOn w:val="DefaultParagraphFont"/>
    <w:link w:val="Heading7"/>
    <w:semiHidden/>
    <w:rsid w:val="004B2040"/>
    <w:rPr>
      <w:rFonts w:eastAsia="Times New Roman"/>
      <w:sz w:val="24"/>
      <w:szCs w:val="24"/>
      <w:lang w:eastAsia="en-US"/>
    </w:rPr>
  </w:style>
  <w:style w:type="paragraph" w:styleId="BodyText">
    <w:name w:val="Body Text"/>
    <w:basedOn w:val="Normal"/>
    <w:link w:val="BodyTextChar"/>
    <w:unhideWhenUsed/>
    <w:rsid w:val="004B2040"/>
    <w:pPr>
      <w:spacing w:after="120"/>
    </w:pPr>
  </w:style>
  <w:style w:type="character" w:customStyle="1" w:styleId="BodyTextChar">
    <w:name w:val="Body Text Char"/>
    <w:basedOn w:val="DefaultParagraphFont"/>
    <w:link w:val="BodyText"/>
    <w:rsid w:val="004B2040"/>
    <w:rPr>
      <w:rFonts w:ascii="Arial" w:hAnsi="Arial"/>
      <w:sz w:val="22"/>
      <w:szCs w:val="22"/>
      <w:lang w:eastAsia="en-US"/>
    </w:rPr>
  </w:style>
  <w:style w:type="paragraph" w:styleId="BodyTextFirstIndent">
    <w:name w:val="Body Text First Indent"/>
    <w:basedOn w:val="BodyText"/>
    <w:link w:val="BodyTextFirstIndentChar"/>
    <w:rsid w:val="004B2040"/>
    <w:pPr>
      <w:ind w:firstLine="210"/>
    </w:pPr>
    <w:rPr>
      <w:rFonts w:ascii="Book Antiqua" w:eastAsia="Times New Roman" w:hAnsi="Book Antiqua"/>
      <w:szCs w:val="20"/>
    </w:rPr>
  </w:style>
  <w:style w:type="character" w:customStyle="1" w:styleId="BodyTextFirstIndentChar">
    <w:name w:val="Body Text First Indent Char"/>
    <w:basedOn w:val="BodyTextChar"/>
    <w:link w:val="BodyTextFirstIndent"/>
    <w:rsid w:val="004B2040"/>
    <w:rPr>
      <w:rFonts w:ascii="Book Antiqua" w:eastAsia="Times New Roman" w:hAnsi="Book Antiqua"/>
      <w:sz w:val="22"/>
      <w:szCs w:val="22"/>
      <w:lang w:eastAsia="en-US"/>
    </w:rPr>
  </w:style>
  <w:style w:type="paragraph" w:customStyle="1" w:styleId="TableInfo">
    <w:name w:val="Table Info"/>
    <w:basedOn w:val="Normal"/>
    <w:autoRedefine/>
    <w:rsid w:val="004B2040"/>
    <w:pPr>
      <w:spacing w:before="120" w:after="180"/>
      <w:ind w:left="-1433" w:right="202" w:firstLine="1559"/>
    </w:pPr>
    <w:rPr>
      <w:rFonts w:ascii="Book Antiqua" w:eastAsia="Times New Roman" w:hAnsi="Book Antiqua"/>
      <w:i/>
      <w:sz w:val="20"/>
      <w:szCs w:val="20"/>
    </w:rPr>
  </w:style>
  <w:style w:type="character" w:styleId="Hyperlink">
    <w:name w:val="Hyperlink"/>
    <w:basedOn w:val="DefaultParagraphFont"/>
    <w:uiPriority w:val="99"/>
    <w:rsid w:val="004B2040"/>
    <w:rPr>
      <w:color w:val="0000FF"/>
      <w:u w:val="single"/>
    </w:rPr>
  </w:style>
  <w:style w:type="character" w:styleId="PageNumber">
    <w:name w:val="page number"/>
    <w:basedOn w:val="DefaultParagraphFont"/>
    <w:rsid w:val="004B2040"/>
  </w:style>
  <w:style w:type="paragraph" w:styleId="BodyText2">
    <w:name w:val="Body Text 2"/>
    <w:basedOn w:val="Normal"/>
    <w:link w:val="BodyText2Char"/>
    <w:rsid w:val="004B2040"/>
    <w:pPr>
      <w:jc w:val="both"/>
    </w:pPr>
    <w:rPr>
      <w:rFonts w:eastAsia="Times New Roman" w:cs="Arial"/>
      <w:sz w:val="24"/>
      <w:szCs w:val="24"/>
      <w:lang w:eastAsia="en-AU"/>
    </w:rPr>
  </w:style>
  <w:style w:type="character" w:customStyle="1" w:styleId="BodyText2Char">
    <w:name w:val="Body Text 2 Char"/>
    <w:basedOn w:val="DefaultParagraphFont"/>
    <w:link w:val="BodyText2"/>
    <w:rsid w:val="004B2040"/>
    <w:rPr>
      <w:rFonts w:ascii="Arial" w:eastAsia="Times New Roman" w:hAnsi="Arial" w:cs="Arial"/>
      <w:sz w:val="24"/>
      <w:szCs w:val="24"/>
    </w:rPr>
  </w:style>
  <w:style w:type="paragraph" w:customStyle="1" w:styleId="NormalConsult">
    <w:name w:val="NormalConsult"/>
    <w:basedOn w:val="Normal"/>
    <w:rsid w:val="004B2040"/>
    <w:pPr>
      <w:tabs>
        <w:tab w:val="left" w:pos="11"/>
        <w:tab w:val="left" w:pos="8789"/>
      </w:tabs>
      <w:spacing w:before="120"/>
    </w:pPr>
    <w:rPr>
      <w:rFonts w:ascii="Times New Roman" w:eastAsia="Times New Roman" w:hAnsi="Times New Roman"/>
      <w:szCs w:val="20"/>
    </w:rPr>
  </w:style>
  <w:style w:type="paragraph" w:styleId="BodyText3">
    <w:name w:val="Body Text 3"/>
    <w:basedOn w:val="Normal"/>
    <w:link w:val="BodyText3Char"/>
    <w:rsid w:val="004B2040"/>
    <w:pPr>
      <w:jc w:val="both"/>
    </w:pPr>
    <w:rPr>
      <w:rFonts w:eastAsia="Times New Roman" w:cs="Arial"/>
      <w:sz w:val="20"/>
      <w:szCs w:val="24"/>
      <w:lang w:eastAsia="en-AU"/>
    </w:rPr>
  </w:style>
  <w:style w:type="character" w:customStyle="1" w:styleId="BodyText3Char">
    <w:name w:val="Body Text 3 Char"/>
    <w:basedOn w:val="DefaultParagraphFont"/>
    <w:link w:val="BodyText3"/>
    <w:rsid w:val="004B2040"/>
    <w:rPr>
      <w:rFonts w:ascii="Arial" w:eastAsia="Times New Roman" w:hAnsi="Arial" w:cs="Arial"/>
      <w:szCs w:val="24"/>
    </w:rPr>
  </w:style>
  <w:style w:type="paragraph" w:styleId="ListParagraph">
    <w:name w:val="List Paragraph"/>
    <w:basedOn w:val="Normal"/>
    <w:uiPriority w:val="34"/>
    <w:qFormat/>
    <w:rsid w:val="004B2040"/>
    <w:pPr>
      <w:spacing w:after="200" w:line="276" w:lineRule="auto"/>
      <w:ind w:left="720"/>
      <w:contextualSpacing/>
    </w:pPr>
    <w:rPr>
      <w:rFonts w:ascii="Calibri" w:hAnsi="Calibri"/>
    </w:rPr>
  </w:style>
  <w:style w:type="character" w:styleId="FollowedHyperlink">
    <w:name w:val="FollowedHyperlink"/>
    <w:basedOn w:val="DefaultParagraphFont"/>
    <w:uiPriority w:val="99"/>
    <w:rsid w:val="004B2040"/>
    <w:rPr>
      <w:color w:val="800080"/>
      <w:u w:val="single"/>
    </w:rPr>
  </w:style>
  <w:style w:type="paragraph" w:styleId="NormalWeb">
    <w:name w:val="Normal (Web)"/>
    <w:basedOn w:val="Normal"/>
    <w:uiPriority w:val="99"/>
    <w:rsid w:val="004B2040"/>
    <w:pPr>
      <w:spacing w:before="100" w:beforeAutospacing="1" w:after="100" w:afterAutospacing="1"/>
    </w:pPr>
    <w:rPr>
      <w:rFonts w:ascii="Times New Roman" w:eastAsia="Times New Roman" w:hAnsi="Times New Roman"/>
      <w:sz w:val="24"/>
      <w:szCs w:val="24"/>
      <w:lang w:eastAsia="en-AU"/>
    </w:rPr>
  </w:style>
  <w:style w:type="paragraph" w:styleId="BodyTextIndent">
    <w:name w:val="Body Text Indent"/>
    <w:basedOn w:val="Normal"/>
    <w:link w:val="BodyTextIndentChar"/>
    <w:uiPriority w:val="99"/>
    <w:rsid w:val="004B2040"/>
    <w:pPr>
      <w:spacing w:after="120"/>
      <w:ind w:left="283"/>
    </w:pPr>
    <w:rPr>
      <w:rFonts w:ascii="Book Antiqua" w:eastAsia="Times New Roman" w:hAnsi="Book Antiqua"/>
      <w:szCs w:val="20"/>
    </w:rPr>
  </w:style>
  <w:style w:type="character" w:customStyle="1" w:styleId="BodyTextIndentChar">
    <w:name w:val="Body Text Indent Char"/>
    <w:basedOn w:val="DefaultParagraphFont"/>
    <w:link w:val="BodyTextIndent"/>
    <w:uiPriority w:val="99"/>
    <w:rsid w:val="004B2040"/>
    <w:rPr>
      <w:rFonts w:ascii="Book Antiqua" w:eastAsia="Times New Roman" w:hAnsi="Book Antiqua"/>
      <w:sz w:val="22"/>
      <w:lang w:eastAsia="en-US"/>
    </w:rPr>
  </w:style>
  <w:style w:type="paragraph" w:customStyle="1" w:styleId="MaroondahStd">
    <w:name w:val="Maroondah Std."/>
    <w:basedOn w:val="Normal"/>
    <w:rsid w:val="004B2040"/>
    <w:pPr>
      <w:overflowPunct w:val="0"/>
      <w:autoSpaceDE w:val="0"/>
      <w:autoSpaceDN w:val="0"/>
      <w:adjustRightInd w:val="0"/>
      <w:textAlignment w:val="baseline"/>
    </w:pPr>
    <w:rPr>
      <w:rFonts w:ascii="NewSchool" w:eastAsia="Times New Roman" w:hAnsi="NewSchool"/>
      <w:szCs w:val="20"/>
    </w:rPr>
  </w:style>
  <w:style w:type="paragraph" w:styleId="ListBullet">
    <w:name w:val="List Bullet"/>
    <w:basedOn w:val="Normal"/>
    <w:autoRedefine/>
    <w:rsid w:val="004B2040"/>
    <w:pPr>
      <w:numPr>
        <w:numId w:val="7"/>
      </w:numPr>
    </w:pPr>
    <w:rPr>
      <w:rFonts w:eastAsia="Times New Roman"/>
      <w:szCs w:val="24"/>
    </w:rPr>
  </w:style>
  <w:style w:type="paragraph" w:styleId="BlockText">
    <w:name w:val="Block Text"/>
    <w:basedOn w:val="Normal"/>
    <w:unhideWhenUsed/>
    <w:rsid w:val="004B2040"/>
    <w:pPr>
      <w:ind w:left="600" w:right="778"/>
    </w:pPr>
    <w:rPr>
      <w:rFonts w:ascii="Arial Narrow" w:eastAsia="Times New Roman" w:hAnsi="Arial Narrow"/>
      <w:szCs w:val="24"/>
    </w:rPr>
  </w:style>
  <w:style w:type="character" w:styleId="FootnoteReference">
    <w:name w:val="footnote reference"/>
    <w:basedOn w:val="DefaultParagraphFont"/>
    <w:rsid w:val="004B2040"/>
    <w:rPr>
      <w:vertAlign w:val="superscript"/>
    </w:rPr>
  </w:style>
  <w:style w:type="paragraph" w:styleId="FootnoteText">
    <w:name w:val="footnote text"/>
    <w:basedOn w:val="Normal"/>
    <w:link w:val="FootnoteTextChar"/>
    <w:rsid w:val="004B2040"/>
    <w:pPr>
      <w:overflowPunct w:val="0"/>
      <w:autoSpaceDE w:val="0"/>
      <w:autoSpaceDN w:val="0"/>
      <w:adjustRightInd w:val="0"/>
      <w:jc w:val="both"/>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4B2040"/>
    <w:rPr>
      <w:rFonts w:ascii="Times New Roman" w:eastAsia="Times New Roman" w:hAnsi="Times New Roman"/>
      <w:lang w:eastAsia="en-US"/>
    </w:rPr>
  </w:style>
  <w:style w:type="character" w:customStyle="1" w:styleId="DocHead">
    <w:name w:val="Doc/Head"/>
    <w:basedOn w:val="DefaultParagraphFont"/>
    <w:rsid w:val="004B2040"/>
    <w:rPr>
      <w:rFonts w:ascii="Courier" w:hAnsi="Courier"/>
      <w:noProof w:val="0"/>
      <w:sz w:val="24"/>
      <w:lang w:val="en-US"/>
    </w:rPr>
  </w:style>
  <w:style w:type="paragraph" w:styleId="BodyTextIndent2">
    <w:name w:val="Body Text Indent 2"/>
    <w:basedOn w:val="Normal"/>
    <w:link w:val="BodyTextIndent2Char"/>
    <w:rsid w:val="004B2040"/>
    <w:pPr>
      <w:spacing w:after="120" w:line="480" w:lineRule="auto"/>
      <w:ind w:left="283"/>
    </w:pPr>
    <w:rPr>
      <w:rFonts w:ascii="Book Antiqua" w:eastAsia="Times New Roman" w:hAnsi="Book Antiqua"/>
      <w:szCs w:val="20"/>
    </w:rPr>
  </w:style>
  <w:style w:type="character" w:customStyle="1" w:styleId="BodyTextIndent2Char">
    <w:name w:val="Body Text Indent 2 Char"/>
    <w:basedOn w:val="DefaultParagraphFont"/>
    <w:link w:val="BodyTextIndent2"/>
    <w:rsid w:val="004B2040"/>
    <w:rPr>
      <w:rFonts w:ascii="Book Antiqua" w:eastAsia="Times New Roman" w:hAnsi="Book Antiqua"/>
      <w:sz w:val="22"/>
      <w:lang w:eastAsia="en-US"/>
    </w:rPr>
  </w:style>
  <w:style w:type="paragraph" w:styleId="BodyTextIndent3">
    <w:name w:val="Body Text Indent 3"/>
    <w:basedOn w:val="Normal"/>
    <w:link w:val="BodyTextIndent3Char"/>
    <w:rsid w:val="004B2040"/>
    <w:pPr>
      <w:spacing w:after="120"/>
      <w:ind w:left="283"/>
    </w:pPr>
    <w:rPr>
      <w:rFonts w:ascii="Book Antiqua" w:eastAsia="Times New Roman" w:hAnsi="Book Antiqua"/>
      <w:sz w:val="16"/>
      <w:szCs w:val="16"/>
    </w:rPr>
  </w:style>
  <w:style w:type="character" w:customStyle="1" w:styleId="BodyTextIndent3Char">
    <w:name w:val="Body Text Indent 3 Char"/>
    <w:basedOn w:val="DefaultParagraphFont"/>
    <w:link w:val="BodyTextIndent3"/>
    <w:rsid w:val="004B2040"/>
    <w:rPr>
      <w:rFonts w:ascii="Book Antiqua" w:eastAsia="Times New Roman" w:hAnsi="Book Antiqua"/>
      <w:sz w:val="16"/>
      <w:szCs w:val="16"/>
      <w:lang w:eastAsia="en-US"/>
    </w:rPr>
  </w:style>
  <w:style w:type="character" w:styleId="CommentReference">
    <w:name w:val="annotation reference"/>
    <w:basedOn w:val="DefaultParagraphFont"/>
    <w:rsid w:val="004B2040"/>
    <w:rPr>
      <w:sz w:val="16"/>
      <w:szCs w:val="16"/>
    </w:rPr>
  </w:style>
  <w:style w:type="paragraph" w:styleId="CommentText">
    <w:name w:val="annotation text"/>
    <w:basedOn w:val="Normal"/>
    <w:link w:val="CommentTextChar"/>
    <w:rsid w:val="004B2040"/>
    <w:rPr>
      <w:rFonts w:ascii="Book Antiqua" w:eastAsia="Times New Roman" w:hAnsi="Book Antiqua"/>
      <w:sz w:val="20"/>
      <w:szCs w:val="20"/>
    </w:rPr>
  </w:style>
  <w:style w:type="character" w:customStyle="1" w:styleId="CommentTextChar">
    <w:name w:val="Comment Text Char"/>
    <w:basedOn w:val="DefaultParagraphFont"/>
    <w:link w:val="CommentText"/>
    <w:rsid w:val="004B2040"/>
    <w:rPr>
      <w:rFonts w:ascii="Book Antiqua" w:eastAsia="Times New Roman" w:hAnsi="Book Antiqua"/>
      <w:lang w:eastAsia="en-US"/>
    </w:rPr>
  </w:style>
  <w:style w:type="paragraph" w:styleId="CommentSubject">
    <w:name w:val="annotation subject"/>
    <w:basedOn w:val="CommentText"/>
    <w:next w:val="CommentText"/>
    <w:link w:val="CommentSubjectChar"/>
    <w:rsid w:val="004B2040"/>
    <w:rPr>
      <w:b/>
      <w:bCs/>
    </w:rPr>
  </w:style>
  <w:style w:type="character" w:customStyle="1" w:styleId="CommentSubjectChar">
    <w:name w:val="Comment Subject Char"/>
    <w:basedOn w:val="CommentTextChar"/>
    <w:link w:val="CommentSubject"/>
    <w:rsid w:val="004B2040"/>
    <w:rPr>
      <w:rFonts w:ascii="Book Antiqua" w:eastAsia="Times New Roman" w:hAnsi="Book Antiqua"/>
      <w:b/>
      <w:bCs/>
      <w:lang w:eastAsia="en-US"/>
    </w:rPr>
  </w:style>
  <w:style w:type="paragraph" w:styleId="Revision">
    <w:name w:val="Revision"/>
    <w:hidden/>
    <w:uiPriority w:val="99"/>
    <w:semiHidden/>
    <w:rsid w:val="004B2040"/>
    <w:rPr>
      <w:rFonts w:ascii="Book Antiqua" w:eastAsia="Times New Roman" w:hAnsi="Book Antiqua"/>
      <w:sz w:val="22"/>
      <w:lang w:eastAsia="en-US"/>
    </w:rPr>
  </w:style>
  <w:style w:type="paragraph" w:customStyle="1" w:styleId="Default">
    <w:name w:val="Default"/>
    <w:rsid w:val="004B2040"/>
    <w:pPr>
      <w:autoSpaceDE w:val="0"/>
      <w:autoSpaceDN w:val="0"/>
      <w:adjustRightInd w:val="0"/>
    </w:pPr>
    <w:rPr>
      <w:rFonts w:ascii="Tahoma" w:eastAsiaTheme="minorHAnsi" w:hAnsi="Tahoma" w:cs="Tahoma"/>
      <w:color w:val="000000"/>
      <w:sz w:val="24"/>
      <w:szCs w:val="24"/>
      <w:lang w:val="en-US" w:eastAsia="en-US"/>
    </w:rPr>
  </w:style>
  <w:style w:type="paragraph" w:customStyle="1" w:styleId="Body">
    <w:name w:val="Body"/>
    <w:rsid w:val="004B2040"/>
    <w:pPr>
      <w:pBdr>
        <w:top w:val="nil"/>
        <w:left w:val="nil"/>
        <w:bottom w:val="nil"/>
        <w:right w:val="nil"/>
        <w:between w:val="nil"/>
        <w:bar w:val="nil"/>
      </w:pBdr>
    </w:pPr>
    <w:rPr>
      <w:rFonts w:ascii="Book Antiqua" w:eastAsia="Arial Unicode MS" w:hAnsi="Book Antiqua" w:cs="Arial Unicode MS"/>
      <w:color w:val="000000"/>
      <w:sz w:val="22"/>
      <w:szCs w:val="22"/>
      <w:u w:color="000000"/>
      <w:bdr w:val="nil"/>
      <w:lang w:val="en-US"/>
    </w:rPr>
  </w:style>
  <w:style w:type="paragraph" w:customStyle="1" w:styleId="Heading">
    <w:name w:val="Heading"/>
    <w:next w:val="Body"/>
    <w:rsid w:val="004B2040"/>
    <w:pPr>
      <w:keepNext/>
      <w:pBdr>
        <w:top w:val="nil"/>
        <w:left w:val="nil"/>
        <w:bottom w:val="nil"/>
        <w:right w:val="nil"/>
        <w:between w:val="nil"/>
        <w:bar w:val="nil"/>
      </w:pBdr>
      <w:spacing w:before="240" w:after="60"/>
      <w:outlineLvl w:val="0"/>
    </w:pPr>
    <w:rPr>
      <w:rFonts w:ascii="Book Antiqua" w:eastAsia="Arial Unicode MS" w:hAnsi="Book Antiqua" w:cs="Arial Unicode MS"/>
      <w:b/>
      <w:bCs/>
      <w:color w:val="000000"/>
      <w:kern w:val="32"/>
      <w:sz w:val="32"/>
      <w:szCs w:val="32"/>
      <w:u w:color="000000"/>
      <w:bdr w:val="nil"/>
      <w:lang w:val="en-US"/>
    </w:rPr>
  </w:style>
  <w:style w:type="numbering" w:customStyle="1" w:styleId="NoList1">
    <w:name w:val="No List1"/>
    <w:next w:val="NoList"/>
    <w:uiPriority w:val="99"/>
    <w:semiHidden/>
    <w:unhideWhenUsed/>
    <w:rsid w:val="0029462D"/>
  </w:style>
  <w:style w:type="table" w:customStyle="1" w:styleId="TableGrid1">
    <w:name w:val="Table Grid1"/>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29462D"/>
  </w:style>
  <w:style w:type="numbering" w:customStyle="1" w:styleId="ImportedStyle41">
    <w:name w:val="Imported Style 41"/>
    <w:rsid w:val="0029462D"/>
  </w:style>
  <w:style w:type="numbering" w:customStyle="1" w:styleId="ImportedStyle61">
    <w:name w:val="Imported Style 61"/>
    <w:rsid w:val="0029462D"/>
  </w:style>
  <w:style w:type="numbering" w:customStyle="1" w:styleId="NoList2">
    <w:name w:val="No List2"/>
    <w:next w:val="NoList"/>
    <w:uiPriority w:val="99"/>
    <w:semiHidden/>
    <w:unhideWhenUsed/>
    <w:rsid w:val="0029462D"/>
  </w:style>
  <w:style w:type="table" w:customStyle="1" w:styleId="TableGrid2">
    <w:name w:val="Table Grid2"/>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29462D"/>
  </w:style>
  <w:style w:type="numbering" w:customStyle="1" w:styleId="ImportedStyle42">
    <w:name w:val="Imported Style 42"/>
    <w:rsid w:val="0029462D"/>
  </w:style>
  <w:style w:type="numbering" w:customStyle="1" w:styleId="ImportedStyle62">
    <w:name w:val="Imported Style 62"/>
    <w:rsid w:val="0029462D"/>
  </w:style>
  <w:style w:type="numbering" w:customStyle="1" w:styleId="NoList3">
    <w:name w:val="No List3"/>
    <w:next w:val="NoList"/>
    <w:uiPriority w:val="99"/>
    <w:semiHidden/>
    <w:unhideWhenUsed/>
    <w:rsid w:val="00D53814"/>
  </w:style>
  <w:style w:type="table" w:customStyle="1" w:styleId="TableGrid3">
    <w:name w:val="Table Grid3"/>
    <w:basedOn w:val="TableNormal"/>
    <w:next w:val="TableGrid"/>
    <w:uiPriority w:val="59"/>
    <w:rsid w:val="00D538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D53814"/>
  </w:style>
  <w:style w:type="numbering" w:customStyle="1" w:styleId="ImportedStyle43">
    <w:name w:val="Imported Style 43"/>
    <w:rsid w:val="00D53814"/>
  </w:style>
  <w:style w:type="numbering" w:customStyle="1" w:styleId="ImportedStyle63">
    <w:name w:val="Imported Style 63"/>
    <w:rsid w:val="00D53814"/>
  </w:style>
  <w:style w:type="table" w:styleId="GridTable4-Accent2">
    <w:name w:val="Grid Table 4 Accent 2"/>
    <w:basedOn w:val="TableNormal"/>
    <w:uiPriority w:val="49"/>
    <w:rsid w:val="00AD41A5"/>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1Light-Accent3">
    <w:name w:val="Grid Table 1 Light Accent 3"/>
    <w:basedOn w:val="TableNormal"/>
    <w:uiPriority w:val="46"/>
    <w:rsid w:val="00DD5586"/>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DD5586"/>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leGridLight">
    <w:name w:val="Grid Table Light"/>
    <w:basedOn w:val="TableNormal"/>
    <w:uiPriority w:val="40"/>
    <w:rsid w:val="008153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E78B8"/>
    <w:pPr>
      <w:keepLines/>
      <w:spacing w:after="0" w:line="259" w:lineRule="auto"/>
      <w:outlineLvl w:val="9"/>
    </w:pPr>
    <w:rPr>
      <w:rFonts w:asciiTheme="majorHAnsi" w:hAnsiTheme="majorHAnsi"/>
      <w:b w:val="0"/>
      <w:bCs w:val="0"/>
      <w:color w:val="374C80" w:themeColor="accent1" w:themeShade="BF"/>
      <w:kern w:val="0"/>
      <w:sz w:val="32"/>
      <w:lang w:val="en-US"/>
    </w:rPr>
  </w:style>
  <w:style w:type="paragraph" w:styleId="TOC2">
    <w:name w:val="toc 2"/>
    <w:basedOn w:val="Normal"/>
    <w:next w:val="Normal"/>
    <w:autoRedefine/>
    <w:uiPriority w:val="39"/>
    <w:unhideWhenUsed/>
    <w:rsid w:val="00AE78B8"/>
    <w:pPr>
      <w:spacing w:after="100"/>
      <w:ind w:left="220"/>
    </w:pPr>
  </w:style>
  <w:style w:type="paragraph" w:styleId="TOC1">
    <w:name w:val="toc 1"/>
    <w:basedOn w:val="Normal"/>
    <w:next w:val="Normal"/>
    <w:autoRedefine/>
    <w:uiPriority w:val="39"/>
    <w:unhideWhenUsed/>
    <w:rsid w:val="00AE78B8"/>
    <w:pPr>
      <w:spacing w:after="100"/>
    </w:pPr>
  </w:style>
  <w:style w:type="paragraph" w:styleId="TOC3">
    <w:name w:val="toc 3"/>
    <w:basedOn w:val="Normal"/>
    <w:next w:val="Normal"/>
    <w:autoRedefine/>
    <w:uiPriority w:val="39"/>
    <w:unhideWhenUsed/>
    <w:rsid w:val="00C87F0D"/>
    <w:pPr>
      <w:tabs>
        <w:tab w:val="right" w:leader="dot" w:pos="10456"/>
      </w:tabs>
      <w:spacing w:after="100"/>
      <w:ind w:left="221"/>
    </w:pPr>
  </w:style>
  <w:style w:type="table" w:styleId="GridTable5Dark-Accent3">
    <w:name w:val="Grid Table 5 Dark Accent 3"/>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2">
    <w:name w:val="Grid Table 5 Dark Accent 2"/>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Bullet1">
    <w:name w:val="_Bullet1"/>
    <w:basedOn w:val="Normal"/>
    <w:rsid w:val="004F1AE7"/>
    <w:pPr>
      <w:numPr>
        <w:numId w:val="19"/>
      </w:numPr>
      <w:spacing w:after="120"/>
      <w:contextualSpacing/>
    </w:pPr>
    <w:rPr>
      <w:rFonts w:eastAsiaTheme="minorHAnsi" w:cs="Arial"/>
      <w:color w:val="464749"/>
      <w:sz w:val="21"/>
      <w:szCs w:val="21"/>
    </w:rPr>
  </w:style>
  <w:style w:type="paragraph" w:customStyle="1" w:styleId="Bullet2">
    <w:name w:val="_Bullet2"/>
    <w:basedOn w:val="Normal"/>
    <w:rsid w:val="004F1AE7"/>
    <w:pPr>
      <w:numPr>
        <w:ilvl w:val="1"/>
        <w:numId w:val="19"/>
      </w:numPr>
      <w:spacing w:after="120"/>
      <w:contextualSpacing/>
    </w:pPr>
    <w:rPr>
      <w:rFonts w:eastAsiaTheme="minorHAnsi" w:cs="Arial"/>
      <w:color w:val="464749"/>
      <w:sz w:val="21"/>
      <w:szCs w:val="21"/>
    </w:rPr>
  </w:style>
  <w:style w:type="paragraph" w:customStyle="1" w:styleId="Bullet3">
    <w:name w:val="_Bullet3"/>
    <w:basedOn w:val="Normal"/>
    <w:rsid w:val="004F1AE7"/>
    <w:pPr>
      <w:numPr>
        <w:ilvl w:val="2"/>
        <w:numId w:val="19"/>
      </w:numPr>
      <w:spacing w:after="120"/>
      <w:contextualSpacing/>
    </w:pPr>
    <w:rPr>
      <w:rFonts w:eastAsiaTheme="minorHAnsi" w:cs="Arial"/>
      <w:color w:val="464749"/>
      <w:sz w:val="21"/>
      <w:szCs w:val="21"/>
    </w:rPr>
  </w:style>
  <w:style w:type="paragraph" w:customStyle="1" w:styleId="Numpara1">
    <w:name w:val="Numpara1"/>
    <w:basedOn w:val="Normal"/>
    <w:qFormat/>
    <w:rsid w:val="00E4283C"/>
    <w:pPr>
      <w:numPr>
        <w:numId w:val="24"/>
      </w:numPr>
      <w:spacing w:before="240"/>
    </w:pPr>
    <w:rPr>
      <w:rFonts w:eastAsia="Times New Roman" w:cs="Arial"/>
      <w:sz w:val="20"/>
    </w:rPr>
  </w:style>
  <w:style w:type="paragraph" w:customStyle="1" w:styleId="Numpara2">
    <w:name w:val="Numpara2"/>
    <w:basedOn w:val="Normal"/>
    <w:qFormat/>
    <w:rsid w:val="00E4283C"/>
    <w:pPr>
      <w:numPr>
        <w:ilvl w:val="1"/>
        <w:numId w:val="24"/>
      </w:numPr>
      <w:spacing w:before="240"/>
    </w:pPr>
    <w:rPr>
      <w:rFonts w:eastAsia="Times New Roman" w:cs="Arial"/>
      <w:sz w:val="20"/>
    </w:rPr>
  </w:style>
  <w:style w:type="paragraph" w:customStyle="1" w:styleId="Numpara3">
    <w:name w:val="Numpara3"/>
    <w:basedOn w:val="Normal"/>
    <w:qFormat/>
    <w:rsid w:val="00E4283C"/>
    <w:pPr>
      <w:numPr>
        <w:ilvl w:val="2"/>
        <w:numId w:val="24"/>
      </w:numPr>
      <w:spacing w:before="240"/>
    </w:pPr>
    <w:rPr>
      <w:rFonts w:eastAsia="Times New Roman" w:cs="Arial"/>
      <w:sz w:val="20"/>
    </w:rPr>
  </w:style>
  <w:style w:type="paragraph" w:customStyle="1" w:styleId="Numpara4">
    <w:name w:val="Numpara4"/>
    <w:basedOn w:val="Normal"/>
    <w:qFormat/>
    <w:rsid w:val="00E4283C"/>
    <w:pPr>
      <w:numPr>
        <w:ilvl w:val="3"/>
        <w:numId w:val="24"/>
      </w:numPr>
      <w:spacing w:before="240"/>
    </w:pPr>
    <w:rPr>
      <w:rFonts w:eastAsia="Times New Roman" w:cs="Arial"/>
      <w:sz w:val="20"/>
    </w:rPr>
  </w:style>
  <w:style w:type="paragraph" w:customStyle="1" w:styleId="msonormal0">
    <w:name w:val="msonormal"/>
    <w:basedOn w:val="Normal"/>
    <w:rsid w:val="00935485"/>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6">
    <w:name w:val="xl66"/>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7">
    <w:name w:val="xl67"/>
    <w:basedOn w:val="Normal"/>
    <w:rsid w:val="00935485"/>
    <w:pPr>
      <w:spacing w:before="100" w:beforeAutospacing="1" w:after="100" w:afterAutospacing="1"/>
      <w:jc w:val="center"/>
    </w:pPr>
    <w:rPr>
      <w:rFonts w:ascii="Times New Roman" w:eastAsia="Times New Roman" w:hAnsi="Times New Roman"/>
      <w:sz w:val="16"/>
      <w:szCs w:val="16"/>
      <w:lang w:eastAsia="en-AU"/>
    </w:rPr>
  </w:style>
  <w:style w:type="paragraph" w:customStyle="1" w:styleId="xl68">
    <w:name w:val="xl68"/>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9">
    <w:name w:val="xl69"/>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0">
    <w:name w:val="xl7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71">
    <w:name w:val="xl7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eastAsia="en-AU"/>
    </w:rPr>
  </w:style>
  <w:style w:type="paragraph" w:customStyle="1" w:styleId="xl72">
    <w:name w:val="xl7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73">
    <w:name w:val="xl73"/>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16"/>
      <w:szCs w:val="16"/>
      <w:lang w:eastAsia="en-AU"/>
    </w:rPr>
  </w:style>
  <w:style w:type="paragraph" w:customStyle="1" w:styleId="xl74">
    <w:name w:val="xl74"/>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75">
    <w:name w:val="xl75"/>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76">
    <w:name w:val="xl76"/>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7">
    <w:name w:val="xl77"/>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8">
    <w:name w:val="xl78"/>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9">
    <w:name w:val="xl79"/>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Times New Roman" w:eastAsia="Times New Roman" w:hAnsi="Times New Roman"/>
      <w:sz w:val="16"/>
      <w:szCs w:val="16"/>
      <w:lang w:eastAsia="en-AU"/>
    </w:rPr>
  </w:style>
  <w:style w:type="paragraph" w:customStyle="1" w:styleId="xl80">
    <w:name w:val="xl8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81">
    <w:name w:val="xl8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82">
    <w:name w:val="xl8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3">
    <w:name w:val="xl8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84">
    <w:name w:val="xl84"/>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85">
    <w:name w:val="xl85"/>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16"/>
      <w:szCs w:val="16"/>
      <w:lang w:eastAsia="en-AU"/>
    </w:rPr>
  </w:style>
  <w:style w:type="paragraph" w:customStyle="1" w:styleId="xl86">
    <w:name w:val="xl8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7">
    <w:name w:val="xl8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6"/>
      <w:szCs w:val="16"/>
      <w:lang w:eastAsia="en-AU"/>
    </w:rPr>
  </w:style>
  <w:style w:type="paragraph" w:customStyle="1" w:styleId="xl88">
    <w:name w:val="xl8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16"/>
      <w:szCs w:val="16"/>
      <w:lang w:eastAsia="en-AU"/>
    </w:rPr>
  </w:style>
  <w:style w:type="paragraph" w:customStyle="1" w:styleId="xl89">
    <w:name w:val="xl89"/>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16"/>
      <w:szCs w:val="16"/>
      <w:lang w:eastAsia="en-AU"/>
    </w:rPr>
  </w:style>
  <w:style w:type="paragraph" w:customStyle="1" w:styleId="xl90">
    <w:name w:val="xl9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1">
    <w:name w:val="xl9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2">
    <w:name w:val="xl9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3">
    <w:name w:val="xl9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4">
    <w:name w:val="xl94"/>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95">
    <w:name w:val="xl95"/>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6">
    <w:name w:val="xl9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7">
    <w:name w:val="xl9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8">
    <w:name w:val="xl9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9">
    <w:name w:val="xl99"/>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0">
    <w:name w:val="xl100"/>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101">
    <w:name w:val="xl101"/>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102">
    <w:name w:val="xl102"/>
    <w:basedOn w:val="Normal"/>
    <w:rsid w:val="002C16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en-AU"/>
    </w:rPr>
  </w:style>
  <w:style w:type="paragraph" w:customStyle="1" w:styleId="xl103">
    <w:name w:val="xl103"/>
    <w:basedOn w:val="Normal"/>
    <w:rsid w:val="002C16F6"/>
    <w:pPr>
      <w:pBdr>
        <w:top w:val="single" w:sz="4" w:space="0" w:color="auto"/>
        <w:left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4">
    <w:name w:val="xl104"/>
    <w:basedOn w:val="Normal"/>
    <w:rsid w:val="002C16F6"/>
    <w:pPr>
      <w:pBdr>
        <w:top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5">
    <w:name w:val="xl105"/>
    <w:basedOn w:val="Normal"/>
    <w:rsid w:val="002C16F6"/>
    <w:pPr>
      <w:pBdr>
        <w:top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799">
      <w:bodyDiv w:val="1"/>
      <w:marLeft w:val="0"/>
      <w:marRight w:val="0"/>
      <w:marTop w:val="0"/>
      <w:marBottom w:val="0"/>
      <w:divBdr>
        <w:top w:val="none" w:sz="0" w:space="0" w:color="auto"/>
        <w:left w:val="none" w:sz="0" w:space="0" w:color="auto"/>
        <w:bottom w:val="none" w:sz="0" w:space="0" w:color="auto"/>
        <w:right w:val="none" w:sz="0" w:space="0" w:color="auto"/>
      </w:divBdr>
    </w:div>
    <w:div w:id="7680679">
      <w:bodyDiv w:val="1"/>
      <w:marLeft w:val="0"/>
      <w:marRight w:val="0"/>
      <w:marTop w:val="0"/>
      <w:marBottom w:val="0"/>
      <w:divBdr>
        <w:top w:val="none" w:sz="0" w:space="0" w:color="auto"/>
        <w:left w:val="none" w:sz="0" w:space="0" w:color="auto"/>
        <w:bottom w:val="none" w:sz="0" w:space="0" w:color="auto"/>
        <w:right w:val="none" w:sz="0" w:space="0" w:color="auto"/>
      </w:divBdr>
    </w:div>
    <w:div w:id="11540125">
      <w:bodyDiv w:val="1"/>
      <w:marLeft w:val="0"/>
      <w:marRight w:val="0"/>
      <w:marTop w:val="0"/>
      <w:marBottom w:val="0"/>
      <w:divBdr>
        <w:top w:val="none" w:sz="0" w:space="0" w:color="auto"/>
        <w:left w:val="none" w:sz="0" w:space="0" w:color="auto"/>
        <w:bottom w:val="none" w:sz="0" w:space="0" w:color="auto"/>
        <w:right w:val="none" w:sz="0" w:space="0" w:color="auto"/>
      </w:divBdr>
    </w:div>
    <w:div w:id="11688919">
      <w:bodyDiv w:val="1"/>
      <w:marLeft w:val="0"/>
      <w:marRight w:val="0"/>
      <w:marTop w:val="0"/>
      <w:marBottom w:val="0"/>
      <w:divBdr>
        <w:top w:val="none" w:sz="0" w:space="0" w:color="auto"/>
        <w:left w:val="none" w:sz="0" w:space="0" w:color="auto"/>
        <w:bottom w:val="none" w:sz="0" w:space="0" w:color="auto"/>
        <w:right w:val="none" w:sz="0" w:space="0" w:color="auto"/>
      </w:divBdr>
    </w:div>
    <w:div w:id="14312233">
      <w:bodyDiv w:val="1"/>
      <w:marLeft w:val="0"/>
      <w:marRight w:val="0"/>
      <w:marTop w:val="0"/>
      <w:marBottom w:val="0"/>
      <w:divBdr>
        <w:top w:val="none" w:sz="0" w:space="0" w:color="auto"/>
        <w:left w:val="none" w:sz="0" w:space="0" w:color="auto"/>
        <w:bottom w:val="none" w:sz="0" w:space="0" w:color="auto"/>
        <w:right w:val="none" w:sz="0" w:space="0" w:color="auto"/>
      </w:divBdr>
    </w:div>
    <w:div w:id="14619330">
      <w:bodyDiv w:val="1"/>
      <w:marLeft w:val="0"/>
      <w:marRight w:val="0"/>
      <w:marTop w:val="0"/>
      <w:marBottom w:val="0"/>
      <w:divBdr>
        <w:top w:val="none" w:sz="0" w:space="0" w:color="auto"/>
        <w:left w:val="none" w:sz="0" w:space="0" w:color="auto"/>
        <w:bottom w:val="none" w:sz="0" w:space="0" w:color="auto"/>
        <w:right w:val="none" w:sz="0" w:space="0" w:color="auto"/>
      </w:divBdr>
    </w:div>
    <w:div w:id="17704702">
      <w:bodyDiv w:val="1"/>
      <w:marLeft w:val="0"/>
      <w:marRight w:val="0"/>
      <w:marTop w:val="0"/>
      <w:marBottom w:val="0"/>
      <w:divBdr>
        <w:top w:val="none" w:sz="0" w:space="0" w:color="auto"/>
        <w:left w:val="none" w:sz="0" w:space="0" w:color="auto"/>
        <w:bottom w:val="none" w:sz="0" w:space="0" w:color="auto"/>
        <w:right w:val="none" w:sz="0" w:space="0" w:color="auto"/>
      </w:divBdr>
    </w:div>
    <w:div w:id="18552189">
      <w:bodyDiv w:val="1"/>
      <w:marLeft w:val="0"/>
      <w:marRight w:val="0"/>
      <w:marTop w:val="0"/>
      <w:marBottom w:val="0"/>
      <w:divBdr>
        <w:top w:val="none" w:sz="0" w:space="0" w:color="auto"/>
        <w:left w:val="none" w:sz="0" w:space="0" w:color="auto"/>
        <w:bottom w:val="none" w:sz="0" w:space="0" w:color="auto"/>
        <w:right w:val="none" w:sz="0" w:space="0" w:color="auto"/>
      </w:divBdr>
    </w:div>
    <w:div w:id="23217337">
      <w:bodyDiv w:val="1"/>
      <w:marLeft w:val="0"/>
      <w:marRight w:val="0"/>
      <w:marTop w:val="0"/>
      <w:marBottom w:val="0"/>
      <w:divBdr>
        <w:top w:val="none" w:sz="0" w:space="0" w:color="auto"/>
        <w:left w:val="none" w:sz="0" w:space="0" w:color="auto"/>
        <w:bottom w:val="none" w:sz="0" w:space="0" w:color="auto"/>
        <w:right w:val="none" w:sz="0" w:space="0" w:color="auto"/>
      </w:divBdr>
    </w:div>
    <w:div w:id="23601397">
      <w:bodyDiv w:val="1"/>
      <w:marLeft w:val="0"/>
      <w:marRight w:val="0"/>
      <w:marTop w:val="0"/>
      <w:marBottom w:val="0"/>
      <w:divBdr>
        <w:top w:val="none" w:sz="0" w:space="0" w:color="auto"/>
        <w:left w:val="none" w:sz="0" w:space="0" w:color="auto"/>
        <w:bottom w:val="none" w:sz="0" w:space="0" w:color="auto"/>
        <w:right w:val="none" w:sz="0" w:space="0" w:color="auto"/>
      </w:divBdr>
    </w:div>
    <w:div w:id="27532213">
      <w:bodyDiv w:val="1"/>
      <w:marLeft w:val="0"/>
      <w:marRight w:val="0"/>
      <w:marTop w:val="0"/>
      <w:marBottom w:val="0"/>
      <w:divBdr>
        <w:top w:val="none" w:sz="0" w:space="0" w:color="auto"/>
        <w:left w:val="none" w:sz="0" w:space="0" w:color="auto"/>
        <w:bottom w:val="none" w:sz="0" w:space="0" w:color="auto"/>
        <w:right w:val="none" w:sz="0" w:space="0" w:color="auto"/>
      </w:divBdr>
    </w:div>
    <w:div w:id="31152480">
      <w:bodyDiv w:val="1"/>
      <w:marLeft w:val="0"/>
      <w:marRight w:val="0"/>
      <w:marTop w:val="0"/>
      <w:marBottom w:val="0"/>
      <w:divBdr>
        <w:top w:val="none" w:sz="0" w:space="0" w:color="auto"/>
        <w:left w:val="none" w:sz="0" w:space="0" w:color="auto"/>
        <w:bottom w:val="none" w:sz="0" w:space="0" w:color="auto"/>
        <w:right w:val="none" w:sz="0" w:space="0" w:color="auto"/>
      </w:divBdr>
    </w:div>
    <w:div w:id="33234327">
      <w:bodyDiv w:val="1"/>
      <w:marLeft w:val="0"/>
      <w:marRight w:val="0"/>
      <w:marTop w:val="0"/>
      <w:marBottom w:val="0"/>
      <w:divBdr>
        <w:top w:val="none" w:sz="0" w:space="0" w:color="auto"/>
        <w:left w:val="none" w:sz="0" w:space="0" w:color="auto"/>
        <w:bottom w:val="none" w:sz="0" w:space="0" w:color="auto"/>
        <w:right w:val="none" w:sz="0" w:space="0" w:color="auto"/>
      </w:divBdr>
    </w:div>
    <w:div w:id="35736378">
      <w:bodyDiv w:val="1"/>
      <w:marLeft w:val="0"/>
      <w:marRight w:val="0"/>
      <w:marTop w:val="0"/>
      <w:marBottom w:val="0"/>
      <w:divBdr>
        <w:top w:val="none" w:sz="0" w:space="0" w:color="auto"/>
        <w:left w:val="none" w:sz="0" w:space="0" w:color="auto"/>
        <w:bottom w:val="none" w:sz="0" w:space="0" w:color="auto"/>
        <w:right w:val="none" w:sz="0" w:space="0" w:color="auto"/>
      </w:divBdr>
    </w:div>
    <w:div w:id="37166719">
      <w:bodyDiv w:val="1"/>
      <w:marLeft w:val="0"/>
      <w:marRight w:val="0"/>
      <w:marTop w:val="0"/>
      <w:marBottom w:val="0"/>
      <w:divBdr>
        <w:top w:val="none" w:sz="0" w:space="0" w:color="auto"/>
        <w:left w:val="none" w:sz="0" w:space="0" w:color="auto"/>
        <w:bottom w:val="none" w:sz="0" w:space="0" w:color="auto"/>
        <w:right w:val="none" w:sz="0" w:space="0" w:color="auto"/>
      </w:divBdr>
    </w:div>
    <w:div w:id="39403470">
      <w:bodyDiv w:val="1"/>
      <w:marLeft w:val="0"/>
      <w:marRight w:val="0"/>
      <w:marTop w:val="0"/>
      <w:marBottom w:val="0"/>
      <w:divBdr>
        <w:top w:val="none" w:sz="0" w:space="0" w:color="auto"/>
        <w:left w:val="none" w:sz="0" w:space="0" w:color="auto"/>
        <w:bottom w:val="none" w:sz="0" w:space="0" w:color="auto"/>
        <w:right w:val="none" w:sz="0" w:space="0" w:color="auto"/>
      </w:divBdr>
    </w:div>
    <w:div w:id="42677803">
      <w:bodyDiv w:val="1"/>
      <w:marLeft w:val="0"/>
      <w:marRight w:val="0"/>
      <w:marTop w:val="0"/>
      <w:marBottom w:val="0"/>
      <w:divBdr>
        <w:top w:val="none" w:sz="0" w:space="0" w:color="auto"/>
        <w:left w:val="none" w:sz="0" w:space="0" w:color="auto"/>
        <w:bottom w:val="none" w:sz="0" w:space="0" w:color="auto"/>
        <w:right w:val="none" w:sz="0" w:space="0" w:color="auto"/>
      </w:divBdr>
    </w:div>
    <w:div w:id="43024224">
      <w:bodyDiv w:val="1"/>
      <w:marLeft w:val="0"/>
      <w:marRight w:val="0"/>
      <w:marTop w:val="0"/>
      <w:marBottom w:val="0"/>
      <w:divBdr>
        <w:top w:val="none" w:sz="0" w:space="0" w:color="auto"/>
        <w:left w:val="none" w:sz="0" w:space="0" w:color="auto"/>
        <w:bottom w:val="none" w:sz="0" w:space="0" w:color="auto"/>
        <w:right w:val="none" w:sz="0" w:space="0" w:color="auto"/>
      </w:divBdr>
    </w:div>
    <w:div w:id="43063967">
      <w:bodyDiv w:val="1"/>
      <w:marLeft w:val="0"/>
      <w:marRight w:val="0"/>
      <w:marTop w:val="0"/>
      <w:marBottom w:val="0"/>
      <w:divBdr>
        <w:top w:val="none" w:sz="0" w:space="0" w:color="auto"/>
        <w:left w:val="none" w:sz="0" w:space="0" w:color="auto"/>
        <w:bottom w:val="none" w:sz="0" w:space="0" w:color="auto"/>
        <w:right w:val="none" w:sz="0" w:space="0" w:color="auto"/>
      </w:divBdr>
    </w:div>
    <w:div w:id="44641825">
      <w:bodyDiv w:val="1"/>
      <w:marLeft w:val="0"/>
      <w:marRight w:val="0"/>
      <w:marTop w:val="0"/>
      <w:marBottom w:val="0"/>
      <w:divBdr>
        <w:top w:val="none" w:sz="0" w:space="0" w:color="auto"/>
        <w:left w:val="none" w:sz="0" w:space="0" w:color="auto"/>
        <w:bottom w:val="none" w:sz="0" w:space="0" w:color="auto"/>
        <w:right w:val="none" w:sz="0" w:space="0" w:color="auto"/>
      </w:divBdr>
    </w:div>
    <w:div w:id="50619510">
      <w:bodyDiv w:val="1"/>
      <w:marLeft w:val="0"/>
      <w:marRight w:val="0"/>
      <w:marTop w:val="0"/>
      <w:marBottom w:val="0"/>
      <w:divBdr>
        <w:top w:val="none" w:sz="0" w:space="0" w:color="auto"/>
        <w:left w:val="none" w:sz="0" w:space="0" w:color="auto"/>
        <w:bottom w:val="none" w:sz="0" w:space="0" w:color="auto"/>
        <w:right w:val="none" w:sz="0" w:space="0" w:color="auto"/>
      </w:divBdr>
    </w:div>
    <w:div w:id="51540222">
      <w:bodyDiv w:val="1"/>
      <w:marLeft w:val="0"/>
      <w:marRight w:val="0"/>
      <w:marTop w:val="0"/>
      <w:marBottom w:val="0"/>
      <w:divBdr>
        <w:top w:val="none" w:sz="0" w:space="0" w:color="auto"/>
        <w:left w:val="none" w:sz="0" w:space="0" w:color="auto"/>
        <w:bottom w:val="none" w:sz="0" w:space="0" w:color="auto"/>
        <w:right w:val="none" w:sz="0" w:space="0" w:color="auto"/>
      </w:divBdr>
    </w:div>
    <w:div w:id="63993795">
      <w:bodyDiv w:val="1"/>
      <w:marLeft w:val="0"/>
      <w:marRight w:val="0"/>
      <w:marTop w:val="0"/>
      <w:marBottom w:val="0"/>
      <w:divBdr>
        <w:top w:val="none" w:sz="0" w:space="0" w:color="auto"/>
        <w:left w:val="none" w:sz="0" w:space="0" w:color="auto"/>
        <w:bottom w:val="none" w:sz="0" w:space="0" w:color="auto"/>
        <w:right w:val="none" w:sz="0" w:space="0" w:color="auto"/>
      </w:divBdr>
    </w:div>
    <w:div w:id="67777572">
      <w:bodyDiv w:val="1"/>
      <w:marLeft w:val="0"/>
      <w:marRight w:val="0"/>
      <w:marTop w:val="0"/>
      <w:marBottom w:val="0"/>
      <w:divBdr>
        <w:top w:val="none" w:sz="0" w:space="0" w:color="auto"/>
        <w:left w:val="none" w:sz="0" w:space="0" w:color="auto"/>
        <w:bottom w:val="none" w:sz="0" w:space="0" w:color="auto"/>
        <w:right w:val="none" w:sz="0" w:space="0" w:color="auto"/>
      </w:divBdr>
    </w:div>
    <w:div w:id="69351871">
      <w:bodyDiv w:val="1"/>
      <w:marLeft w:val="0"/>
      <w:marRight w:val="0"/>
      <w:marTop w:val="0"/>
      <w:marBottom w:val="0"/>
      <w:divBdr>
        <w:top w:val="none" w:sz="0" w:space="0" w:color="auto"/>
        <w:left w:val="none" w:sz="0" w:space="0" w:color="auto"/>
        <w:bottom w:val="none" w:sz="0" w:space="0" w:color="auto"/>
        <w:right w:val="none" w:sz="0" w:space="0" w:color="auto"/>
      </w:divBdr>
    </w:div>
    <w:div w:id="69932046">
      <w:bodyDiv w:val="1"/>
      <w:marLeft w:val="0"/>
      <w:marRight w:val="0"/>
      <w:marTop w:val="0"/>
      <w:marBottom w:val="0"/>
      <w:divBdr>
        <w:top w:val="none" w:sz="0" w:space="0" w:color="auto"/>
        <w:left w:val="none" w:sz="0" w:space="0" w:color="auto"/>
        <w:bottom w:val="none" w:sz="0" w:space="0" w:color="auto"/>
        <w:right w:val="none" w:sz="0" w:space="0" w:color="auto"/>
      </w:divBdr>
    </w:div>
    <w:div w:id="72897965">
      <w:bodyDiv w:val="1"/>
      <w:marLeft w:val="0"/>
      <w:marRight w:val="0"/>
      <w:marTop w:val="0"/>
      <w:marBottom w:val="0"/>
      <w:divBdr>
        <w:top w:val="none" w:sz="0" w:space="0" w:color="auto"/>
        <w:left w:val="none" w:sz="0" w:space="0" w:color="auto"/>
        <w:bottom w:val="none" w:sz="0" w:space="0" w:color="auto"/>
        <w:right w:val="none" w:sz="0" w:space="0" w:color="auto"/>
      </w:divBdr>
    </w:div>
    <w:div w:id="76363005">
      <w:bodyDiv w:val="1"/>
      <w:marLeft w:val="0"/>
      <w:marRight w:val="0"/>
      <w:marTop w:val="0"/>
      <w:marBottom w:val="0"/>
      <w:divBdr>
        <w:top w:val="none" w:sz="0" w:space="0" w:color="auto"/>
        <w:left w:val="none" w:sz="0" w:space="0" w:color="auto"/>
        <w:bottom w:val="none" w:sz="0" w:space="0" w:color="auto"/>
        <w:right w:val="none" w:sz="0" w:space="0" w:color="auto"/>
      </w:divBdr>
    </w:div>
    <w:div w:id="76707006">
      <w:bodyDiv w:val="1"/>
      <w:marLeft w:val="0"/>
      <w:marRight w:val="0"/>
      <w:marTop w:val="0"/>
      <w:marBottom w:val="0"/>
      <w:divBdr>
        <w:top w:val="none" w:sz="0" w:space="0" w:color="auto"/>
        <w:left w:val="none" w:sz="0" w:space="0" w:color="auto"/>
        <w:bottom w:val="none" w:sz="0" w:space="0" w:color="auto"/>
        <w:right w:val="none" w:sz="0" w:space="0" w:color="auto"/>
      </w:divBdr>
    </w:div>
    <w:div w:id="79643690">
      <w:bodyDiv w:val="1"/>
      <w:marLeft w:val="0"/>
      <w:marRight w:val="0"/>
      <w:marTop w:val="0"/>
      <w:marBottom w:val="0"/>
      <w:divBdr>
        <w:top w:val="none" w:sz="0" w:space="0" w:color="auto"/>
        <w:left w:val="none" w:sz="0" w:space="0" w:color="auto"/>
        <w:bottom w:val="none" w:sz="0" w:space="0" w:color="auto"/>
        <w:right w:val="none" w:sz="0" w:space="0" w:color="auto"/>
      </w:divBdr>
    </w:div>
    <w:div w:id="85077747">
      <w:bodyDiv w:val="1"/>
      <w:marLeft w:val="0"/>
      <w:marRight w:val="0"/>
      <w:marTop w:val="0"/>
      <w:marBottom w:val="0"/>
      <w:divBdr>
        <w:top w:val="none" w:sz="0" w:space="0" w:color="auto"/>
        <w:left w:val="none" w:sz="0" w:space="0" w:color="auto"/>
        <w:bottom w:val="none" w:sz="0" w:space="0" w:color="auto"/>
        <w:right w:val="none" w:sz="0" w:space="0" w:color="auto"/>
      </w:divBdr>
    </w:div>
    <w:div w:id="86538908">
      <w:bodyDiv w:val="1"/>
      <w:marLeft w:val="0"/>
      <w:marRight w:val="0"/>
      <w:marTop w:val="0"/>
      <w:marBottom w:val="0"/>
      <w:divBdr>
        <w:top w:val="none" w:sz="0" w:space="0" w:color="auto"/>
        <w:left w:val="none" w:sz="0" w:space="0" w:color="auto"/>
        <w:bottom w:val="none" w:sz="0" w:space="0" w:color="auto"/>
        <w:right w:val="none" w:sz="0" w:space="0" w:color="auto"/>
      </w:divBdr>
    </w:div>
    <w:div w:id="88474320">
      <w:bodyDiv w:val="1"/>
      <w:marLeft w:val="0"/>
      <w:marRight w:val="0"/>
      <w:marTop w:val="0"/>
      <w:marBottom w:val="0"/>
      <w:divBdr>
        <w:top w:val="none" w:sz="0" w:space="0" w:color="auto"/>
        <w:left w:val="none" w:sz="0" w:space="0" w:color="auto"/>
        <w:bottom w:val="none" w:sz="0" w:space="0" w:color="auto"/>
        <w:right w:val="none" w:sz="0" w:space="0" w:color="auto"/>
      </w:divBdr>
    </w:div>
    <w:div w:id="92408581">
      <w:bodyDiv w:val="1"/>
      <w:marLeft w:val="0"/>
      <w:marRight w:val="0"/>
      <w:marTop w:val="0"/>
      <w:marBottom w:val="0"/>
      <w:divBdr>
        <w:top w:val="none" w:sz="0" w:space="0" w:color="auto"/>
        <w:left w:val="none" w:sz="0" w:space="0" w:color="auto"/>
        <w:bottom w:val="none" w:sz="0" w:space="0" w:color="auto"/>
        <w:right w:val="none" w:sz="0" w:space="0" w:color="auto"/>
      </w:divBdr>
    </w:div>
    <w:div w:id="95180027">
      <w:bodyDiv w:val="1"/>
      <w:marLeft w:val="0"/>
      <w:marRight w:val="0"/>
      <w:marTop w:val="0"/>
      <w:marBottom w:val="0"/>
      <w:divBdr>
        <w:top w:val="none" w:sz="0" w:space="0" w:color="auto"/>
        <w:left w:val="none" w:sz="0" w:space="0" w:color="auto"/>
        <w:bottom w:val="none" w:sz="0" w:space="0" w:color="auto"/>
        <w:right w:val="none" w:sz="0" w:space="0" w:color="auto"/>
      </w:divBdr>
    </w:div>
    <w:div w:id="96950372">
      <w:bodyDiv w:val="1"/>
      <w:marLeft w:val="0"/>
      <w:marRight w:val="0"/>
      <w:marTop w:val="0"/>
      <w:marBottom w:val="0"/>
      <w:divBdr>
        <w:top w:val="none" w:sz="0" w:space="0" w:color="auto"/>
        <w:left w:val="none" w:sz="0" w:space="0" w:color="auto"/>
        <w:bottom w:val="none" w:sz="0" w:space="0" w:color="auto"/>
        <w:right w:val="none" w:sz="0" w:space="0" w:color="auto"/>
      </w:divBdr>
    </w:div>
    <w:div w:id="99767099">
      <w:bodyDiv w:val="1"/>
      <w:marLeft w:val="0"/>
      <w:marRight w:val="0"/>
      <w:marTop w:val="0"/>
      <w:marBottom w:val="0"/>
      <w:divBdr>
        <w:top w:val="none" w:sz="0" w:space="0" w:color="auto"/>
        <w:left w:val="none" w:sz="0" w:space="0" w:color="auto"/>
        <w:bottom w:val="none" w:sz="0" w:space="0" w:color="auto"/>
        <w:right w:val="none" w:sz="0" w:space="0" w:color="auto"/>
      </w:divBdr>
    </w:div>
    <w:div w:id="99840568">
      <w:bodyDiv w:val="1"/>
      <w:marLeft w:val="0"/>
      <w:marRight w:val="0"/>
      <w:marTop w:val="0"/>
      <w:marBottom w:val="0"/>
      <w:divBdr>
        <w:top w:val="none" w:sz="0" w:space="0" w:color="auto"/>
        <w:left w:val="none" w:sz="0" w:space="0" w:color="auto"/>
        <w:bottom w:val="none" w:sz="0" w:space="0" w:color="auto"/>
        <w:right w:val="none" w:sz="0" w:space="0" w:color="auto"/>
      </w:divBdr>
    </w:div>
    <w:div w:id="100534158">
      <w:bodyDiv w:val="1"/>
      <w:marLeft w:val="0"/>
      <w:marRight w:val="0"/>
      <w:marTop w:val="0"/>
      <w:marBottom w:val="0"/>
      <w:divBdr>
        <w:top w:val="none" w:sz="0" w:space="0" w:color="auto"/>
        <w:left w:val="none" w:sz="0" w:space="0" w:color="auto"/>
        <w:bottom w:val="none" w:sz="0" w:space="0" w:color="auto"/>
        <w:right w:val="none" w:sz="0" w:space="0" w:color="auto"/>
      </w:divBdr>
    </w:div>
    <w:div w:id="110822958">
      <w:bodyDiv w:val="1"/>
      <w:marLeft w:val="0"/>
      <w:marRight w:val="0"/>
      <w:marTop w:val="0"/>
      <w:marBottom w:val="0"/>
      <w:divBdr>
        <w:top w:val="none" w:sz="0" w:space="0" w:color="auto"/>
        <w:left w:val="none" w:sz="0" w:space="0" w:color="auto"/>
        <w:bottom w:val="none" w:sz="0" w:space="0" w:color="auto"/>
        <w:right w:val="none" w:sz="0" w:space="0" w:color="auto"/>
      </w:divBdr>
    </w:div>
    <w:div w:id="124390307">
      <w:bodyDiv w:val="1"/>
      <w:marLeft w:val="0"/>
      <w:marRight w:val="0"/>
      <w:marTop w:val="0"/>
      <w:marBottom w:val="0"/>
      <w:divBdr>
        <w:top w:val="none" w:sz="0" w:space="0" w:color="auto"/>
        <w:left w:val="none" w:sz="0" w:space="0" w:color="auto"/>
        <w:bottom w:val="none" w:sz="0" w:space="0" w:color="auto"/>
        <w:right w:val="none" w:sz="0" w:space="0" w:color="auto"/>
      </w:divBdr>
    </w:div>
    <w:div w:id="131868880">
      <w:bodyDiv w:val="1"/>
      <w:marLeft w:val="0"/>
      <w:marRight w:val="0"/>
      <w:marTop w:val="0"/>
      <w:marBottom w:val="0"/>
      <w:divBdr>
        <w:top w:val="none" w:sz="0" w:space="0" w:color="auto"/>
        <w:left w:val="none" w:sz="0" w:space="0" w:color="auto"/>
        <w:bottom w:val="none" w:sz="0" w:space="0" w:color="auto"/>
        <w:right w:val="none" w:sz="0" w:space="0" w:color="auto"/>
      </w:divBdr>
    </w:div>
    <w:div w:id="133528483">
      <w:bodyDiv w:val="1"/>
      <w:marLeft w:val="0"/>
      <w:marRight w:val="0"/>
      <w:marTop w:val="0"/>
      <w:marBottom w:val="0"/>
      <w:divBdr>
        <w:top w:val="none" w:sz="0" w:space="0" w:color="auto"/>
        <w:left w:val="none" w:sz="0" w:space="0" w:color="auto"/>
        <w:bottom w:val="none" w:sz="0" w:space="0" w:color="auto"/>
        <w:right w:val="none" w:sz="0" w:space="0" w:color="auto"/>
      </w:divBdr>
    </w:div>
    <w:div w:id="137000576">
      <w:bodyDiv w:val="1"/>
      <w:marLeft w:val="0"/>
      <w:marRight w:val="0"/>
      <w:marTop w:val="0"/>
      <w:marBottom w:val="0"/>
      <w:divBdr>
        <w:top w:val="none" w:sz="0" w:space="0" w:color="auto"/>
        <w:left w:val="none" w:sz="0" w:space="0" w:color="auto"/>
        <w:bottom w:val="none" w:sz="0" w:space="0" w:color="auto"/>
        <w:right w:val="none" w:sz="0" w:space="0" w:color="auto"/>
      </w:divBdr>
    </w:div>
    <w:div w:id="140583250">
      <w:bodyDiv w:val="1"/>
      <w:marLeft w:val="0"/>
      <w:marRight w:val="0"/>
      <w:marTop w:val="0"/>
      <w:marBottom w:val="0"/>
      <w:divBdr>
        <w:top w:val="none" w:sz="0" w:space="0" w:color="auto"/>
        <w:left w:val="none" w:sz="0" w:space="0" w:color="auto"/>
        <w:bottom w:val="none" w:sz="0" w:space="0" w:color="auto"/>
        <w:right w:val="none" w:sz="0" w:space="0" w:color="auto"/>
      </w:divBdr>
    </w:div>
    <w:div w:id="141196969">
      <w:bodyDiv w:val="1"/>
      <w:marLeft w:val="0"/>
      <w:marRight w:val="0"/>
      <w:marTop w:val="0"/>
      <w:marBottom w:val="0"/>
      <w:divBdr>
        <w:top w:val="none" w:sz="0" w:space="0" w:color="auto"/>
        <w:left w:val="none" w:sz="0" w:space="0" w:color="auto"/>
        <w:bottom w:val="none" w:sz="0" w:space="0" w:color="auto"/>
        <w:right w:val="none" w:sz="0" w:space="0" w:color="auto"/>
      </w:divBdr>
    </w:div>
    <w:div w:id="142964847">
      <w:bodyDiv w:val="1"/>
      <w:marLeft w:val="0"/>
      <w:marRight w:val="0"/>
      <w:marTop w:val="0"/>
      <w:marBottom w:val="0"/>
      <w:divBdr>
        <w:top w:val="none" w:sz="0" w:space="0" w:color="auto"/>
        <w:left w:val="none" w:sz="0" w:space="0" w:color="auto"/>
        <w:bottom w:val="none" w:sz="0" w:space="0" w:color="auto"/>
        <w:right w:val="none" w:sz="0" w:space="0" w:color="auto"/>
      </w:divBdr>
    </w:div>
    <w:div w:id="145318974">
      <w:bodyDiv w:val="1"/>
      <w:marLeft w:val="0"/>
      <w:marRight w:val="0"/>
      <w:marTop w:val="0"/>
      <w:marBottom w:val="0"/>
      <w:divBdr>
        <w:top w:val="none" w:sz="0" w:space="0" w:color="auto"/>
        <w:left w:val="none" w:sz="0" w:space="0" w:color="auto"/>
        <w:bottom w:val="none" w:sz="0" w:space="0" w:color="auto"/>
        <w:right w:val="none" w:sz="0" w:space="0" w:color="auto"/>
      </w:divBdr>
    </w:div>
    <w:div w:id="148058437">
      <w:bodyDiv w:val="1"/>
      <w:marLeft w:val="0"/>
      <w:marRight w:val="0"/>
      <w:marTop w:val="0"/>
      <w:marBottom w:val="0"/>
      <w:divBdr>
        <w:top w:val="none" w:sz="0" w:space="0" w:color="auto"/>
        <w:left w:val="none" w:sz="0" w:space="0" w:color="auto"/>
        <w:bottom w:val="none" w:sz="0" w:space="0" w:color="auto"/>
        <w:right w:val="none" w:sz="0" w:space="0" w:color="auto"/>
      </w:divBdr>
    </w:div>
    <w:div w:id="149563151">
      <w:bodyDiv w:val="1"/>
      <w:marLeft w:val="0"/>
      <w:marRight w:val="0"/>
      <w:marTop w:val="0"/>
      <w:marBottom w:val="0"/>
      <w:divBdr>
        <w:top w:val="none" w:sz="0" w:space="0" w:color="auto"/>
        <w:left w:val="none" w:sz="0" w:space="0" w:color="auto"/>
        <w:bottom w:val="none" w:sz="0" w:space="0" w:color="auto"/>
        <w:right w:val="none" w:sz="0" w:space="0" w:color="auto"/>
      </w:divBdr>
    </w:div>
    <w:div w:id="150681958">
      <w:bodyDiv w:val="1"/>
      <w:marLeft w:val="0"/>
      <w:marRight w:val="0"/>
      <w:marTop w:val="0"/>
      <w:marBottom w:val="0"/>
      <w:divBdr>
        <w:top w:val="none" w:sz="0" w:space="0" w:color="auto"/>
        <w:left w:val="none" w:sz="0" w:space="0" w:color="auto"/>
        <w:bottom w:val="none" w:sz="0" w:space="0" w:color="auto"/>
        <w:right w:val="none" w:sz="0" w:space="0" w:color="auto"/>
      </w:divBdr>
    </w:div>
    <w:div w:id="151454800">
      <w:bodyDiv w:val="1"/>
      <w:marLeft w:val="0"/>
      <w:marRight w:val="0"/>
      <w:marTop w:val="0"/>
      <w:marBottom w:val="0"/>
      <w:divBdr>
        <w:top w:val="none" w:sz="0" w:space="0" w:color="auto"/>
        <w:left w:val="none" w:sz="0" w:space="0" w:color="auto"/>
        <w:bottom w:val="none" w:sz="0" w:space="0" w:color="auto"/>
        <w:right w:val="none" w:sz="0" w:space="0" w:color="auto"/>
      </w:divBdr>
    </w:div>
    <w:div w:id="154105095">
      <w:bodyDiv w:val="1"/>
      <w:marLeft w:val="0"/>
      <w:marRight w:val="0"/>
      <w:marTop w:val="0"/>
      <w:marBottom w:val="0"/>
      <w:divBdr>
        <w:top w:val="none" w:sz="0" w:space="0" w:color="auto"/>
        <w:left w:val="none" w:sz="0" w:space="0" w:color="auto"/>
        <w:bottom w:val="none" w:sz="0" w:space="0" w:color="auto"/>
        <w:right w:val="none" w:sz="0" w:space="0" w:color="auto"/>
      </w:divBdr>
    </w:div>
    <w:div w:id="165825205">
      <w:bodyDiv w:val="1"/>
      <w:marLeft w:val="0"/>
      <w:marRight w:val="0"/>
      <w:marTop w:val="0"/>
      <w:marBottom w:val="0"/>
      <w:divBdr>
        <w:top w:val="none" w:sz="0" w:space="0" w:color="auto"/>
        <w:left w:val="none" w:sz="0" w:space="0" w:color="auto"/>
        <w:bottom w:val="none" w:sz="0" w:space="0" w:color="auto"/>
        <w:right w:val="none" w:sz="0" w:space="0" w:color="auto"/>
      </w:divBdr>
    </w:div>
    <w:div w:id="166412153">
      <w:bodyDiv w:val="1"/>
      <w:marLeft w:val="0"/>
      <w:marRight w:val="0"/>
      <w:marTop w:val="0"/>
      <w:marBottom w:val="0"/>
      <w:divBdr>
        <w:top w:val="none" w:sz="0" w:space="0" w:color="auto"/>
        <w:left w:val="none" w:sz="0" w:space="0" w:color="auto"/>
        <w:bottom w:val="none" w:sz="0" w:space="0" w:color="auto"/>
        <w:right w:val="none" w:sz="0" w:space="0" w:color="auto"/>
      </w:divBdr>
    </w:div>
    <w:div w:id="182477111">
      <w:bodyDiv w:val="1"/>
      <w:marLeft w:val="0"/>
      <w:marRight w:val="0"/>
      <w:marTop w:val="0"/>
      <w:marBottom w:val="0"/>
      <w:divBdr>
        <w:top w:val="none" w:sz="0" w:space="0" w:color="auto"/>
        <w:left w:val="none" w:sz="0" w:space="0" w:color="auto"/>
        <w:bottom w:val="none" w:sz="0" w:space="0" w:color="auto"/>
        <w:right w:val="none" w:sz="0" w:space="0" w:color="auto"/>
      </w:divBdr>
    </w:div>
    <w:div w:id="193932813">
      <w:bodyDiv w:val="1"/>
      <w:marLeft w:val="0"/>
      <w:marRight w:val="0"/>
      <w:marTop w:val="0"/>
      <w:marBottom w:val="0"/>
      <w:divBdr>
        <w:top w:val="none" w:sz="0" w:space="0" w:color="auto"/>
        <w:left w:val="none" w:sz="0" w:space="0" w:color="auto"/>
        <w:bottom w:val="none" w:sz="0" w:space="0" w:color="auto"/>
        <w:right w:val="none" w:sz="0" w:space="0" w:color="auto"/>
      </w:divBdr>
    </w:div>
    <w:div w:id="208419905">
      <w:bodyDiv w:val="1"/>
      <w:marLeft w:val="0"/>
      <w:marRight w:val="0"/>
      <w:marTop w:val="0"/>
      <w:marBottom w:val="0"/>
      <w:divBdr>
        <w:top w:val="none" w:sz="0" w:space="0" w:color="auto"/>
        <w:left w:val="none" w:sz="0" w:space="0" w:color="auto"/>
        <w:bottom w:val="none" w:sz="0" w:space="0" w:color="auto"/>
        <w:right w:val="none" w:sz="0" w:space="0" w:color="auto"/>
      </w:divBdr>
    </w:div>
    <w:div w:id="211039509">
      <w:bodyDiv w:val="1"/>
      <w:marLeft w:val="0"/>
      <w:marRight w:val="0"/>
      <w:marTop w:val="0"/>
      <w:marBottom w:val="0"/>
      <w:divBdr>
        <w:top w:val="none" w:sz="0" w:space="0" w:color="auto"/>
        <w:left w:val="none" w:sz="0" w:space="0" w:color="auto"/>
        <w:bottom w:val="none" w:sz="0" w:space="0" w:color="auto"/>
        <w:right w:val="none" w:sz="0" w:space="0" w:color="auto"/>
      </w:divBdr>
    </w:div>
    <w:div w:id="222064416">
      <w:bodyDiv w:val="1"/>
      <w:marLeft w:val="0"/>
      <w:marRight w:val="0"/>
      <w:marTop w:val="0"/>
      <w:marBottom w:val="0"/>
      <w:divBdr>
        <w:top w:val="none" w:sz="0" w:space="0" w:color="auto"/>
        <w:left w:val="none" w:sz="0" w:space="0" w:color="auto"/>
        <w:bottom w:val="none" w:sz="0" w:space="0" w:color="auto"/>
        <w:right w:val="none" w:sz="0" w:space="0" w:color="auto"/>
      </w:divBdr>
    </w:div>
    <w:div w:id="222835262">
      <w:bodyDiv w:val="1"/>
      <w:marLeft w:val="0"/>
      <w:marRight w:val="0"/>
      <w:marTop w:val="0"/>
      <w:marBottom w:val="0"/>
      <w:divBdr>
        <w:top w:val="none" w:sz="0" w:space="0" w:color="auto"/>
        <w:left w:val="none" w:sz="0" w:space="0" w:color="auto"/>
        <w:bottom w:val="none" w:sz="0" w:space="0" w:color="auto"/>
        <w:right w:val="none" w:sz="0" w:space="0" w:color="auto"/>
      </w:divBdr>
    </w:div>
    <w:div w:id="230694979">
      <w:bodyDiv w:val="1"/>
      <w:marLeft w:val="0"/>
      <w:marRight w:val="0"/>
      <w:marTop w:val="0"/>
      <w:marBottom w:val="0"/>
      <w:divBdr>
        <w:top w:val="none" w:sz="0" w:space="0" w:color="auto"/>
        <w:left w:val="none" w:sz="0" w:space="0" w:color="auto"/>
        <w:bottom w:val="none" w:sz="0" w:space="0" w:color="auto"/>
        <w:right w:val="none" w:sz="0" w:space="0" w:color="auto"/>
      </w:divBdr>
    </w:div>
    <w:div w:id="234821274">
      <w:bodyDiv w:val="1"/>
      <w:marLeft w:val="0"/>
      <w:marRight w:val="0"/>
      <w:marTop w:val="0"/>
      <w:marBottom w:val="0"/>
      <w:divBdr>
        <w:top w:val="none" w:sz="0" w:space="0" w:color="auto"/>
        <w:left w:val="none" w:sz="0" w:space="0" w:color="auto"/>
        <w:bottom w:val="none" w:sz="0" w:space="0" w:color="auto"/>
        <w:right w:val="none" w:sz="0" w:space="0" w:color="auto"/>
      </w:divBdr>
    </w:div>
    <w:div w:id="235478147">
      <w:bodyDiv w:val="1"/>
      <w:marLeft w:val="0"/>
      <w:marRight w:val="0"/>
      <w:marTop w:val="0"/>
      <w:marBottom w:val="0"/>
      <w:divBdr>
        <w:top w:val="none" w:sz="0" w:space="0" w:color="auto"/>
        <w:left w:val="none" w:sz="0" w:space="0" w:color="auto"/>
        <w:bottom w:val="none" w:sz="0" w:space="0" w:color="auto"/>
        <w:right w:val="none" w:sz="0" w:space="0" w:color="auto"/>
      </w:divBdr>
    </w:div>
    <w:div w:id="235625708">
      <w:bodyDiv w:val="1"/>
      <w:marLeft w:val="0"/>
      <w:marRight w:val="0"/>
      <w:marTop w:val="0"/>
      <w:marBottom w:val="0"/>
      <w:divBdr>
        <w:top w:val="none" w:sz="0" w:space="0" w:color="auto"/>
        <w:left w:val="none" w:sz="0" w:space="0" w:color="auto"/>
        <w:bottom w:val="none" w:sz="0" w:space="0" w:color="auto"/>
        <w:right w:val="none" w:sz="0" w:space="0" w:color="auto"/>
      </w:divBdr>
    </w:div>
    <w:div w:id="237985669">
      <w:bodyDiv w:val="1"/>
      <w:marLeft w:val="0"/>
      <w:marRight w:val="0"/>
      <w:marTop w:val="0"/>
      <w:marBottom w:val="0"/>
      <w:divBdr>
        <w:top w:val="none" w:sz="0" w:space="0" w:color="auto"/>
        <w:left w:val="none" w:sz="0" w:space="0" w:color="auto"/>
        <w:bottom w:val="none" w:sz="0" w:space="0" w:color="auto"/>
        <w:right w:val="none" w:sz="0" w:space="0" w:color="auto"/>
      </w:divBdr>
    </w:div>
    <w:div w:id="239951064">
      <w:bodyDiv w:val="1"/>
      <w:marLeft w:val="0"/>
      <w:marRight w:val="0"/>
      <w:marTop w:val="0"/>
      <w:marBottom w:val="0"/>
      <w:divBdr>
        <w:top w:val="none" w:sz="0" w:space="0" w:color="auto"/>
        <w:left w:val="none" w:sz="0" w:space="0" w:color="auto"/>
        <w:bottom w:val="none" w:sz="0" w:space="0" w:color="auto"/>
        <w:right w:val="none" w:sz="0" w:space="0" w:color="auto"/>
      </w:divBdr>
    </w:div>
    <w:div w:id="253132178">
      <w:bodyDiv w:val="1"/>
      <w:marLeft w:val="0"/>
      <w:marRight w:val="0"/>
      <w:marTop w:val="0"/>
      <w:marBottom w:val="0"/>
      <w:divBdr>
        <w:top w:val="none" w:sz="0" w:space="0" w:color="auto"/>
        <w:left w:val="none" w:sz="0" w:space="0" w:color="auto"/>
        <w:bottom w:val="none" w:sz="0" w:space="0" w:color="auto"/>
        <w:right w:val="none" w:sz="0" w:space="0" w:color="auto"/>
      </w:divBdr>
    </w:div>
    <w:div w:id="260916071">
      <w:bodyDiv w:val="1"/>
      <w:marLeft w:val="0"/>
      <w:marRight w:val="0"/>
      <w:marTop w:val="0"/>
      <w:marBottom w:val="0"/>
      <w:divBdr>
        <w:top w:val="none" w:sz="0" w:space="0" w:color="auto"/>
        <w:left w:val="none" w:sz="0" w:space="0" w:color="auto"/>
        <w:bottom w:val="none" w:sz="0" w:space="0" w:color="auto"/>
        <w:right w:val="none" w:sz="0" w:space="0" w:color="auto"/>
      </w:divBdr>
    </w:div>
    <w:div w:id="262692881">
      <w:bodyDiv w:val="1"/>
      <w:marLeft w:val="0"/>
      <w:marRight w:val="0"/>
      <w:marTop w:val="0"/>
      <w:marBottom w:val="0"/>
      <w:divBdr>
        <w:top w:val="none" w:sz="0" w:space="0" w:color="auto"/>
        <w:left w:val="none" w:sz="0" w:space="0" w:color="auto"/>
        <w:bottom w:val="none" w:sz="0" w:space="0" w:color="auto"/>
        <w:right w:val="none" w:sz="0" w:space="0" w:color="auto"/>
      </w:divBdr>
    </w:div>
    <w:div w:id="263416034">
      <w:bodyDiv w:val="1"/>
      <w:marLeft w:val="0"/>
      <w:marRight w:val="0"/>
      <w:marTop w:val="0"/>
      <w:marBottom w:val="0"/>
      <w:divBdr>
        <w:top w:val="none" w:sz="0" w:space="0" w:color="auto"/>
        <w:left w:val="none" w:sz="0" w:space="0" w:color="auto"/>
        <w:bottom w:val="none" w:sz="0" w:space="0" w:color="auto"/>
        <w:right w:val="none" w:sz="0" w:space="0" w:color="auto"/>
      </w:divBdr>
    </w:div>
    <w:div w:id="265618691">
      <w:bodyDiv w:val="1"/>
      <w:marLeft w:val="0"/>
      <w:marRight w:val="0"/>
      <w:marTop w:val="0"/>
      <w:marBottom w:val="0"/>
      <w:divBdr>
        <w:top w:val="none" w:sz="0" w:space="0" w:color="auto"/>
        <w:left w:val="none" w:sz="0" w:space="0" w:color="auto"/>
        <w:bottom w:val="none" w:sz="0" w:space="0" w:color="auto"/>
        <w:right w:val="none" w:sz="0" w:space="0" w:color="auto"/>
      </w:divBdr>
    </w:div>
    <w:div w:id="267003557">
      <w:bodyDiv w:val="1"/>
      <w:marLeft w:val="0"/>
      <w:marRight w:val="0"/>
      <w:marTop w:val="0"/>
      <w:marBottom w:val="0"/>
      <w:divBdr>
        <w:top w:val="none" w:sz="0" w:space="0" w:color="auto"/>
        <w:left w:val="none" w:sz="0" w:space="0" w:color="auto"/>
        <w:bottom w:val="none" w:sz="0" w:space="0" w:color="auto"/>
        <w:right w:val="none" w:sz="0" w:space="0" w:color="auto"/>
      </w:divBdr>
    </w:div>
    <w:div w:id="272134516">
      <w:bodyDiv w:val="1"/>
      <w:marLeft w:val="0"/>
      <w:marRight w:val="0"/>
      <w:marTop w:val="0"/>
      <w:marBottom w:val="0"/>
      <w:divBdr>
        <w:top w:val="none" w:sz="0" w:space="0" w:color="auto"/>
        <w:left w:val="none" w:sz="0" w:space="0" w:color="auto"/>
        <w:bottom w:val="none" w:sz="0" w:space="0" w:color="auto"/>
        <w:right w:val="none" w:sz="0" w:space="0" w:color="auto"/>
      </w:divBdr>
    </w:div>
    <w:div w:id="272787918">
      <w:bodyDiv w:val="1"/>
      <w:marLeft w:val="0"/>
      <w:marRight w:val="0"/>
      <w:marTop w:val="0"/>
      <w:marBottom w:val="0"/>
      <w:divBdr>
        <w:top w:val="none" w:sz="0" w:space="0" w:color="auto"/>
        <w:left w:val="none" w:sz="0" w:space="0" w:color="auto"/>
        <w:bottom w:val="none" w:sz="0" w:space="0" w:color="auto"/>
        <w:right w:val="none" w:sz="0" w:space="0" w:color="auto"/>
      </w:divBdr>
    </w:div>
    <w:div w:id="273513326">
      <w:bodyDiv w:val="1"/>
      <w:marLeft w:val="0"/>
      <w:marRight w:val="0"/>
      <w:marTop w:val="0"/>
      <w:marBottom w:val="0"/>
      <w:divBdr>
        <w:top w:val="none" w:sz="0" w:space="0" w:color="auto"/>
        <w:left w:val="none" w:sz="0" w:space="0" w:color="auto"/>
        <w:bottom w:val="none" w:sz="0" w:space="0" w:color="auto"/>
        <w:right w:val="none" w:sz="0" w:space="0" w:color="auto"/>
      </w:divBdr>
    </w:div>
    <w:div w:id="274140038">
      <w:bodyDiv w:val="1"/>
      <w:marLeft w:val="0"/>
      <w:marRight w:val="0"/>
      <w:marTop w:val="0"/>
      <w:marBottom w:val="0"/>
      <w:divBdr>
        <w:top w:val="none" w:sz="0" w:space="0" w:color="auto"/>
        <w:left w:val="none" w:sz="0" w:space="0" w:color="auto"/>
        <w:bottom w:val="none" w:sz="0" w:space="0" w:color="auto"/>
        <w:right w:val="none" w:sz="0" w:space="0" w:color="auto"/>
      </w:divBdr>
    </w:div>
    <w:div w:id="276913754">
      <w:bodyDiv w:val="1"/>
      <w:marLeft w:val="0"/>
      <w:marRight w:val="0"/>
      <w:marTop w:val="0"/>
      <w:marBottom w:val="0"/>
      <w:divBdr>
        <w:top w:val="none" w:sz="0" w:space="0" w:color="auto"/>
        <w:left w:val="none" w:sz="0" w:space="0" w:color="auto"/>
        <w:bottom w:val="none" w:sz="0" w:space="0" w:color="auto"/>
        <w:right w:val="none" w:sz="0" w:space="0" w:color="auto"/>
      </w:divBdr>
    </w:div>
    <w:div w:id="277488795">
      <w:bodyDiv w:val="1"/>
      <w:marLeft w:val="0"/>
      <w:marRight w:val="0"/>
      <w:marTop w:val="0"/>
      <w:marBottom w:val="0"/>
      <w:divBdr>
        <w:top w:val="none" w:sz="0" w:space="0" w:color="auto"/>
        <w:left w:val="none" w:sz="0" w:space="0" w:color="auto"/>
        <w:bottom w:val="none" w:sz="0" w:space="0" w:color="auto"/>
        <w:right w:val="none" w:sz="0" w:space="0" w:color="auto"/>
      </w:divBdr>
    </w:div>
    <w:div w:id="278074825">
      <w:bodyDiv w:val="1"/>
      <w:marLeft w:val="0"/>
      <w:marRight w:val="0"/>
      <w:marTop w:val="0"/>
      <w:marBottom w:val="0"/>
      <w:divBdr>
        <w:top w:val="none" w:sz="0" w:space="0" w:color="auto"/>
        <w:left w:val="none" w:sz="0" w:space="0" w:color="auto"/>
        <w:bottom w:val="none" w:sz="0" w:space="0" w:color="auto"/>
        <w:right w:val="none" w:sz="0" w:space="0" w:color="auto"/>
      </w:divBdr>
    </w:div>
    <w:div w:id="278950808">
      <w:bodyDiv w:val="1"/>
      <w:marLeft w:val="0"/>
      <w:marRight w:val="0"/>
      <w:marTop w:val="0"/>
      <w:marBottom w:val="0"/>
      <w:divBdr>
        <w:top w:val="none" w:sz="0" w:space="0" w:color="auto"/>
        <w:left w:val="none" w:sz="0" w:space="0" w:color="auto"/>
        <w:bottom w:val="none" w:sz="0" w:space="0" w:color="auto"/>
        <w:right w:val="none" w:sz="0" w:space="0" w:color="auto"/>
      </w:divBdr>
    </w:div>
    <w:div w:id="279802696">
      <w:bodyDiv w:val="1"/>
      <w:marLeft w:val="0"/>
      <w:marRight w:val="0"/>
      <w:marTop w:val="0"/>
      <w:marBottom w:val="0"/>
      <w:divBdr>
        <w:top w:val="none" w:sz="0" w:space="0" w:color="auto"/>
        <w:left w:val="none" w:sz="0" w:space="0" w:color="auto"/>
        <w:bottom w:val="none" w:sz="0" w:space="0" w:color="auto"/>
        <w:right w:val="none" w:sz="0" w:space="0" w:color="auto"/>
      </w:divBdr>
    </w:div>
    <w:div w:id="281230583">
      <w:bodyDiv w:val="1"/>
      <w:marLeft w:val="0"/>
      <w:marRight w:val="0"/>
      <w:marTop w:val="0"/>
      <w:marBottom w:val="0"/>
      <w:divBdr>
        <w:top w:val="none" w:sz="0" w:space="0" w:color="auto"/>
        <w:left w:val="none" w:sz="0" w:space="0" w:color="auto"/>
        <w:bottom w:val="none" w:sz="0" w:space="0" w:color="auto"/>
        <w:right w:val="none" w:sz="0" w:space="0" w:color="auto"/>
      </w:divBdr>
    </w:div>
    <w:div w:id="289288771">
      <w:bodyDiv w:val="1"/>
      <w:marLeft w:val="0"/>
      <w:marRight w:val="0"/>
      <w:marTop w:val="0"/>
      <w:marBottom w:val="0"/>
      <w:divBdr>
        <w:top w:val="none" w:sz="0" w:space="0" w:color="auto"/>
        <w:left w:val="none" w:sz="0" w:space="0" w:color="auto"/>
        <w:bottom w:val="none" w:sz="0" w:space="0" w:color="auto"/>
        <w:right w:val="none" w:sz="0" w:space="0" w:color="auto"/>
      </w:divBdr>
    </w:div>
    <w:div w:id="290019729">
      <w:bodyDiv w:val="1"/>
      <w:marLeft w:val="0"/>
      <w:marRight w:val="0"/>
      <w:marTop w:val="0"/>
      <w:marBottom w:val="0"/>
      <w:divBdr>
        <w:top w:val="none" w:sz="0" w:space="0" w:color="auto"/>
        <w:left w:val="none" w:sz="0" w:space="0" w:color="auto"/>
        <w:bottom w:val="none" w:sz="0" w:space="0" w:color="auto"/>
        <w:right w:val="none" w:sz="0" w:space="0" w:color="auto"/>
      </w:divBdr>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296254821">
      <w:bodyDiv w:val="1"/>
      <w:marLeft w:val="0"/>
      <w:marRight w:val="0"/>
      <w:marTop w:val="0"/>
      <w:marBottom w:val="0"/>
      <w:divBdr>
        <w:top w:val="none" w:sz="0" w:space="0" w:color="auto"/>
        <w:left w:val="none" w:sz="0" w:space="0" w:color="auto"/>
        <w:bottom w:val="none" w:sz="0" w:space="0" w:color="auto"/>
        <w:right w:val="none" w:sz="0" w:space="0" w:color="auto"/>
      </w:divBdr>
    </w:div>
    <w:div w:id="305210410">
      <w:bodyDiv w:val="1"/>
      <w:marLeft w:val="0"/>
      <w:marRight w:val="0"/>
      <w:marTop w:val="0"/>
      <w:marBottom w:val="0"/>
      <w:divBdr>
        <w:top w:val="none" w:sz="0" w:space="0" w:color="auto"/>
        <w:left w:val="none" w:sz="0" w:space="0" w:color="auto"/>
        <w:bottom w:val="none" w:sz="0" w:space="0" w:color="auto"/>
        <w:right w:val="none" w:sz="0" w:space="0" w:color="auto"/>
      </w:divBdr>
    </w:div>
    <w:div w:id="308899560">
      <w:bodyDiv w:val="1"/>
      <w:marLeft w:val="0"/>
      <w:marRight w:val="0"/>
      <w:marTop w:val="0"/>
      <w:marBottom w:val="0"/>
      <w:divBdr>
        <w:top w:val="none" w:sz="0" w:space="0" w:color="auto"/>
        <w:left w:val="none" w:sz="0" w:space="0" w:color="auto"/>
        <w:bottom w:val="none" w:sz="0" w:space="0" w:color="auto"/>
        <w:right w:val="none" w:sz="0" w:space="0" w:color="auto"/>
      </w:divBdr>
    </w:div>
    <w:div w:id="321010107">
      <w:bodyDiv w:val="1"/>
      <w:marLeft w:val="0"/>
      <w:marRight w:val="0"/>
      <w:marTop w:val="0"/>
      <w:marBottom w:val="0"/>
      <w:divBdr>
        <w:top w:val="none" w:sz="0" w:space="0" w:color="auto"/>
        <w:left w:val="none" w:sz="0" w:space="0" w:color="auto"/>
        <w:bottom w:val="none" w:sz="0" w:space="0" w:color="auto"/>
        <w:right w:val="none" w:sz="0" w:space="0" w:color="auto"/>
      </w:divBdr>
    </w:div>
    <w:div w:id="322583454">
      <w:bodyDiv w:val="1"/>
      <w:marLeft w:val="0"/>
      <w:marRight w:val="0"/>
      <w:marTop w:val="0"/>
      <w:marBottom w:val="0"/>
      <w:divBdr>
        <w:top w:val="none" w:sz="0" w:space="0" w:color="auto"/>
        <w:left w:val="none" w:sz="0" w:space="0" w:color="auto"/>
        <w:bottom w:val="none" w:sz="0" w:space="0" w:color="auto"/>
        <w:right w:val="none" w:sz="0" w:space="0" w:color="auto"/>
      </w:divBdr>
    </w:div>
    <w:div w:id="332076406">
      <w:bodyDiv w:val="1"/>
      <w:marLeft w:val="0"/>
      <w:marRight w:val="0"/>
      <w:marTop w:val="0"/>
      <w:marBottom w:val="0"/>
      <w:divBdr>
        <w:top w:val="none" w:sz="0" w:space="0" w:color="auto"/>
        <w:left w:val="none" w:sz="0" w:space="0" w:color="auto"/>
        <w:bottom w:val="none" w:sz="0" w:space="0" w:color="auto"/>
        <w:right w:val="none" w:sz="0" w:space="0" w:color="auto"/>
      </w:divBdr>
    </w:div>
    <w:div w:id="339087305">
      <w:bodyDiv w:val="1"/>
      <w:marLeft w:val="0"/>
      <w:marRight w:val="0"/>
      <w:marTop w:val="0"/>
      <w:marBottom w:val="0"/>
      <w:divBdr>
        <w:top w:val="none" w:sz="0" w:space="0" w:color="auto"/>
        <w:left w:val="none" w:sz="0" w:space="0" w:color="auto"/>
        <w:bottom w:val="none" w:sz="0" w:space="0" w:color="auto"/>
        <w:right w:val="none" w:sz="0" w:space="0" w:color="auto"/>
      </w:divBdr>
    </w:div>
    <w:div w:id="344016206">
      <w:bodyDiv w:val="1"/>
      <w:marLeft w:val="0"/>
      <w:marRight w:val="0"/>
      <w:marTop w:val="0"/>
      <w:marBottom w:val="0"/>
      <w:divBdr>
        <w:top w:val="none" w:sz="0" w:space="0" w:color="auto"/>
        <w:left w:val="none" w:sz="0" w:space="0" w:color="auto"/>
        <w:bottom w:val="none" w:sz="0" w:space="0" w:color="auto"/>
        <w:right w:val="none" w:sz="0" w:space="0" w:color="auto"/>
      </w:divBdr>
    </w:div>
    <w:div w:id="346568301">
      <w:bodyDiv w:val="1"/>
      <w:marLeft w:val="0"/>
      <w:marRight w:val="0"/>
      <w:marTop w:val="0"/>
      <w:marBottom w:val="0"/>
      <w:divBdr>
        <w:top w:val="none" w:sz="0" w:space="0" w:color="auto"/>
        <w:left w:val="none" w:sz="0" w:space="0" w:color="auto"/>
        <w:bottom w:val="none" w:sz="0" w:space="0" w:color="auto"/>
        <w:right w:val="none" w:sz="0" w:space="0" w:color="auto"/>
      </w:divBdr>
    </w:div>
    <w:div w:id="349769758">
      <w:bodyDiv w:val="1"/>
      <w:marLeft w:val="0"/>
      <w:marRight w:val="0"/>
      <w:marTop w:val="0"/>
      <w:marBottom w:val="0"/>
      <w:divBdr>
        <w:top w:val="none" w:sz="0" w:space="0" w:color="auto"/>
        <w:left w:val="none" w:sz="0" w:space="0" w:color="auto"/>
        <w:bottom w:val="none" w:sz="0" w:space="0" w:color="auto"/>
        <w:right w:val="none" w:sz="0" w:space="0" w:color="auto"/>
      </w:divBdr>
    </w:div>
    <w:div w:id="353697814">
      <w:bodyDiv w:val="1"/>
      <w:marLeft w:val="0"/>
      <w:marRight w:val="0"/>
      <w:marTop w:val="0"/>
      <w:marBottom w:val="0"/>
      <w:divBdr>
        <w:top w:val="none" w:sz="0" w:space="0" w:color="auto"/>
        <w:left w:val="none" w:sz="0" w:space="0" w:color="auto"/>
        <w:bottom w:val="none" w:sz="0" w:space="0" w:color="auto"/>
        <w:right w:val="none" w:sz="0" w:space="0" w:color="auto"/>
      </w:divBdr>
    </w:div>
    <w:div w:id="359016211">
      <w:bodyDiv w:val="1"/>
      <w:marLeft w:val="0"/>
      <w:marRight w:val="0"/>
      <w:marTop w:val="0"/>
      <w:marBottom w:val="0"/>
      <w:divBdr>
        <w:top w:val="none" w:sz="0" w:space="0" w:color="auto"/>
        <w:left w:val="none" w:sz="0" w:space="0" w:color="auto"/>
        <w:bottom w:val="none" w:sz="0" w:space="0" w:color="auto"/>
        <w:right w:val="none" w:sz="0" w:space="0" w:color="auto"/>
      </w:divBdr>
    </w:div>
    <w:div w:id="359860844">
      <w:bodyDiv w:val="1"/>
      <w:marLeft w:val="0"/>
      <w:marRight w:val="0"/>
      <w:marTop w:val="0"/>
      <w:marBottom w:val="0"/>
      <w:divBdr>
        <w:top w:val="none" w:sz="0" w:space="0" w:color="auto"/>
        <w:left w:val="none" w:sz="0" w:space="0" w:color="auto"/>
        <w:bottom w:val="none" w:sz="0" w:space="0" w:color="auto"/>
        <w:right w:val="none" w:sz="0" w:space="0" w:color="auto"/>
      </w:divBdr>
    </w:div>
    <w:div w:id="367416394">
      <w:bodyDiv w:val="1"/>
      <w:marLeft w:val="0"/>
      <w:marRight w:val="0"/>
      <w:marTop w:val="0"/>
      <w:marBottom w:val="0"/>
      <w:divBdr>
        <w:top w:val="none" w:sz="0" w:space="0" w:color="auto"/>
        <w:left w:val="none" w:sz="0" w:space="0" w:color="auto"/>
        <w:bottom w:val="none" w:sz="0" w:space="0" w:color="auto"/>
        <w:right w:val="none" w:sz="0" w:space="0" w:color="auto"/>
      </w:divBdr>
    </w:div>
    <w:div w:id="376319683">
      <w:bodyDiv w:val="1"/>
      <w:marLeft w:val="0"/>
      <w:marRight w:val="0"/>
      <w:marTop w:val="0"/>
      <w:marBottom w:val="0"/>
      <w:divBdr>
        <w:top w:val="none" w:sz="0" w:space="0" w:color="auto"/>
        <w:left w:val="none" w:sz="0" w:space="0" w:color="auto"/>
        <w:bottom w:val="none" w:sz="0" w:space="0" w:color="auto"/>
        <w:right w:val="none" w:sz="0" w:space="0" w:color="auto"/>
      </w:divBdr>
    </w:div>
    <w:div w:id="383532129">
      <w:bodyDiv w:val="1"/>
      <w:marLeft w:val="0"/>
      <w:marRight w:val="0"/>
      <w:marTop w:val="0"/>
      <w:marBottom w:val="0"/>
      <w:divBdr>
        <w:top w:val="none" w:sz="0" w:space="0" w:color="auto"/>
        <w:left w:val="none" w:sz="0" w:space="0" w:color="auto"/>
        <w:bottom w:val="none" w:sz="0" w:space="0" w:color="auto"/>
        <w:right w:val="none" w:sz="0" w:space="0" w:color="auto"/>
      </w:divBdr>
    </w:div>
    <w:div w:id="383916369">
      <w:bodyDiv w:val="1"/>
      <w:marLeft w:val="0"/>
      <w:marRight w:val="0"/>
      <w:marTop w:val="0"/>
      <w:marBottom w:val="0"/>
      <w:divBdr>
        <w:top w:val="none" w:sz="0" w:space="0" w:color="auto"/>
        <w:left w:val="none" w:sz="0" w:space="0" w:color="auto"/>
        <w:bottom w:val="none" w:sz="0" w:space="0" w:color="auto"/>
        <w:right w:val="none" w:sz="0" w:space="0" w:color="auto"/>
      </w:divBdr>
    </w:div>
    <w:div w:id="384984530">
      <w:bodyDiv w:val="1"/>
      <w:marLeft w:val="0"/>
      <w:marRight w:val="0"/>
      <w:marTop w:val="0"/>
      <w:marBottom w:val="0"/>
      <w:divBdr>
        <w:top w:val="none" w:sz="0" w:space="0" w:color="auto"/>
        <w:left w:val="none" w:sz="0" w:space="0" w:color="auto"/>
        <w:bottom w:val="none" w:sz="0" w:space="0" w:color="auto"/>
        <w:right w:val="none" w:sz="0" w:space="0" w:color="auto"/>
      </w:divBdr>
    </w:div>
    <w:div w:id="387460779">
      <w:bodyDiv w:val="1"/>
      <w:marLeft w:val="0"/>
      <w:marRight w:val="0"/>
      <w:marTop w:val="0"/>
      <w:marBottom w:val="0"/>
      <w:divBdr>
        <w:top w:val="none" w:sz="0" w:space="0" w:color="auto"/>
        <w:left w:val="none" w:sz="0" w:space="0" w:color="auto"/>
        <w:bottom w:val="none" w:sz="0" w:space="0" w:color="auto"/>
        <w:right w:val="none" w:sz="0" w:space="0" w:color="auto"/>
      </w:divBdr>
    </w:div>
    <w:div w:id="387726853">
      <w:bodyDiv w:val="1"/>
      <w:marLeft w:val="0"/>
      <w:marRight w:val="0"/>
      <w:marTop w:val="0"/>
      <w:marBottom w:val="0"/>
      <w:divBdr>
        <w:top w:val="none" w:sz="0" w:space="0" w:color="auto"/>
        <w:left w:val="none" w:sz="0" w:space="0" w:color="auto"/>
        <w:bottom w:val="none" w:sz="0" w:space="0" w:color="auto"/>
        <w:right w:val="none" w:sz="0" w:space="0" w:color="auto"/>
      </w:divBdr>
    </w:div>
    <w:div w:id="390884083">
      <w:bodyDiv w:val="1"/>
      <w:marLeft w:val="0"/>
      <w:marRight w:val="0"/>
      <w:marTop w:val="0"/>
      <w:marBottom w:val="0"/>
      <w:divBdr>
        <w:top w:val="none" w:sz="0" w:space="0" w:color="auto"/>
        <w:left w:val="none" w:sz="0" w:space="0" w:color="auto"/>
        <w:bottom w:val="none" w:sz="0" w:space="0" w:color="auto"/>
        <w:right w:val="none" w:sz="0" w:space="0" w:color="auto"/>
      </w:divBdr>
    </w:div>
    <w:div w:id="392000579">
      <w:bodyDiv w:val="1"/>
      <w:marLeft w:val="0"/>
      <w:marRight w:val="0"/>
      <w:marTop w:val="0"/>
      <w:marBottom w:val="0"/>
      <w:divBdr>
        <w:top w:val="none" w:sz="0" w:space="0" w:color="auto"/>
        <w:left w:val="none" w:sz="0" w:space="0" w:color="auto"/>
        <w:bottom w:val="none" w:sz="0" w:space="0" w:color="auto"/>
        <w:right w:val="none" w:sz="0" w:space="0" w:color="auto"/>
      </w:divBdr>
    </w:div>
    <w:div w:id="403917488">
      <w:bodyDiv w:val="1"/>
      <w:marLeft w:val="0"/>
      <w:marRight w:val="0"/>
      <w:marTop w:val="0"/>
      <w:marBottom w:val="0"/>
      <w:divBdr>
        <w:top w:val="none" w:sz="0" w:space="0" w:color="auto"/>
        <w:left w:val="none" w:sz="0" w:space="0" w:color="auto"/>
        <w:bottom w:val="none" w:sz="0" w:space="0" w:color="auto"/>
        <w:right w:val="none" w:sz="0" w:space="0" w:color="auto"/>
      </w:divBdr>
    </w:div>
    <w:div w:id="403989084">
      <w:bodyDiv w:val="1"/>
      <w:marLeft w:val="0"/>
      <w:marRight w:val="0"/>
      <w:marTop w:val="0"/>
      <w:marBottom w:val="0"/>
      <w:divBdr>
        <w:top w:val="none" w:sz="0" w:space="0" w:color="auto"/>
        <w:left w:val="none" w:sz="0" w:space="0" w:color="auto"/>
        <w:bottom w:val="none" w:sz="0" w:space="0" w:color="auto"/>
        <w:right w:val="none" w:sz="0" w:space="0" w:color="auto"/>
      </w:divBdr>
    </w:div>
    <w:div w:id="406659743">
      <w:bodyDiv w:val="1"/>
      <w:marLeft w:val="0"/>
      <w:marRight w:val="0"/>
      <w:marTop w:val="0"/>
      <w:marBottom w:val="0"/>
      <w:divBdr>
        <w:top w:val="none" w:sz="0" w:space="0" w:color="auto"/>
        <w:left w:val="none" w:sz="0" w:space="0" w:color="auto"/>
        <w:bottom w:val="none" w:sz="0" w:space="0" w:color="auto"/>
        <w:right w:val="none" w:sz="0" w:space="0" w:color="auto"/>
      </w:divBdr>
    </w:div>
    <w:div w:id="411856011">
      <w:bodyDiv w:val="1"/>
      <w:marLeft w:val="0"/>
      <w:marRight w:val="0"/>
      <w:marTop w:val="0"/>
      <w:marBottom w:val="0"/>
      <w:divBdr>
        <w:top w:val="none" w:sz="0" w:space="0" w:color="auto"/>
        <w:left w:val="none" w:sz="0" w:space="0" w:color="auto"/>
        <w:bottom w:val="none" w:sz="0" w:space="0" w:color="auto"/>
        <w:right w:val="none" w:sz="0" w:space="0" w:color="auto"/>
      </w:divBdr>
    </w:div>
    <w:div w:id="416680519">
      <w:bodyDiv w:val="1"/>
      <w:marLeft w:val="0"/>
      <w:marRight w:val="0"/>
      <w:marTop w:val="0"/>
      <w:marBottom w:val="0"/>
      <w:divBdr>
        <w:top w:val="none" w:sz="0" w:space="0" w:color="auto"/>
        <w:left w:val="none" w:sz="0" w:space="0" w:color="auto"/>
        <w:bottom w:val="none" w:sz="0" w:space="0" w:color="auto"/>
        <w:right w:val="none" w:sz="0" w:space="0" w:color="auto"/>
      </w:divBdr>
    </w:div>
    <w:div w:id="419716244">
      <w:bodyDiv w:val="1"/>
      <w:marLeft w:val="0"/>
      <w:marRight w:val="0"/>
      <w:marTop w:val="0"/>
      <w:marBottom w:val="0"/>
      <w:divBdr>
        <w:top w:val="none" w:sz="0" w:space="0" w:color="auto"/>
        <w:left w:val="none" w:sz="0" w:space="0" w:color="auto"/>
        <w:bottom w:val="none" w:sz="0" w:space="0" w:color="auto"/>
        <w:right w:val="none" w:sz="0" w:space="0" w:color="auto"/>
      </w:divBdr>
    </w:div>
    <w:div w:id="425614118">
      <w:bodyDiv w:val="1"/>
      <w:marLeft w:val="0"/>
      <w:marRight w:val="0"/>
      <w:marTop w:val="0"/>
      <w:marBottom w:val="0"/>
      <w:divBdr>
        <w:top w:val="none" w:sz="0" w:space="0" w:color="auto"/>
        <w:left w:val="none" w:sz="0" w:space="0" w:color="auto"/>
        <w:bottom w:val="none" w:sz="0" w:space="0" w:color="auto"/>
        <w:right w:val="none" w:sz="0" w:space="0" w:color="auto"/>
      </w:divBdr>
    </w:div>
    <w:div w:id="427772228">
      <w:bodyDiv w:val="1"/>
      <w:marLeft w:val="0"/>
      <w:marRight w:val="0"/>
      <w:marTop w:val="0"/>
      <w:marBottom w:val="0"/>
      <w:divBdr>
        <w:top w:val="none" w:sz="0" w:space="0" w:color="auto"/>
        <w:left w:val="none" w:sz="0" w:space="0" w:color="auto"/>
        <w:bottom w:val="none" w:sz="0" w:space="0" w:color="auto"/>
        <w:right w:val="none" w:sz="0" w:space="0" w:color="auto"/>
      </w:divBdr>
    </w:div>
    <w:div w:id="432361241">
      <w:bodyDiv w:val="1"/>
      <w:marLeft w:val="0"/>
      <w:marRight w:val="0"/>
      <w:marTop w:val="0"/>
      <w:marBottom w:val="0"/>
      <w:divBdr>
        <w:top w:val="none" w:sz="0" w:space="0" w:color="auto"/>
        <w:left w:val="none" w:sz="0" w:space="0" w:color="auto"/>
        <w:bottom w:val="none" w:sz="0" w:space="0" w:color="auto"/>
        <w:right w:val="none" w:sz="0" w:space="0" w:color="auto"/>
      </w:divBdr>
    </w:div>
    <w:div w:id="434130604">
      <w:bodyDiv w:val="1"/>
      <w:marLeft w:val="0"/>
      <w:marRight w:val="0"/>
      <w:marTop w:val="0"/>
      <w:marBottom w:val="0"/>
      <w:divBdr>
        <w:top w:val="none" w:sz="0" w:space="0" w:color="auto"/>
        <w:left w:val="none" w:sz="0" w:space="0" w:color="auto"/>
        <w:bottom w:val="none" w:sz="0" w:space="0" w:color="auto"/>
        <w:right w:val="none" w:sz="0" w:space="0" w:color="auto"/>
      </w:divBdr>
    </w:div>
    <w:div w:id="435949423">
      <w:bodyDiv w:val="1"/>
      <w:marLeft w:val="0"/>
      <w:marRight w:val="0"/>
      <w:marTop w:val="0"/>
      <w:marBottom w:val="0"/>
      <w:divBdr>
        <w:top w:val="none" w:sz="0" w:space="0" w:color="auto"/>
        <w:left w:val="none" w:sz="0" w:space="0" w:color="auto"/>
        <w:bottom w:val="none" w:sz="0" w:space="0" w:color="auto"/>
        <w:right w:val="none" w:sz="0" w:space="0" w:color="auto"/>
      </w:divBdr>
    </w:div>
    <w:div w:id="438450460">
      <w:bodyDiv w:val="1"/>
      <w:marLeft w:val="0"/>
      <w:marRight w:val="0"/>
      <w:marTop w:val="0"/>
      <w:marBottom w:val="0"/>
      <w:divBdr>
        <w:top w:val="none" w:sz="0" w:space="0" w:color="auto"/>
        <w:left w:val="none" w:sz="0" w:space="0" w:color="auto"/>
        <w:bottom w:val="none" w:sz="0" w:space="0" w:color="auto"/>
        <w:right w:val="none" w:sz="0" w:space="0" w:color="auto"/>
      </w:divBdr>
    </w:div>
    <w:div w:id="440415944">
      <w:bodyDiv w:val="1"/>
      <w:marLeft w:val="0"/>
      <w:marRight w:val="0"/>
      <w:marTop w:val="0"/>
      <w:marBottom w:val="0"/>
      <w:divBdr>
        <w:top w:val="none" w:sz="0" w:space="0" w:color="auto"/>
        <w:left w:val="none" w:sz="0" w:space="0" w:color="auto"/>
        <w:bottom w:val="none" w:sz="0" w:space="0" w:color="auto"/>
        <w:right w:val="none" w:sz="0" w:space="0" w:color="auto"/>
      </w:divBdr>
    </w:div>
    <w:div w:id="444427073">
      <w:bodyDiv w:val="1"/>
      <w:marLeft w:val="0"/>
      <w:marRight w:val="0"/>
      <w:marTop w:val="0"/>
      <w:marBottom w:val="0"/>
      <w:divBdr>
        <w:top w:val="none" w:sz="0" w:space="0" w:color="auto"/>
        <w:left w:val="none" w:sz="0" w:space="0" w:color="auto"/>
        <w:bottom w:val="none" w:sz="0" w:space="0" w:color="auto"/>
        <w:right w:val="none" w:sz="0" w:space="0" w:color="auto"/>
      </w:divBdr>
    </w:div>
    <w:div w:id="444544558">
      <w:bodyDiv w:val="1"/>
      <w:marLeft w:val="0"/>
      <w:marRight w:val="0"/>
      <w:marTop w:val="0"/>
      <w:marBottom w:val="0"/>
      <w:divBdr>
        <w:top w:val="none" w:sz="0" w:space="0" w:color="auto"/>
        <w:left w:val="none" w:sz="0" w:space="0" w:color="auto"/>
        <w:bottom w:val="none" w:sz="0" w:space="0" w:color="auto"/>
        <w:right w:val="none" w:sz="0" w:space="0" w:color="auto"/>
      </w:divBdr>
    </w:div>
    <w:div w:id="449473433">
      <w:bodyDiv w:val="1"/>
      <w:marLeft w:val="0"/>
      <w:marRight w:val="0"/>
      <w:marTop w:val="0"/>
      <w:marBottom w:val="0"/>
      <w:divBdr>
        <w:top w:val="none" w:sz="0" w:space="0" w:color="auto"/>
        <w:left w:val="none" w:sz="0" w:space="0" w:color="auto"/>
        <w:bottom w:val="none" w:sz="0" w:space="0" w:color="auto"/>
        <w:right w:val="none" w:sz="0" w:space="0" w:color="auto"/>
      </w:divBdr>
    </w:div>
    <w:div w:id="450058092">
      <w:bodyDiv w:val="1"/>
      <w:marLeft w:val="0"/>
      <w:marRight w:val="0"/>
      <w:marTop w:val="0"/>
      <w:marBottom w:val="0"/>
      <w:divBdr>
        <w:top w:val="none" w:sz="0" w:space="0" w:color="auto"/>
        <w:left w:val="none" w:sz="0" w:space="0" w:color="auto"/>
        <w:bottom w:val="none" w:sz="0" w:space="0" w:color="auto"/>
        <w:right w:val="none" w:sz="0" w:space="0" w:color="auto"/>
      </w:divBdr>
    </w:div>
    <w:div w:id="450168573">
      <w:bodyDiv w:val="1"/>
      <w:marLeft w:val="0"/>
      <w:marRight w:val="0"/>
      <w:marTop w:val="0"/>
      <w:marBottom w:val="0"/>
      <w:divBdr>
        <w:top w:val="none" w:sz="0" w:space="0" w:color="auto"/>
        <w:left w:val="none" w:sz="0" w:space="0" w:color="auto"/>
        <w:bottom w:val="none" w:sz="0" w:space="0" w:color="auto"/>
        <w:right w:val="none" w:sz="0" w:space="0" w:color="auto"/>
      </w:divBdr>
    </w:div>
    <w:div w:id="467090885">
      <w:bodyDiv w:val="1"/>
      <w:marLeft w:val="0"/>
      <w:marRight w:val="0"/>
      <w:marTop w:val="0"/>
      <w:marBottom w:val="0"/>
      <w:divBdr>
        <w:top w:val="none" w:sz="0" w:space="0" w:color="auto"/>
        <w:left w:val="none" w:sz="0" w:space="0" w:color="auto"/>
        <w:bottom w:val="none" w:sz="0" w:space="0" w:color="auto"/>
        <w:right w:val="none" w:sz="0" w:space="0" w:color="auto"/>
      </w:divBdr>
    </w:div>
    <w:div w:id="467359342">
      <w:bodyDiv w:val="1"/>
      <w:marLeft w:val="0"/>
      <w:marRight w:val="0"/>
      <w:marTop w:val="0"/>
      <w:marBottom w:val="0"/>
      <w:divBdr>
        <w:top w:val="none" w:sz="0" w:space="0" w:color="auto"/>
        <w:left w:val="none" w:sz="0" w:space="0" w:color="auto"/>
        <w:bottom w:val="none" w:sz="0" w:space="0" w:color="auto"/>
        <w:right w:val="none" w:sz="0" w:space="0" w:color="auto"/>
      </w:divBdr>
    </w:div>
    <w:div w:id="467864501">
      <w:bodyDiv w:val="1"/>
      <w:marLeft w:val="0"/>
      <w:marRight w:val="0"/>
      <w:marTop w:val="0"/>
      <w:marBottom w:val="0"/>
      <w:divBdr>
        <w:top w:val="none" w:sz="0" w:space="0" w:color="auto"/>
        <w:left w:val="none" w:sz="0" w:space="0" w:color="auto"/>
        <w:bottom w:val="none" w:sz="0" w:space="0" w:color="auto"/>
        <w:right w:val="none" w:sz="0" w:space="0" w:color="auto"/>
      </w:divBdr>
    </w:div>
    <w:div w:id="469515875">
      <w:bodyDiv w:val="1"/>
      <w:marLeft w:val="0"/>
      <w:marRight w:val="0"/>
      <w:marTop w:val="0"/>
      <w:marBottom w:val="0"/>
      <w:divBdr>
        <w:top w:val="none" w:sz="0" w:space="0" w:color="auto"/>
        <w:left w:val="none" w:sz="0" w:space="0" w:color="auto"/>
        <w:bottom w:val="none" w:sz="0" w:space="0" w:color="auto"/>
        <w:right w:val="none" w:sz="0" w:space="0" w:color="auto"/>
      </w:divBdr>
    </w:div>
    <w:div w:id="469709935">
      <w:bodyDiv w:val="1"/>
      <w:marLeft w:val="0"/>
      <w:marRight w:val="0"/>
      <w:marTop w:val="0"/>
      <w:marBottom w:val="0"/>
      <w:divBdr>
        <w:top w:val="none" w:sz="0" w:space="0" w:color="auto"/>
        <w:left w:val="none" w:sz="0" w:space="0" w:color="auto"/>
        <w:bottom w:val="none" w:sz="0" w:space="0" w:color="auto"/>
        <w:right w:val="none" w:sz="0" w:space="0" w:color="auto"/>
      </w:divBdr>
    </w:div>
    <w:div w:id="477038654">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4903102">
      <w:bodyDiv w:val="1"/>
      <w:marLeft w:val="0"/>
      <w:marRight w:val="0"/>
      <w:marTop w:val="0"/>
      <w:marBottom w:val="0"/>
      <w:divBdr>
        <w:top w:val="none" w:sz="0" w:space="0" w:color="auto"/>
        <w:left w:val="none" w:sz="0" w:space="0" w:color="auto"/>
        <w:bottom w:val="none" w:sz="0" w:space="0" w:color="auto"/>
        <w:right w:val="none" w:sz="0" w:space="0" w:color="auto"/>
      </w:divBdr>
    </w:div>
    <w:div w:id="496388730">
      <w:bodyDiv w:val="1"/>
      <w:marLeft w:val="0"/>
      <w:marRight w:val="0"/>
      <w:marTop w:val="0"/>
      <w:marBottom w:val="0"/>
      <w:divBdr>
        <w:top w:val="none" w:sz="0" w:space="0" w:color="auto"/>
        <w:left w:val="none" w:sz="0" w:space="0" w:color="auto"/>
        <w:bottom w:val="none" w:sz="0" w:space="0" w:color="auto"/>
        <w:right w:val="none" w:sz="0" w:space="0" w:color="auto"/>
      </w:divBdr>
    </w:div>
    <w:div w:id="498934189">
      <w:bodyDiv w:val="1"/>
      <w:marLeft w:val="0"/>
      <w:marRight w:val="0"/>
      <w:marTop w:val="0"/>
      <w:marBottom w:val="0"/>
      <w:divBdr>
        <w:top w:val="none" w:sz="0" w:space="0" w:color="auto"/>
        <w:left w:val="none" w:sz="0" w:space="0" w:color="auto"/>
        <w:bottom w:val="none" w:sz="0" w:space="0" w:color="auto"/>
        <w:right w:val="none" w:sz="0" w:space="0" w:color="auto"/>
      </w:divBdr>
    </w:div>
    <w:div w:id="502669601">
      <w:bodyDiv w:val="1"/>
      <w:marLeft w:val="0"/>
      <w:marRight w:val="0"/>
      <w:marTop w:val="0"/>
      <w:marBottom w:val="0"/>
      <w:divBdr>
        <w:top w:val="none" w:sz="0" w:space="0" w:color="auto"/>
        <w:left w:val="none" w:sz="0" w:space="0" w:color="auto"/>
        <w:bottom w:val="none" w:sz="0" w:space="0" w:color="auto"/>
        <w:right w:val="none" w:sz="0" w:space="0" w:color="auto"/>
      </w:divBdr>
    </w:div>
    <w:div w:id="506553243">
      <w:bodyDiv w:val="1"/>
      <w:marLeft w:val="0"/>
      <w:marRight w:val="0"/>
      <w:marTop w:val="0"/>
      <w:marBottom w:val="0"/>
      <w:divBdr>
        <w:top w:val="none" w:sz="0" w:space="0" w:color="auto"/>
        <w:left w:val="none" w:sz="0" w:space="0" w:color="auto"/>
        <w:bottom w:val="none" w:sz="0" w:space="0" w:color="auto"/>
        <w:right w:val="none" w:sz="0" w:space="0" w:color="auto"/>
      </w:divBdr>
    </w:div>
    <w:div w:id="508250310">
      <w:bodyDiv w:val="1"/>
      <w:marLeft w:val="0"/>
      <w:marRight w:val="0"/>
      <w:marTop w:val="0"/>
      <w:marBottom w:val="0"/>
      <w:divBdr>
        <w:top w:val="none" w:sz="0" w:space="0" w:color="auto"/>
        <w:left w:val="none" w:sz="0" w:space="0" w:color="auto"/>
        <w:bottom w:val="none" w:sz="0" w:space="0" w:color="auto"/>
        <w:right w:val="none" w:sz="0" w:space="0" w:color="auto"/>
      </w:divBdr>
    </w:div>
    <w:div w:id="511072855">
      <w:bodyDiv w:val="1"/>
      <w:marLeft w:val="0"/>
      <w:marRight w:val="0"/>
      <w:marTop w:val="0"/>
      <w:marBottom w:val="0"/>
      <w:divBdr>
        <w:top w:val="none" w:sz="0" w:space="0" w:color="auto"/>
        <w:left w:val="none" w:sz="0" w:space="0" w:color="auto"/>
        <w:bottom w:val="none" w:sz="0" w:space="0" w:color="auto"/>
        <w:right w:val="none" w:sz="0" w:space="0" w:color="auto"/>
      </w:divBdr>
    </w:div>
    <w:div w:id="526986345">
      <w:bodyDiv w:val="1"/>
      <w:marLeft w:val="0"/>
      <w:marRight w:val="0"/>
      <w:marTop w:val="0"/>
      <w:marBottom w:val="0"/>
      <w:divBdr>
        <w:top w:val="none" w:sz="0" w:space="0" w:color="auto"/>
        <w:left w:val="none" w:sz="0" w:space="0" w:color="auto"/>
        <w:bottom w:val="none" w:sz="0" w:space="0" w:color="auto"/>
        <w:right w:val="none" w:sz="0" w:space="0" w:color="auto"/>
      </w:divBdr>
    </w:div>
    <w:div w:id="536048128">
      <w:bodyDiv w:val="1"/>
      <w:marLeft w:val="0"/>
      <w:marRight w:val="0"/>
      <w:marTop w:val="0"/>
      <w:marBottom w:val="0"/>
      <w:divBdr>
        <w:top w:val="none" w:sz="0" w:space="0" w:color="auto"/>
        <w:left w:val="none" w:sz="0" w:space="0" w:color="auto"/>
        <w:bottom w:val="none" w:sz="0" w:space="0" w:color="auto"/>
        <w:right w:val="none" w:sz="0" w:space="0" w:color="auto"/>
      </w:divBdr>
    </w:div>
    <w:div w:id="536890342">
      <w:bodyDiv w:val="1"/>
      <w:marLeft w:val="0"/>
      <w:marRight w:val="0"/>
      <w:marTop w:val="0"/>
      <w:marBottom w:val="0"/>
      <w:divBdr>
        <w:top w:val="none" w:sz="0" w:space="0" w:color="auto"/>
        <w:left w:val="none" w:sz="0" w:space="0" w:color="auto"/>
        <w:bottom w:val="none" w:sz="0" w:space="0" w:color="auto"/>
        <w:right w:val="none" w:sz="0" w:space="0" w:color="auto"/>
      </w:divBdr>
    </w:div>
    <w:div w:id="537861098">
      <w:bodyDiv w:val="1"/>
      <w:marLeft w:val="0"/>
      <w:marRight w:val="0"/>
      <w:marTop w:val="0"/>
      <w:marBottom w:val="0"/>
      <w:divBdr>
        <w:top w:val="none" w:sz="0" w:space="0" w:color="auto"/>
        <w:left w:val="none" w:sz="0" w:space="0" w:color="auto"/>
        <w:bottom w:val="none" w:sz="0" w:space="0" w:color="auto"/>
        <w:right w:val="none" w:sz="0" w:space="0" w:color="auto"/>
      </w:divBdr>
    </w:div>
    <w:div w:id="541752461">
      <w:bodyDiv w:val="1"/>
      <w:marLeft w:val="0"/>
      <w:marRight w:val="0"/>
      <w:marTop w:val="0"/>
      <w:marBottom w:val="0"/>
      <w:divBdr>
        <w:top w:val="none" w:sz="0" w:space="0" w:color="auto"/>
        <w:left w:val="none" w:sz="0" w:space="0" w:color="auto"/>
        <w:bottom w:val="none" w:sz="0" w:space="0" w:color="auto"/>
        <w:right w:val="none" w:sz="0" w:space="0" w:color="auto"/>
      </w:divBdr>
    </w:div>
    <w:div w:id="544411978">
      <w:bodyDiv w:val="1"/>
      <w:marLeft w:val="0"/>
      <w:marRight w:val="0"/>
      <w:marTop w:val="0"/>
      <w:marBottom w:val="0"/>
      <w:divBdr>
        <w:top w:val="none" w:sz="0" w:space="0" w:color="auto"/>
        <w:left w:val="none" w:sz="0" w:space="0" w:color="auto"/>
        <w:bottom w:val="none" w:sz="0" w:space="0" w:color="auto"/>
        <w:right w:val="none" w:sz="0" w:space="0" w:color="auto"/>
      </w:divBdr>
    </w:div>
    <w:div w:id="544949904">
      <w:bodyDiv w:val="1"/>
      <w:marLeft w:val="0"/>
      <w:marRight w:val="0"/>
      <w:marTop w:val="0"/>
      <w:marBottom w:val="0"/>
      <w:divBdr>
        <w:top w:val="none" w:sz="0" w:space="0" w:color="auto"/>
        <w:left w:val="none" w:sz="0" w:space="0" w:color="auto"/>
        <w:bottom w:val="none" w:sz="0" w:space="0" w:color="auto"/>
        <w:right w:val="none" w:sz="0" w:space="0" w:color="auto"/>
      </w:divBdr>
    </w:div>
    <w:div w:id="545140577">
      <w:bodyDiv w:val="1"/>
      <w:marLeft w:val="0"/>
      <w:marRight w:val="0"/>
      <w:marTop w:val="0"/>
      <w:marBottom w:val="0"/>
      <w:divBdr>
        <w:top w:val="none" w:sz="0" w:space="0" w:color="auto"/>
        <w:left w:val="none" w:sz="0" w:space="0" w:color="auto"/>
        <w:bottom w:val="none" w:sz="0" w:space="0" w:color="auto"/>
        <w:right w:val="none" w:sz="0" w:space="0" w:color="auto"/>
      </w:divBdr>
    </w:div>
    <w:div w:id="547494803">
      <w:bodyDiv w:val="1"/>
      <w:marLeft w:val="0"/>
      <w:marRight w:val="0"/>
      <w:marTop w:val="0"/>
      <w:marBottom w:val="0"/>
      <w:divBdr>
        <w:top w:val="none" w:sz="0" w:space="0" w:color="auto"/>
        <w:left w:val="none" w:sz="0" w:space="0" w:color="auto"/>
        <w:bottom w:val="none" w:sz="0" w:space="0" w:color="auto"/>
        <w:right w:val="none" w:sz="0" w:space="0" w:color="auto"/>
      </w:divBdr>
    </w:div>
    <w:div w:id="551768135">
      <w:bodyDiv w:val="1"/>
      <w:marLeft w:val="0"/>
      <w:marRight w:val="0"/>
      <w:marTop w:val="0"/>
      <w:marBottom w:val="0"/>
      <w:divBdr>
        <w:top w:val="none" w:sz="0" w:space="0" w:color="auto"/>
        <w:left w:val="none" w:sz="0" w:space="0" w:color="auto"/>
        <w:bottom w:val="none" w:sz="0" w:space="0" w:color="auto"/>
        <w:right w:val="none" w:sz="0" w:space="0" w:color="auto"/>
      </w:divBdr>
    </w:div>
    <w:div w:id="554901147">
      <w:bodyDiv w:val="1"/>
      <w:marLeft w:val="0"/>
      <w:marRight w:val="0"/>
      <w:marTop w:val="0"/>
      <w:marBottom w:val="0"/>
      <w:divBdr>
        <w:top w:val="none" w:sz="0" w:space="0" w:color="auto"/>
        <w:left w:val="none" w:sz="0" w:space="0" w:color="auto"/>
        <w:bottom w:val="none" w:sz="0" w:space="0" w:color="auto"/>
        <w:right w:val="none" w:sz="0" w:space="0" w:color="auto"/>
      </w:divBdr>
    </w:div>
    <w:div w:id="559053060">
      <w:bodyDiv w:val="1"/>
      <w:marLeft w:val="0"/>
      <w:marRight w:val="0"/>
      <w:marTop w:val="0"/>
      <w:marBottom w:val="0"/>
      <w:divBdr>
        <w:top w:val="none" w:sz="0" w:space="0" w:color="auto"/>
        <w:left w:val="none" w:sz="0" w:space="0" w:color="auto"/>
        <w:bottom w:val="none" w:sz="0" w:space="0" w:color="auto"/>
        <w:right w:val="none" w:sz="0" w:space="0" w:color="auto"/>
      </w:divBdr>
    </w:div>
    <w:div w:id="564607704">
      <w:bodyDiv w:val="1"/>
      <w:marLeft w:val="0"/>
      <w:marRight w:val="0"/>
      <w:marTop w:val="0"/>
      <w:marBottom w:val="0"/>
      <w:divBdr>
        <w:top w:val="none" w:sz="0" w:space="0" w:color="auto"/>
        <w:left w:val="none" w:sz="0" w:space="0" w:color="auto"/>
        <w:bottom w:val="none" w:sz="0" w:space="0" w:color="auto"/>
        <w:right w:val="none" w:sz="0" w:space="0" w:color="auto"/>
      </w:divBdr>
    </w:div>
    <w:div w:id="565923172">
      <w:bodyDiv w:val="1"/>
      <w:marLeft w:val="0"/>
      <w:marRight w:val="0"/>
      <w:marTop w:val="0"/>
      <w:marBottom w:val="0"/>
      <w:divBdr>
        <w:top w:val="none" w:sz="0" w:space="0" w:color="auto"/>
        <w:left w:val="none" w:sz="0" w:space="0" w:color="auto"/>
        <w:bottom w:val="none" w:sz="0" w:space="0" w:color="auto"/>
        <w:right w:val="none" w:sz="0" w:space="0" w:color="auto"/>
      </w:divBdr>
    </w:div>
    <w:div w:id="568998783">
      <w:bodyDiv w:val="1"/>
      <w:marLeft w:val="0"/>
      <w:marRight w:val="0"/>
      <w:marTop w:val="0"/>
      <w:marBottom w:val="0"/>
      <w:divBdr>
        <w:top w:val="none" w:sz="0" w:space="0" w:color="auto"/>
        <w:left w:val="none" w:sz="0" w:space="0" w:color="auto"/>
        <w:bottom w:val="none" w:sz="0" w:space="0" w:color="auto"/>
        <w:right w:val="none" w:sz="0" w:space="0" w:color="auto"/>
      </w:divBdr>
    </w:div>
    <w:div w:id="575172057">
      <w:bodyDiv w:val="1"/>
      <w:marLeft w:val="0"/>
      <w:marRight w:val="0"/>
      <w:marTop w:val="0"/>
      <w:marBottom w:val="0"/>
      <w:divBdr>
        <w:top w:val="none" w:sz="0" w:space="0" w:color="auto"/>
        <w:left w:val="none" w:sz="0" w:space="0" w:color="auto"/>
        <w:bottom w:val="none" w:sz="0" w:space="0" w:color="auto"/>
        <w:right w:val="none" w:sz="0" w:space="0" w:color="auto"/>
      </w:divBdr>
    </w:div>
    <w:div w:id="575481025">
      <w:bodyDiv w:val="1"/>
      <w:marLeft w:val="0"/>
      <w:marRight w:val="0"/>
      <w:marTop w:val="0"/>
      <w:marBottom w:val="0"/>
      <w:divBdr>
        <w:top w:val="none" w:sz="0" w:space="0" w:color="auto"/>
        <w:left w:val="none" w:sz="0" w:space="0" w:color="auto"/>
        <w:bottom w:val="none" w:sz="0" w:space="0" w:color="auto"/>
        <w:right w:val="none" w:sz="0" w:space="0" w:color="auto"/>
      </w:divBdr>
    </w:div>
    <w:div w:id="583074205">
      <w:bodyDiv w:val="1"/>
      <w:marLeft w:val="0"/>
      <w:marRight w:val="0"/>
      <w:marTop w:val="0"/>
      <w:marBottom w:val="0"/>
      <w:divBdr>
        <w:top w:val="none" w:sz="0" w:space="0" w:color="auto"/>
        <w:left w:val="none" w:sz="0" w:space="0" w:color="auto"/>
        <w:bottom w:val="none" w:sz="0" w:space="0" w:color="auto"/>
        <w:right w:val="none" w:sz="0" w:space="0" w:color="auto"/>
      </w:divBdr>
    </w:div>
    <w:div w:id="583993596">
      <w:bodyDiv w:val="1"/>
      <w:marLeft w:val="0"/>
      <w:marRight w:val="0"/>
      <w:marTop w:val="0"/>
      <w:marBottom w:val="0"/>
      <w:divBdr>
        <w:top w:val="none" w:sz="0" w:space="0" w:color="auto"/>
        <w:left w:val="none" w:sz="0" w:space="0" w:color="auto"/>
        <w:bottom w:val="none" w:sz="0" w:space="0" w:color="auto"/>
        <w:right w:val="none" w:sz="0" w:space="0" w:color="auto"/>
      </w:divBdr>
    </w:div>
    <w:div w:id="585116285">
      <w:bodyDiv w:val="1"/>
      <w:marLeft w:val="0"/>
      <w:marRight w:val="0"/>
      <w:marTop w:val="0"/>
      <w:marBottom w:val="0"/>
      <w:divBdr>
        <w:top w:val="none" w:sz="0" w:space="0" w:color="auto"/>
        <w:left w:val="none" w:sz="0" w:space="0" w:color="auto"/>
        <w:bottom w:val="none" w:sz="0" w:space="0" w:color="auto"/>
        <w:right w:val="none" w:sz="0" w:space="0" w:color="auto"/>
      </w:divBdr>
    </w:div>
    <w:div w:id="588077877">
      <w:bodyDiv w:val="1"/>
      <w:marLeft w:val="0"/>
      <w:marRight w:val="0"/>
      <w:marTop w:val="0"/>
      <w:marBottom w:val="0"/>
      <w:divBdr>
        <w:top w:val="none" w:sz="0" w:space="0" w:color="auto"/>
        <w:left w:val="none" w:sz="0" w:space="0" w:color="auto"/>
        <w:bottom w:val="none" w:sz="0" w:space="0" w:color="auto"/>
        <w:right w:val="none" w:sz="0" w:space="0" w:color="auto"/>
      </w:divBdr>
    </w:div>
    <w:div w:id="601886582">
      <w:bodyDiv w:val="1"/>
      <w:marLeft w:val="0"/>
      <w:marRight w:val="0"/>
      <w:marTop w:val="0"/>
      <w:marBottom w:val="0"/>
      <w:divBdr>
        <w:top w:val="none" w:sz="0" w:space="0" w:color="auto"/>
        <w:left w:val="none" w:sz="0" w:space="0" w:color="auto"/>
        <w:bottom w:val="none" w:sz="0" w:space="0" w:color="auto"/>
        <w:right w:val="none" w:sz="0" w:space="0" w:color="auto"/>
      </w:divBdr>
    </w:div>
    <w:div w:id="602152101">
      <w:bodyDiv w:val="1"/>
      <w:marLeft w:val="0"/>
      <w:marRight w:val="0"/>
      <w:marTop w:val="0"/>
      <w:marBottom w:val="0"/>
      <w:divBdr>
        <w:top w:val="none" w:sz="0" w:space="0" w:color="auto"/>
        <w:left w:val="none" w:sz="0" w:space="0" w:color="auto"/>
        <w:bottom w:val="none" w:sz="0" w:space="0" w:color="auto"/>
        <w:right w:val="none" w:sz="0" w:space="0" w:color="auto"/>
      </w:divBdr>
    </w:div>
    <w:div w:id="602687985">
      <w:bodyDiv w:val="1"/>
      <w:marLeft w:val="0"/>
      <w:marRight w:val="0"/>
      <w:marTop w:val="0"/>
      <w:marBottom w:val="0"/>
      <w:divBdr>
        <w:top w:val="none" w:sz="0" w:space="0" w:color="auto"/>
        <w:left w:val="none" w:sz="0" w:space="0" w:color="auto"/>
        <w:bottom w:val="none" w:sz="0" w:space="0" w:color="auto"/>
        <w:right w:val="none" w:sz="0" w:space="0" w:color="auto"/>
      </w:divBdr>
    </w:div>
    <w:div w:id="607548255">
      <w:bodyDiv w:val="1"/>
      <w:marLeft w:val="0"/>
      <w:marRight w:val="0"/>
      <w:marTop w:val="0"/>
      <w:marBottom w:val="0"/>
      <w:divBdr>
        <w:top w:val="none" w:sz="0" w:space="0" w:color="auto"/>
        <w:left w:val="none" w:sz="0" w:space="0" w:color="auto"/>
        <w:bottom w:val="none" w:sz="0" w:space="0" w:color="auto"/>
        <w:right w:val="none" w:sz="0" w:space="0" w:color="auto"/>
      </w:divBdr>
    </w:div>
    <w:div w:id="609360657">
      <w:bodyDiv w:val="1"/>
      <w:marLeft w:val="0"/>
      <w:marRight w:val="0"/>
      <w:marTop w:val="0"/>
      <w:marBottom w:val="0"/>
      <w:divBdr>
        <w:top w:val="none" w:sz="0" w:space="0" w:color="auto"/>
        <w:left w:val="none" w:sz="0" w:space="0" w:color="auto"/>
        <w:bottom w:val="none" w:sz="0" w:space="0" w:color="auto"/>
        <w:right w:val="none" w:sz="0" w:space="0" w:color="auto"/>
      </w:divBdr>
    </w:div>
    <w:div w:id="611518658">
      <w:bodyDiv w:val="1"/>
      <w:marLeft w:val="0"/>
      <w:marRight w:val="0"/>
      <w:marTop w:val="0"/>
      <w:marBottom w:val="0"/>
      <w:divBdr>
        <w:top w:val="none" w:sz="0" w:space="0" w:color="auto"/>
        <w:left w:val="none" w:sz="0" w:space="0" w:color="auto"/>
        <w:bottom w:val="none" w:sz="0" w:space="0" w:color="auto"/>
        <w:right w:val="none" w:sz="0" w:space="0" w:color="auto"/>
      </w:divBdr>
    </w:div>
    <w:div w:id="611939480">
      <w:bodyDiv w:val="1"/>
      <w:marLeft w:val="0"/>
      <w:marRight w:val="0"/>
      <w:marTop w:val="0"/>
      <w:marBottom w:val="0"/>
      <w:divBdr>
        <w:top w:val="none" w:sz="0" w:space="0" w:color="auto"/>
        <w:left w:val="none" w:sz="0" w:space="0" w:color="auto"/>
        <w:bottom w:val="none" w:sz="0" w:space="0" w:color="auto"/>
        <w:right w:val="none" w:sz="0" w:space="0" w:color="auto"/>
      </w:divBdr>
    </w:div>
    <w:div w:id="612446063">
      <w:bodyDiv w:val="1"/>
      <w:marLeft w:val="0"/>
      <w:marRight w:val="0"/>
      <w:marTop w:val="0"/>
      <w:marBottom w:val="0"/>
      <w:divBdr>
        <w:top w:val="none" w:sz="0" w:space="0" w:color="auto"/>
        <w:left w:val="none" w:sz="0" w:space="0" w:color="auto"/>
        <w:bottom w:val="none" w:sz="0" w:space="0" w:color="auto"/>
        <w:right w:val="none" w:sz="0" w:space="0" w:color="auto"/>
      </w:divBdr>
    </w:div>
    <w:div w:id="614756225">
      <w:bodyDiv w:val="1"/>
      <w:marLeft w:val="0"/>
      <w:marRight w:val="0"/>
      <w:marTop w:val="0"/>
      <w:marBottom w:val="0"/>
      <w:divBdr>
        <w:top w:val="none" w:sz="0" w:space="0" w:color="auto"/>
        <w:left w:val="none" w:sz="0" w:space="0" w:color="auto"/>
        <w:bottom w:val="none" w:sz="0" w:space="0" w:color="auto"/>
        <w:right w:val="none" w:sz="0" w:space="0" w:color="auto"/>
      </w:divBdr>
    </w:div>
    <w:div w:id="623773827">
      <w:bodyDiv w:val="1"/>
      <w:marLeft w:val="0"/>
      <w:marRight w:val="0"/>
      <w:marTop w:val="0"/>
      <w:marBottom w:val="0"/>
      <w:divBdr>
        <w:top w:val="none" w:sz="0" w:space="0" w:color="auto"/>
        <w:left w:val="none" w:sz="0" w:space="0" w:color="auto"/>
        <w:bottom w:val="none" w:sz="0" w:space="0" w:color="auto"/>
        <w:right w:val="none" w:sz="0" w:space="0" w:color="auto"/>
      </w:divBdr>
    </w:div>
    <w:div w:id="632058446">
      <w:bodyDiv w:val="1"/>
      <w:marLeft w:val="0"/>
      <w:marRight w:val="0"/>
      <w:marTop w:val="0"/>
      <w:marBottom w:val="0"/>
      <w:divBdr>
        <w:top w:val="none" w:sz="0" w:space="0" w:color="auto"/>
        <w:left w:val="none" w:sz="0" w:space="0" w:color="auto"/>
        <w:bottom w:val="none" w:sz="0" w:space="0" w:color="auto"/>
        <w:right w:val="none" w:sz="0" w:space="0" w:color="auto"/>
      </w:divBdr>
    </w:div>
    <w:div w:id="635570907">
      <w:bodyDiv w:val="1"/>
      <w:marLeft w:val="0"/>
      <w:marRight w:val="0"/>
      <w:marTop w:val="0"/>
      <w:marBottom w:val="0"/>
      <w:divBdr>
        <w:top w:val="none" w:sz="0" w:space="0" w:color="auto"/>
        <w:left w:val="none" w:sz="0" w:space="0" w:color="auto"/>
        <w:bottom w:val="none" w:sz="0" w:space="0" w:color="auto"/>
        <w:right w:val="none" w:sz="0" w:space="0" w:color="auto"/>
      </w:divBdr>
    </w:div>
    <w:div w:id="638998222">
      <w:bodyDiv w:val="1"/>
      <w:marLeft w:val="0"/>
      <w:marRight w:val="0"/>
      <w:marTop w:val="0"/>
      <w:marBottom w:val="0"/>
      <w:divBdr>
        <w:top w:val="none" w:sz="0" w:space="0" w:color="auto"/>
        <w:left w:val="none" w:sz="0" w:space="0" w:color="auto"/>
        <w:bottom w:val="none" w:sz="0" w:space="0" w:color="auto"/>
        <w:right w:val="none" w:sz="0" w:space="0" w:color="auto"/>
      </w:divBdr>
    </w:div>
    <w:div w:id="640234736">
      <w:bodyDiv w:val="1"/>
      <w:marLeft w:val="0"/>
      <w:marRight w:val="0"/>
      <w:marTop w:val="0"/>
      <w:marBottom w:val="0"/>
      <w:divBdr>
        <w:top w:val="none" w:sz="0" w:space="0" w:color="auto"/>
        <w:left w:val="none" w:sz="0" w:space="0" w:color="auto"/>
        <w:bottom w:val="none" w:sz="0" w:space="0" w:color="auto"/>
        <w:right w:val="none" w:sz="0" w:space="0" w:color="auto"/>
      </w:divBdr>
    </w:div>
    <w:div w:id="641617568">
      <w:bodyDiv w:val="1"/>
      <w:marLeft w:val="0"/>
      <w:marRight w:val="0"/>
      <w:marTop w:val="0"/>
      <w:marBottom w:val="0"/>
      <w:divBdr>
        <w:top w:val="none" w:sz="0" w:space="0" w:color="auto"/>
        <w:left w:val="none" w:sz="0" w:space="0" w:color="auto"/>
        <w:bottom w:val="none" w:sz="0" w:space="0" w:color="auto"/>
        <w:right w:val="none" w:sz="0" w:space="0" w:color="auto"/>
      </w:divBdr>
    </w:div>
    <w:div w:id="647445404">
      <w:bodyDiv w:val="1"/>
      <w:marLeft w:val="0"/>
      <w:marRight w:val="0"/>
      <w:marTop w:val="0"/>
      <w:marBottom w:val="0"/>
      <w:divBdr>
        <w:top w:val="none" w:sz="0" w:space="0" w:color="auto"/>
        <w:left w:val="none" w:sz="0" w:space="0" w:color="auto"/>
        <w:bottom w:val="none" w:sz="0" w:space="0" w:color="auto"/>
        <w:right w:val="none" w:sz="0" w:space="0" w:color="auto"/>
      </w:divBdr>
    </w:div>
    <w:div w:id="653604822">
      <w:bodyDiv w:val="1"/>
      <w:marLeft w:val="0"/>
      <w:marRight w:val="0"/>
      <w:marTop w:val="0"/>
      <w:marBottom w:val="0"/>
      <w:divBdr>
        <w:top w:val="none" w:sz="0" w:space="0" w:color="auto"/>
        <w:left w:val="none" w:sz="0" w:space="0" w:color="auto"/>
        <w:bottom w:val="none" w:sz="0" w:space="0" w:color="auto"/>
        <w:right w:val="none" w:sz="0" w:space="0" w:color="auto"/>
      </w:divBdr>
    </w:div>
    <w:div w:id="654070694">
      <w:bodyDiv w:val="1"/>
      <w:marLeft w:val="0"/>
      <w:marRight w:val="0"/>
      <w:marTop w:val="0"/>
      <w:marBottom w:val="0"/>
      <w:divBdr>
        <w:top w:val="none" w:sz="0" w:space="0" w:color="auto"/>
        <w:left w:val="none" w:sz="0" w:space="0" w:color="auto"/>
        <w:bottom w:val="none" w:sz="0" w:space="0" w:color="auto"/>
        <w:right w:val="none" w:sz="0" w:space="0" w:color="auto"/>
      </w:divBdr>
    </w:div>
    <w:div w:id="657154475">
      <w:bodyDiv w:val="1"/>
      <w:marLeft w:val="0"/>
      <w:marRight w:val="0"/>
      <w:marTop w:val="0"/>
      <w:marBottom w:val="0"/>
      <w:divBdr>
        <w:top w:val="none" w:sz="0" w:space="0" w:color="auto"/>
        <w:left w:val="none" w:sz="0" w:space="0" w:color="auto"/>
        <w:bottom w:val="none" w:sz="0" w:space="0" w:color="auto"/>
        <w:right w:val="none" w:sz="0" w:space="0" w:color="auto"/>
      </w:divBdr>
    </w:div>
    <w:div w:id="668141806">
      <w:bodyDiv w:val="1"/>
      <w:marLeft w:val="0"/>
      <w:marRight w:val="0"/>
      <w:marTop w:val="0"/>
      <w:marBottom w:val="0"/>
      <w:divBdr>
        <w:top w:val="none" w:sz="0" w:space="0" w:color="auto"/>
        <w:left w:val="none" w:sz="0" w:space="0" w:color="auto"/>
        <w:bottom w:val="none" w:sz="0" w:space="0" w:color="auto"/>
        <w:right w:val="none" w:sz="0" w:space="0" w:color="auto"/>
      </w:divBdr>
    </w:div>
    <w:div w:id="669909445">
      <w:bodyDiv w:val="1"/>
      <w:marLeft w:val="0"/>
      <w:marRight w:val="0"/>
      <w:marTop w:val="0"/>
      <w:marBottom w:val="0"/>
      <w:divBdr>
        <w:top w:val="none" w:sz="0" w:space="0" w:color="auto"/>
        <w:left w:val="none" w:sz="0" w:space="0" w:color="auto"/>
        <w:bottom w:val="none" w:sz="0" w:space="0" w:color="auto"/>
        <w:right w:val="none" w:sz="0" w:space="0" w:color="auto"/>
      </w:divBdr>
    </w:div>
    <w:div w:id="673536561">
      <w:bodyDiv w:val="1"/>
      <w:marLeft w:val="0"/>
      <w:marRight w:val="0"/>
      <w:marTop w:val="0"/>
      <w:marBottom w:val="0"/>
      <w:divBdr>
        <w:top w:val="none" w:sz="0" w:space="0" w:color="auto"/>
        <w:left w:val="none" w:sz="0" w:space="0" w:color="auto"/>
        <w:bottom w:val="none" w:sz="0" w:space="0" w:color="auto"/>
        <w:right w:val="none" w:sz="0" w:space="0" w:color="auto"/>
      </w:divBdr>
    </w:div>
    <w:div w:id="673801152">
      <w:bodyDiv w:val="1"/>
      <w:marLeft w:val="0"/>
      <w:marRight w:val="0"/>
      <w:marTop w:val="0"/>
      <w:marBottom w:val="0"/>
      <w:divBdr>
        <w:top w:val="none" w:sz="0" w:space="0" w:color="auto"/>
        <w:left w:val="none" w:sz="0" w:space="0" w:color="auto"/>
        <w:bottom w:val="none" w:sz="0" w:space="0" w:color="auto"/>
        <w:right w:val="none" w:sz="0" w:space="0" w:color="auto"/>
      </w:divBdr>
    </w:div>
    <w:div w:id="674765494">
      <w:bodyDiv w:val="1"/>
      <w:marLeft w:val="0"/>
      <w:marRight w:val="0"/>
      <w:marTop w:val="0"/>
      <w:marBottom w:val="0"/>
      <w:divBdr>
        <w:top w:val="none" w:sz="0" w:space="0" w:color="auto"/>
        <w:left w:val="none" w:sz="0" w:space="0" w:color="auto"/>
        <w:bottom w:val="none" w:sz="0" w:space="0" w:color="auto"/>
        <w:right w:val="none" w:sz="0" w:space="0" w:color="auto"/>
      </w:divBdr>
    </w:div>
    <w:div w:id="679351117">
      <w:bodyDiv w:val="1"/>
      <w:marLeft w:val="0"/>
      <w:marRight w:val="0"/>
      <w:marTop w:val="0"/>
      <w:marBottom w:val="0"/>
      <w:divBdr>
        <w:top w:val="none" w:sz="0" w:space="0" w:color="auto"/>
        <w:left w:val="none" w:sz="0" w:space="0" w:color="auto"/>
        <w:bottom w:val="none" w:sz="0" w:space="0" w:color="auto"/>
        <w:right w:val="none" w:sz="0" w:space="0" w:color="auto"/>
      </w:divBdr>
    </w:div>
    <w:div w:id="686178917">
      <w:bodyDiv w:val="1"/>
      <w:marLeft w:val="0"/>
      <w:marRight w:val="0"/>
      <w:marTop w:val="0"/>
      <w:marBottom w:val="0"/>
      <w:divBdr>
        <w:top w:val="none" w:sz="0" w:space="0" w:color="auto"/>
        <w:left w:val="none" w:sz="0" w:space="0" w:color="auto"/>
        <w:bottom w:val="none" w:sz="0" w:space="0" w:color="auto"/>
        <w:right w:val="none" w:sz="0" w:space="0" w:color="auto"/>
      </w:divBdr>
    </w:div>
    <w:div w:id="688337571">
      <w:bodyDiv w:val="1"/>
      <w:marLeft w:val="0"/>
      <w:marRight w:val="0"/>
      <w:marTop w:val="0"/>
      <w:marBottom w:val="0"/>
      <w:divBdr>
        <w:top w:val="none" w:sz="0" w:space="0" w:color="auto"/>
        <w:left w:val="none" w:sz="0" w:space="0" w:color="auto"/>
        <w:bottom w:val="none" w:sz="0" w:space="0" w:color="auto"/>
        <w:right w:val="none" w:sz="0" w:space="0" w:color="auto"/>
      </w:divBdr>
    </w:div>
    <w:div w:id="690952973">
      <w:bodyDiv w:val="1"/>
      <w:marLeft w:val="0"/>
      <w:marRight w:val="0"/>
      <w:marTop w:val="0"/>
      <w:marBottom w:val="0"/>
      <w:divBdr>
        <w:top w:val="none" w:sz="0" w:space="0" w:color="auto"/>
        <w:left w:val="none" w:sz="0" w:space="0" w:color="auto"/>
        <w:bottom w:val="none" w:sz="0" w:space="0" w:color="auto"/>
        <w:right w:val="none" w:sz="0" w:space="0" w:color="auto"/>
      </w:divBdr>
    </w:div>
    <w:div w:id="693306451">
      <w:bodyDiv w:val="1"/>
      <w:marLeft w:val="0"/>
      <w:marRight w:val="0"/>
      <w:marTop w:val="0"/>
      <w:marBottom w:val="0"/>
      <w:divBdr>
        <w:top w:val="none" w:sz="0" w:space="0" w:color="auto"/>
        <w:left w:val="none" w:sz="0" w:space="0" w:color="auto"/>
        <w:bottom w:val="none" w:sz="0" w:space="0" w:color="auto"/>
        <w:right w:val="none" w:sz="0" w:space="0" w:color="auto"/>
      </w:divBdr>
    </w:div>
    <w:div w:id="698746442">
      <w:bodyDiv w:val="1"/>
      <w:marLeft w:val="0"/>
      <w:marRight w:val="0"/>
      <w:marTop w:val="0"/>
      <w:marBottom w:val="0"/>
      <w:divBdr>
        <w:top w:val="none" w:sz="0" w:space="0" w:color="auto"/>
        <w:left w:val="none" w:sz="0" w:space="0" w:color="auto"/>
        <w:bottom w:val="none" w:sz="0" w:space="0" w:color="auto"/>
        <w:right w:val="none" w:sz="0" w:space="0" w:color="auto"/>
      </w:divBdr>
    </w:div>
    <w:div w:id="701637751">
      <w:bodyDiv w:val="1"/>
      <w:marLeft w:val="0"/>
      <w:marRight w:val="0"/>
      <w:marTop w:val="0"/>
      <w:marBottom w:val="0"/>
      <w:divBdr>
        <w:top w:val="none" w:sz="0" w:space="0" w:color="auto"/>
        <w:left w:val="none" w:sz="0" w:space="0" w:color="auto"/>
        <w:bottom w:val="none" w:sz="0" w:space="0" w:color="auto"/>
        <w:right w:val="none" w:sz="0" w:space="0" w:color="auto"/>
      </w:divBdr>
    </w:div>
    <w:div w:id="704406122">
      <w:bodyDiv w:val="1"/>
      <w:marLeft w:val="0"/>
      <w:marRight w:val="0"/>
      <w:marTop w:val="0"/>
      <w:marBottom w:val="0"/>
      <w:divBdr>
        <w:top w:val="none" w:sz="0" w:space="0" w:color="auto"/>
        <w:left w:val="none" w:sz="0" w:space="0" w:color="auto"/>
        <w:bottom w:val="none" w:sz="0" w:space="0" w:color="auto"/>
        <w:right w:val="none" w:sz="0" w:space="0" w:color="auto"/>
      </w:divBdr>
    </w:div>
    <w:div w:id="711735713">
      <w:bodyDiv w:val="1"/>
      <w:marLeft w:val="0"/>
      <w:marRight w:val="0"/>
      <w:marTop w:val="0"/>
      <w:marBottom w:val="0"/>
      <w:divBdr>
        <w:top w:val="none" w:sz="0" w:space="0" w:color="auto"/>
        <w:left w:val="none" w:sz="0" w:space="0" w:color="auto"/>
        <w:bottom w:val="none" w:sz="0" w:space="0" w:color="auto"/>
        <w:right w:val="none" w:sz="0" w:space="0" w:color="auto"/>
      </w:divBdr>
    </w:div>
    <w:div w:id="712538371">
      <w:bodyDiv w:val="1"/>
      <w:marLeft w:val="0"/>
      <w:marRight w:val="0"/>
      <w:marTop w:val="0"/>
      <w:marBottom w:val="0"/>
      <w:divBdr>
        <w:top w:val="none" w:sz="0" w:space="0" w:color="auto"/>
        <w:left w:val="none" w:sz="0" w:space="0" w:color="auto"/>
        <w:bottom w:val="none" w:sz="0" w:space="0" w:color="auto"/>
        <w:right w:val="none" w:sz="0" w:space="0" w:color="auto"/>
      </w:divBdr>
    </w:div>
    <w:div w:id="712853428">
      <w:bodyDiv w:val="1"/>
      <w:marLeft w:val="0"/>
      <w:marRight w:val="0"/>
      <w:marTop w:val="0"/>
      <w:marBottom w:val="0"/>
      <w:divBdr>
        <w:top w:val="none" w:sz="0" w:space="0" w:color="auto"/>
        <w:left w:val="none" w:sz="0" w:space="0" w:color="auto"/>
        <w:bottom w:val="none" w:sz="0" w:space="0" w:color="auto"/>
        <w:right w:val="none" w:sz="0" w:space="0" w:color="auto"/>
      </w:divBdr>
    </w:div>
    <w:div w:id="715351714">
      <w:bodyDiv w:val="1"/>
      <w:marLeft w:val="0"/>
      <w:marRight w:val="0"/>
      <w:marTop w:val="0"/>
      <w:marBottom w:val="0"/>
      <w:divBdr>
        <w:top w:val="none" w:sz="0" w:space="0" w:color="auto"/>
        <w:left w:val="none" w:sz="0" w:space="0" w:color="auto"/>
        <w:bottom w:val="none" w:sz="0" w:space="0" w:color="auto"/>
        <w:right w:val="none" w:sz="0" w:space="0" w:color="auto"/>
      </w:divBdr>
    </w:div>
    <w:div w:id="718672672">
      <w:bodyDiv w:val="1"/>
      <w:marLeft w:val="0"/>
      <w:marRight w:val="0"/>
      <w:marTop w:val="0"/>
      <w:marBottom w:val="0"/>
      <w:divBdr>
        <w:top w:val="none" w:sz="0" w:space="0" w:color="auto"/>
        <w:left w:val="none" w:sz="0" w:space="0" w:color="auto"/>
        <w:bottom w:val="none" w:sz="0" w:space="0" w:color="auto"/>
        <w:right w:val="none" w:sz="0" w:space="0" w:color="auto"/>
      </w:divBdr>
    </w:div>
    <w:div w:id="724328480">
      <w:bodyDiv w:val="1"/>
      <w:marLeft w:val="0"/>
      <w:marRight w:val="0"/>
      <w:marTop w:val="0"/>
      <w:marBottom w:val="0"/>
      <w:divBdr>
        <w:top w:val="none" w:sz="0" w:space="0" w:color="auto"/>
        <w:left w:val="none" w:sz="0" w:space="0" w:color="auto"/>
        <w:bottom w:val="none" w:sz="0" w:space="0" w:color="auto"/>
        <w:right w:val="none" w:sz="0" w:space="0" w:color="auto"/>
      </w:divBdr>
    </w:div>
    <w:div w:id="729157698">
      <w:bodyDiv w:val="1"/>
      <w:marLeft w:val="0"/>
      <w:marRight w:val="0"/>
      <w:marTop w:val="0"/>
      <w:marBottom w:val="0"/>
      <w:divBdr>
        <w:top w:val="none" w:sz="0" w:space="0" w:color="auto"/>
        <w:left w:val="none" w:sz="0" w:space="0" w:color="auto"/>
        <w:bottom w:val="none" w:sz="0" w:space="0" w:color="auto"/>
        <w:right w:val="none" w:sz="0" w:space="0" w:color="auto"/>
      </w:divBdr>
    </w:div>
    <w:div w:id="729230808">
      <w:bodyDiv w:val="1"/>
      <w:marLeft w:val="0"/>
      <w:marRight w:val="0"/>
      <w:marTop w:val="0"/>
      <w:marBottom w:val="0"/>
      <w:divBdr>
        <w:top w:val="none" w:sz="0" w:space="0" w:color="auto"/>
        <w:left w:val="none" w:sz="0" w:space="0" w:color="auto"/>
        <w:bottom w:val="none" w:sz="0" w:space="0" w:color="auto"/>
        <w:right w:val="none" w:sz="0" w:space="0" w:color="auto"/>
      </w:divBdr>
    </w:div>
    <w:div w:id="730738834">
      <w:bodyDiv w:val="1"/>
      <w:marLeft w:val="0"/>
      <w:marRight w:val="0"/>
      <w:marTop w:val="0"/>
      <w:marBottom w:val="0"/>
      <w:divBdr>
        <w:top w:val="none" w:sz="0" w:space="0" w:color="auto"/>
        <w:left w:val="none" w:sz="0" w:space="0" w:color="auto"/>
        <w:bottom w:val="none" w:sz="0" w:space="0" w:color="auto"/>
        <w:right w:val="none" w:sz="0" w:space="0" w:color="auto"/>
      </w:divBdr>
    </w:div>
    <w:div w:id="733235899">
      <w:bodyDiv w:val="1"/>
      <w:marLeft w:val="0"/>
      <w:marRight w:val="0"/>
      <w:marTop w:val="0"/>
      <w:marBottom w:val="0"/>
      <w:divBdr>
        <w:top w:val="none" w:sz="0" w:space="0" w:color="auto"/>
        <w:left w:val="none" w:sz="0" w:space="0" w:color="auto"/>
        <w:bottom w:val="none" w:sz="0" w:space="0" w:color="auto"/>
        <w:right w:val="none" w:sz="0" w:space="0" w:color="auto"/>
      </w:divBdr>
    </w:div>
    <w:div w:id="741567256">
      <w:bodyDiv w:val="1"/>
      <w:marLeft w:val="0"/>
      <w:marRight w:val="0"/>
      <w:marTop w:val="0"/>
      <w:marBottom w:val="0"/>
      <w:divBdr>
        <w:top w:val="none" w:sz="0" w:space="0" w:color="auto"/>
        <w:left w:val="none" w:sz="0" w:space="0" w:color="auto"/>
        <w:bottom w:val="none" w:sz="0" w:space="0" w:color="auto"/>
        <w:right w:val="none" w:sz="0" w:space="0" w:color="auto"/>
      </w:divBdr>
    </w:div>
    <w:div w:id="746466432">
      <w:bodyDiv w:val="1"/>
      <w:marLeft w:val="0"/>
      <w:marRight w:val="0"/>
      <w:marTop w:val="0"/>
      <w:marBottom w:val="0"/>
      <w:divBdr>
        <w:top w:val="none" w:sz="0" w:space="0" w:color="auto"/>
        <w:left w:val="none" w:sz="0" w:space="0" w:color="auto"/>
        <w:bottom w:val="none" w:sz="0" w:space="0" w:color="auto"/>
        <w:right w:val="none" w:sz="0" w:space="0" w:color="auto"/>
      </w:divBdr>
    </w:div>
    <w:div w:id="749155005">
      <w:bodyDiv w:val="1"/>
      <w:marLeft w:val="0"/>
      <w:marRight w:val="0"/>
      <w:marTop w:val="0"/>
      <w:marBottom w:val="0"/>
      <w:divBdr>
        <w:top w:val="none" w:sz="0" w:space="0" w:color="auto"/>
        <w:left w:val="none" w:sz="0" w:space="0" w:color="auto"/>
        <w:bottom w:val="none" w:sz="0" w:space="0" w:color="auto"/>
        <w:right w:val="none" w:sz="0" w:space="0" w:color="auto"/>
      </w:divBdr>
    </w:div>
    <w:div w:id="753279833">
      <w:bodyDiv w:val="1"/>
      <w:marLeft w:val="0"/>
      <w:marRight w:val="0"/>
      <w:marTop w:val="0"/>
      <w:marBottom w:val="0"/>
      <w:divBdr>
        <w:top w:val="none" w:sz="0" w:space="0" w:color="auto"/>
        <w:left w:val="none" w:sz="0" w:space="0" w:color="auto"/>
        <w:bottom w:val="none" w:sz="0" w:space="0" w:color="auto"/>
        <w:right w:val="none" w:sz="0" w:space="0" w:color="auto"/>
      </w:divBdr>
    </w:div>
    <w:div w:id="753479797">
      <w:bodyDiv w:val="1"/>
      <w:marLeft w:val="0"/>
      <w:marRight w:val="0"/>
      <w:marTop w:val="0"/>
      <w:marBottom w:val="0"/>
      <w:divBdr>
        <w:top w:val="none" w:sz="0" w:space="0" w:color="auto"/>
        <w:left w:val="none" w:sz="0" w:space="0" w:color="auto"/>
        <w:bottom w:val="none" w:sz="0" w:space="0" w:color="auto"/>
        <w:right w:val="none" w:sz="0" w:space="0" w:color="auto"/>
      </w:divBdr>
    </w:div>
    <w:div w:id="754980865">
      <w:bodyDiv w:val="1"/>
      <w:marLeft w:val="0"/>
      <w:marRight w:val="0"/>
      <w:marTop w:val="0"/>
      <w:marBottom w:val="0"/>
      <w:divBdr>
        <w:top w:val="none" w:sz="0" w:space="0" w:color="auto"/>
        <w:left w:val="none" w:sz="0" w:space="0" w:color="auto"/>
        <w:bottom w:val="none" w:sz="0" w:space="0" w:color="auto"/>
        <w:right w:val="none" w:sz="0" w:space="0" w:color="auto"/>
      </w:divBdr>
    </w:div>
    <w:div w:id="755977242">
      <w:bodyDiv w:val="1"/>
      <w:marLeft w:val="0"/>
      <w:marRight w:val="0"/>
      <w:marTop w:val="0"/>
      <w:marBottom w:val="0"/>
      <w:divBdr>
        <w:top w:val="none" w:sz="0" w:space="0" w:color="auto"/>
        <w:left w:val="none" w:sz="0" w:space="0" w:color="auto"/>
        <w:bottom w:val="none" w:sz="0" w:space="0" w:color="auto"/>
        <w:right w:val="none" w:sz="0" w:space="0" w:color="auto"/>
      </w:divBdr>
    </w:div>
    <w:div w:id="757167329">
      <w:bodyDiv w:val="1"/>
      <w:marLeft w:val="0"/>
      <w:marRight w:val="0"/>
      <w:marTop w:val="0"/>
      <w:marBottom w:val="0"/>
      <w:divBdr>
        <w:top w:val="none" w:sz="0" w:space="0" w:color="auto"/>
        <w:left w:val="none" w:sz="0" w:space="0" w:color="auto"/>
        <w:bottom w:val="none" w:sz="0" w:space="0" w:color="auto"/>
        <w:right w:val="none" w:sz="0" w:space="0" w:color="auto"/>
      </w:divBdr>
    </w:div>
    <w:div w:id="761533232">
      <w:bodyDiv w:val="1"/>
      <w:marLeft w:val="0"/>
      <w:marRight w:val="0"/>
      <w:marTop w:val="0"/>
      <w:marBottom w:val="0"/>
      <w:divBdr>
        <w:top w:val="none" w:sz="0" w:space="0" w:color="auto"/>
        <w:left w:val="none" w:sz="0" w:space="0" w:color="auto"/>
        <w:bottom w:val="none" w:sz="0" w:space="0" w:color="auto"/>
        <w:right w:val="none" w:sz="0" w:space="0" w:color="auto"/>
      </w:divBdr>
    </w:div>
    <w:div w:id="768430664">
      <w:bodyDiv w:val="1"/>
      <w:marLeft w:val="0"/>
      <w:marRight w:val="0"/>
      <w:marTop w:val="0"/>
      <w:marBottom w:val="0"/>
      <w:divBdr>
        <w:top w:val="none" w:sz="0" w:space="0" w:color="auto"/>
        <w:left w:val="none" w:sz="0" w:space="0" w:color="auto"/>
        <w:bottom w:val="none" w:sz="0" w:space="0" w:color="auto"/>
        <w:right w:val="none" w:sz="0" w:space="0" w:color="auto"/>
      </w:divBdr>
    </w:div>
    <w:div w:id="771390721">
      <w:bodyDiv w:val="1"/>
      <w:marLeft w:val="0"/>
      <w:marRight w:val="0"/>
      <w:marTop w:val="0"/>
      <w:marBottom w:val="0"/>
      <w:divBdr>
        <w:top w:val="none" w:sz="0" w:space="0" w:color="auto"/>
        <w:left w:val="none" w:sz="0" w:space="0" w:color="auto"/>
        <w:bottom w:val="none" w:sz="0" w:space="0" w:color="auto"/>
        <w:right w:val="none" w:sz="0" w:space="0" w:color="auto"/>
      </w:divBdr>
    </w:div>
    <w:div w:id="779304913">
      <w:bodyDiv w:val="1"/>
      <w:marLeft w:val="0"/>
      <w:marRight w:val="0"/>
      <w:marTop w:val="0"/>
      <w:marBottom w:val="0"/>
      <w:divBdr>
        <w:top w:val="none" w:sz="0" w:space="0" w:color="auto"/>
        <w:left w:val="none" w:sz="0" w:space="0" w:color="auto"/>
        <w:bottom w:val="none" w:sz="0" w:space="0" w:color="auto"/>
        <w:right w:val="none" w:sz="0" w:space="0" w:color="auto"/>
      </w:divBdr>
    </w:div>
    <w:div w:id="779451741">
      <w:bodyDiv w:val="1"/>
      <w:marLeft w:val="0"/>
      <w:marRight w:val="0"/>
      <w:marTop w:val="0"/>
      <w:marBottom w:val="0"/>
      <w:divBdr>
        <w:top w:val="none" w:sz="0" w:space="0" w:color="auto"/>
        <w:left w:val="none" w:sz="0" w:space="0" w:color="auto"/>
        <w:bottom w:val="none" w:sz="0" w:space="0" w:color="auto"/>
        <w:right w:val="none" w:sz="0" w:space="0" w:color="auto"/>
      </w:divBdr>
    </w:div>
    <w:div w:id="781845293">
      <w:bodyDiv w:val="1"/>
      <w:marLeft w:val="0"/>
      <w:marRight w:val="0"/>
      <w:marTop w:val="0"/>
      <w:marBottom w:val="0"/>
      <w:divBdr>
        <w:top w:val="none" w:sz="0" w:space="0" w:color="auto"/>
        <w:left w:val="none" w:sz="0" w:space="0" w:color="auto"/>
        <w:bottom w:val="none" w:sz="0" w:space="0" w:color="auto"/>
        <w:right w:val="none" w:sz="0" w:space="0" w:color="auto"/>
      </w:divBdr>
    </w:div>
    <w:div w:id="783040002">
      <w:bodyDiv w:val="1"/>
      <w:marLeft w:val="0"/>
      <w:marRight w:val="0"/>
      <w:marTop w:val="0"/>
      <w:marBottom w:val="0"/>
      <w:divBdr>
        <w:top w:val="none" w:sz="0" w:space="0" w:color="auto"/>
        <w:left w:val="none" w:sz="0" w:space="0" w:color="auto"/>
        <w:bottom w:val="none" w:sz="0" w:space="0" w:color="auto"/>
        <w:right w:val="none" w:sz="0" w:space="0" w:color="auto"/>
      </w:divBdr>
    </w:div>
    <w:div w:id="785272871">
      <w:bodyDiv w:val="1"/>
      <w:marLeft w:val="0"/>
      <w:marRight w:val="0"/>
      <w:marTop w:val="0"/>
      <w:marBottom w:val="0"/>
      <w:divBdr>
        <w:top w:val="none" w:sz="0" w:space="0" w:color="auto"/>
        <w:left w:val="none" w:sz="0" w:space="0" w:color="auto"/>
        <w:bottom w:val="none" w:sz="0" w:space="0" w:color="auto"/>
        <w:right w:val="none" w:sz="0" w:space="0" w:color="auto"/>
      </w:divBdr>
    </w:div>
    <w:div w:id="787044341">
      <w:bodyDiv w:val="1"/>
      <w:marLeft w:val="0"/>
      <w:marRight w:val="0"/>
      <w:marTop w:val="0"/>
      <w:marBottom w:val="0"/>
      <w:divBdr>
        <w:top w:val="none" w:sz="0" w:space="0" w:color="auto"/>
        <w:left w:val="none" w:sz="0" w:space="0" w:color="auto"/>
        <w:bottom w:val="none" w:sz="0" w:space="0" w:color="auto"/>
        <w:right w:val="none" w:sz="0" w:space="0" w:color="auto"/>
      </w:divBdr>
    </w:div>
    <w:div w:id="788166282">
      <w:bodyDiv w:val="1"/>
      <w:marLeft w:val="0"/>
      <w:marRight w:val="0"/>
      <w:marTop w:val="0"/>
      <w:marBottom w:val="0"/>
      <w:divBdr>
        <w:top w:val="none" w:sz="0" w:space="0" w:color="auto"/>
        <w:left w:val="none" w:sz="0" w:space="0" w:color="auto"/>
        <w:bottom w:val="none" w:sz="0" w:space="0" w:color="auto"/>
        <w:right w:val="none" w:sz="0" w:space="0" w:color="auto"/>
      </w:divBdr>
    </w:div>
    <w:div w:id="807019473">
      <w:bodyDiv w:val="1"/>
      <w:marLeft w:val="0"/>
      <w:marRight w:val="0"/>
      <w:marTop w:val="0"/>
      <w:marBottom w:val="0"/>
      <w:divBdr>
        <w:top w:val="none" w:sz="0" w:space="0" w:color="auto"/>
        <w:left w:val="none" w:sz="0" w:space="0" w:color="auto"/>
        <w:bottom w:val="none" w:sz="0" w:space="0" w:color="auto"/>
        <w:right w:val="none" w:sz="0" w:space="0" w:color="auto"/>
      </w:divBdr>
    </w:div>
    <w:div w:id="808059485">
      <w:bodyDiv w:val="1"/>
      <w:marLeft w:val="0"/>
      <w:marRight w:val="0"/>
      <w:marTop w:val="0"/>
      <w:marBottom w:val="0"/>
      <w:divBdr>
        <w:top w:val="none" w:sz="0" w:space="0" w:color="auto"/>
        <w:left w:val="none" w:sz="0" w:space="0" w:color="auto"/>
        <w:bottom w:val="none" w:sz="0" w:space="0" w:color="auto"/>
        <w:right w:val="none" w:sz="0" w:space="0" w:color="auto"/>
      </w:divBdr>
    </w:div>
    <w:div w:id="808286924">
      <w:bodyDiv w:val="1"/>
      <w:marLeft w:val="0"/>
      <w:marRight w:val="0"/>
      <w:marTop w:val="0"/>
      <w:marBottom w:val="0"/>
      <w:divBdr>
        <w:top w:val="none" w:sz="0" w:space="0" w:color="auto"/>
        <w:left w:val="none" w:sz="0" w:space="0" w:color="auto"/>
        <w:bottom w:val="none" w:sz="0" w:space="0" w:color="auto"/>
        <w:right w:val="none" w:sz="0" w:space="0" w:color="auto"/>
      </w:divBdr>
    </w:div>
    <w:div w:id="816990530">
      <w:bodyDiv w:val="1"/>
      <w:marLeft w:val="0"/>
      <w:marRight w:val="0"/>
      <w:marTop w:val="0"/>
      <w:marBottom w:val="0"/>
      <w:divBdr>
        <w:top w:val="none" w:sz="0" w:space="0" w:color="auto"/>
        <w:left w:val="none" w:sz="0" w:space="0" w:color="auto"/>
        <w:bottom w:val="none" w:sz="0" w:space="0" w:color="auto"/>
        <w:right w:val="none" w:sz="0" w:space="0" w:color="auto"/>
      </w:divBdr>
    </w:div>
    <w:div w:id="821239919">
      <w:bodyDiv w:val="1"/>
      <w:marLeft w:val="0"/>
      <w:marRight w:val="0"/>
      <w:marTop w:val="0"/>
      <w:marBottom w:val="0"/>
      <w:divBdr>
        <w:top w:val="none" w:sz="0" w:space="0" w:color="auto"/>
        <w:left w:val="none" w:sz="0" w:space="0" w:color="auto"/>
        <w:bottom w:val="none" w:sz="0" w:space="0" w:color="auto"/>
        <w:right w:val="none" w:sz="0" w:space="0" w:color="auto"/>
      </w:divBdr>
    </w:div>
    <w:div w:id="822045159">
      <w:bodyDiv w:val="1"/>
      <w:marLeft w:val="0"/>
      <w:marRight w:val="0"/>
      <w:marTop w:val="0"/>
      <w:marBottom w:val="0"/>
      <w:divBdr>
        <w:top w:val="none" w:sz="0" w:space="0" w:color="auto"/>
        <w:left w:val="none" w:sz="0" w:space="0" w:color="auto"/>
        <w:bottom w:val="none" w:sz="0" w:space="0" w:color="auto"/>
        <w:right w:val="none" w:sz="0" w:space="0" w:color="auto"/>
      </w:divBdr>
    </w:div>
    <w:div w:id="822937593">
      <w:bodyDiv w:val="1"/>
      <w:marLeft w:val="0"/>
      <w:marRight w:val="0"/>
      <w:marTop w:val="0"/>
      <w:marBottom w:val="0"/>
      <w:divBdr>
        <w:top w:val="none" w:sz="0" w:space="0" w:color="auto"/>
        <w:left w:val="none" w:sz="0" w:space="0" w:color="auto"/>
        <w:bottom w:val="none" w:sz="0" w:space="0" w:color="auto"/>
        <w:right w:val="none" w:sz="0" w:space="0" w:color="auto"/>
      </w:divBdr>
    </w:div>
    <w:div w:id="824051474">
      <w:bodyDiv w:val="1"/>
      <w:marLeft w:val="0"/>
      <w:marRight w:val="0"/>
      <w:marTop w:val="0"/>
      <w:marBottom w:val="0"/>
      <w:divBdr>
        <w:top w:val="none" w:sz="0" w:space="0" w:color="auto"/>
        <w:left w:val="none" w:sz="0" w:space="0" w:color="auto"/>
        <w:bottom w:val="none" w:sz="0" w:space="0" w:color="auto"/>
        <w:right w:val="none" w:sz="0" w:space="0" w:color="auto"/>
      </w:divBdr>
    </w:div>
    <w:div w:id="824972318">
      <w:bodyDiv w:val="1"/>
      <w:marLeft w:val="0"/>
      <w:marRight w:val="0"/>
      <w:marTop w:val="0"/>
      <w:marBottom w:val="0"/>
      <w:divBdr>
        <w:top w:val="none" w:sz="0" w:space="0" w:color="auto"/>
        <w:left w:val="none" w:sz="0" w:space="0" w:color="auto"/>
        <w:bottom w:val="none" w:sz="0" w:space="0" w:color="auto"/>
        <w:right w:val="none" w:sz="0" w:space="0" w:color="auto"/>
      </w:divBdr>
    </w:div>
    <w:div w:id="825364869">
      <w:bodyDiv w:val="1"/>
      <w:marLeft w:val="0"/>
      <w:marRight w:val="0"/>
      <w:marTop w:val="0"/>
      <w:marBottom w:val="0"/>
      <w:divBdr>
        <w:top w:val="none" w:sz="0" w:space="0" w:color="auto"/>
        <w:left w:val="none" w:sz="0" w:space="0" w:color="auto"/>
        <w:bottom w:val="none" w:sz="0" w:space="0" w:color="auto"/>
        <w:right w:val="none" w:sz="0" w:space="0" w:color="auto"/>
      </w:divBdr>
    </w:div>
    <w:div w:id="834149650">
      <w:bodyDiv w:val="1"/>
      <w:marLeft w:val="0"/>
      <w:marRight w:val="0"/>
      <w:marTop w:val="0"/>
      <w:marBottom w:val="0"/>
      <w:divBdr>
        <w:top w:val="none" w:sz="0" w:space="0" w:color="auto"/>
        <w:left w:val="none" w:sz="0" w:space="0" w:color="auto"/>
        <w:bottom w:val="none" w:sz="0" w:space="0" w:color="auto"/>
        <w:right w:val="none" w:sz="0" w:space="0" w:color="auto"/>
      </w:divBdr>
    </w:div>
    <w:div w:id="834221253">
      <w:bodyDiv w:val="1"/>
      <w:marLeft w:val="0"/>
      <w:marRight w:val="0"/>
      <w:marTop w:val="0"/>
      <w:marBottom w:val="0"/>
      <w:divBdr>
        <w:top w:val="none" w:sz="0" w:space="0" w:color="auto"/>
        <w:left w:val="none" w:sz="0" w:space="0" w:color="auto"/>
        <w:bottom w:val="none" w:sz="0" w:space="0" w:color="auto"/>
        <w:right w:val="none" w:sz="0" w:space="0" w:color="auto"/>
      </w:divBdr>
    </w:div>
    <w:div w:id="841820089">
      <w:bodyDiv w:val="1"/>
      <w:marLeft w:val="0"/>
      <w:marRight w:val="0"/>
      <w:marTop w:val="0"/>
      <w:marBottom w:val="0"/>
      <w:divBdr>
        <w:top w:val="none" w:sz="0" w:space="0" w:color="auto"/>
        <w:left w:val="none" w:sz="0" w:space="0" w:color="auto"/>
        <w:bottom w:val="none" w:sz="0" w:space="0" w:color="auto"/>
        <w:right w:val="none" w:sz="0" w:space="0" w:color="auto"/>
      </w:divBdr>
    </w:div>
    <w:div w:id="845631932">
      <w:bodyDiv w:val="1"/>
      <w:marLeft w:val="0"/>
      <w:marRight w:val="0"/>
      <w:marTop w:val="0"/>
      <w:marBottom w:val="0"/>
      <w:divBdr>
        <w:top w:val="none" w:sz="0" w:space="0" w:color="auto"/>
        <w:left w:val="none" w:sz="0" w:space="0" w:color="auto"/>
        <w:bottom w:val="none" w:sz="0" w:space="0" w:color="auto"/>
        <w:right w:val="none" w:sz="0" w:space="0" w:color="auto"/>
      </w:divBdr>
    </w:div>
    <w:div w:id="850068522">
      <w:bodyDiv w:val="1"/>
      <w:marLeft w:val="0"/>
      <w:marRight w:val="0"/>
      <w:marTop w:val="0"/>
      <w:marBottom w:val="0"/>
      <w:divBdr>
        <w:top w:val="none" w:sz="0" w:space="0" w:color="auto"/>
        <w:left w:val="none" w:sz="0" w:space="0" w:color="auto"/>
        <w:bottom w:val="none" w:sz="0" w:space="0" w:color="auto"/>
        <w:right w:val="none" w:sz="0" w:space="0" w:color="auto"/>
      </w:divBdr>
    </w:div>
    <w:div w:id="853421375">
      <w:bodyDiv w:val="1"/>
      <w:marLeft w:val="0"/>
      <w:marRight w:val="0"/>
      <w:marTop w:val="0"/>
      <w:marBottom w:val="0"/>
      <w:divBdr>
        <w:top w:val="none" w:sz="0" w:space="0" w:color="auto"/>
        <w:left w:val="none" w:sz="0" w:space="0" w:color="auto"/>
        <w:bottom w:val="none" w:sz="0" w:space="0" w:color="auto"/>
        <w:right w:val="none" w:sz="0" w:space="0" w:color="auto"/>
      </w:divBdr>
    </w:div>
    <w:div w:id="854000642">
      <w:bodyDiv w:val="1"/>
      <w:marLeft w:val="0"/>
      <w:marRight w:val="0"/>
      <w:marTop w:val="0"/>
      <w:marBottom w:val="0"/>
      <w:divBdr>
        <w:top w:val="none" w:sz="0" w:space="0" w:color="auto"/>
        <w:left w:val="none" w:sz="0" w:space="0" w:color="auto"/>
        <w:bottom w:val="none" w:sz="0" w:space="0" w:color="auto"/>
        <w:right w:val="none" w:sz="0" w:space="0" w:color="auto"/>
      </w:divBdr>
    </w:div>
    <w:div w:id="857431142">
      <w:bodyDiv w:val="1"/>
      <w:marLeft w:val="0"/>
      <w:marRight w:val="0"/>
      <w:marTop w:val="0"/>
      <w:marBottom w:val="0"/>
      <w:divBdr>
        <w:top w:val="none" w:sz="0" w:space="0" w:color="auto"/>
        <w:left w:val="none" w:sz="0" w:space="0" w:color="auto"/>
        <w:bottom w:val="none" w:sz="0" w:space="0" w:color="auto"/>
        <w:right w:val="none" w:sz="0" w:space="0" w:color="auto"/>
      </w:divBdr>
    </w:div>
    <w:div w:id="861482252">
      <w:bodyDiv w:val="1"/>
      <w:marLeft w:val="0"/>
      <w:marRight w:val="0"/>
      <w:marTop w:val="0"/>
      <w:marBottom w:val="0"/>
      <w:divBdr>
        <w:top w:val="none" w:sz="0" w:space="0" w:color="auto"/>
        <w:left w:val="none" w:sz="0" w:space="0" w:color="auto"/>
        <w:bottom w:val="none" w:sz="0" w:space="0" w:color="auto"/>
        <w:right w:val="none" w:sz="0" w:space="0" w:color="auto"/>
      </w:divBdr>
    </w:div>
    <w:div w:id="863132878">
      <w:bodyDiv w:val="1"/>
      <w:marLeft w:val="0"/>
      <w:marRight w:val="0"/>
      <w:marTop w:val="0"/>
      <w:marBottom w:val="0"/>
      <w:divBdr>
        <w:top w:val="none" w:sz="0" w:space="0" w:color="auto"/>
        <w:left w:val="none" w:sz="0" w:space="0" w:color="auto"/>
        <w:bottom w:val="none" w:sz="0" w:space="0" w:color="auto"/>
        <w:right w:val="none" w:sz="0" w:space="0" w:color="auto"/>
      </w:divBdr>
    </w:div>
    <w:div w:id="864103167">
      <w:bodyDiv w:val="1"/>
      <w:marLeft w:val="0"/>
      <w:marRight w:val="0"/>
      <w:marTop w:val="0"/>
      <w:marBottom w:val="0"/>
      <w:divBdr>
        <w:top w:val="none" w:sz="0" w:space="0" w:color="auto"/>
        <w:left w:val="none" w:sz="0" w:space="0" w:color="auto"/>
        <w:bottom w:val="none" w:sz="0" w:space="0" w:color="auto"/>
        <w:right w:val="none" w:sz="0" w:space="0" w:color="auto"/>
      </w:divBdr>
    </w:div>
    <w:div w:id="868178032">
      <w:bodyDiv w:val="1"/>
      <w:marLeft w:val="0"/>
      <w:marRight w:val="0"/>
      <w:marTop w:val="0"/>
      <w:marBottom w:val="0"/>
      <w:divBdr>
        <w:top w:val="none" w:sz="0" w:space="0" w:color="auto"/>
        <w:left w:val="none" w:sz="0" w:space="0" w:color="auto"/>
        <w:bottom w:val="none" w:sz="0" w:space="0" w:color="auto"/>
        <w:right w:val="none" w:sz="0" w:space="0" w:color="auto"/>
      </w:divBdr>
    </w:div>
    <w:div w:id="868224916">
      <w:bodyDiv w:val="1"/>
      <w:marLeft w:val="0"/>
      <w:marRight w:val="0"/>
      <w:marTop w:val="0"/>
      <w:marBottom w:val="0"/>
      <w:divBdr>
        <w:top w:val="none" w:sz="0" w:space="0" w:color="auto"/>
        <w:left w:val="none" w:sz="0" w:space="0" w:color="auto"/>
        <w:bottom w:val="none" w:sz="0" w:space="0" w:color="auto"/>
        <w:right w:val="none" w:sz="0" w:space="0" w:color="auto"/>
      </w:divBdr>
    </w:div>
    <w:div w:id="869882379">
      <w:bodyDiv w:val="1"/>
      <w:marLeft w:val="0"/>
      <w:marRight w:val="0"/>
      <w:marTop w:val="0"/>
      <w:marBottom w:val="0"/>
      <w:divBdr>
        <w:top w:val="none" w:sz="0" w:space="0" w:color="auto"/>
        <w:left w:val="none" w:sz="0" w:space="0" w:color="auto"/>
        <w:bottom w:val="none" w:sz="0" w:space="0" w:color="auto"/>
        <w:right w:val="none" w:sz="0" w:space="0" w:color="auto"/>
      </w:divBdr>
    </w:div>
    <w:div w:id="870605487">
      <w:bodyDiv w:val="1"/>
      <w:marLeft w:val="0"/>
      <w:marRight w:val="0"/>
      <w:marTop w:val="0"/>
      <w:marBottom w:val="0"/>
      <w:divBdr>
        <w:top w:val="none" w:sz="0" w:space="0" w:color="auto"/>
        <w:left w:val="none" w:sz="0" w:space="0" w:color="auto"/>
        <w:bottom w:val="none" w:sz="0" w:space="0" w:color="auto"/>
        <w:right w:val="none" w:sz="0" w:space="0" w:color="auto"/>
      </w:divBdr>
    </w:div>
    <w:div w:id="881595416">
      <w:bodyDiv w:val="1"/>
      <w:marLeft w:val="0"/>
      <w:marRight w:val="0"/>
      <w:marTop w:val="0"/>
      <w:marBottom w:val="0"/>
      <w:divBdr>
        <w:top w:val="none" w:sz="0" w:space="0" w:color="auto"/>
        <w:left w:val="none" w:sz="0" w:space="0" w:color="auto"/>
        <w:bottom w:val="none" w:sz="0" w:space="0" w:color="auto"/>
        <w:right w:val="none" w:sz="0" w:space="0" w:color="auto"/>
      </w:divBdr>
    </w:div>
    <w:div w:id="886336208">
      <w:bodyDiv w:val="1"/>
      <w:marLeft w:val="0"/>
      <w:marRight w:val="0"/>
      <w:marTop w:val="0"/>
      <w:marBottom w:val="0"/>
      <w:divBdr>
        <w:top w:val="none" w:sz="0" w:space="0" w:color="auto"/>
        <w:left w:val="none" w:sz="0" w:space="0" w:color="auto"/>
        <w:bottom w:val="none" w:sz="0" w:space="0" w:color="auto"/>
        <w:right w:val="none" w:sz="0" w:space="0" w:color="auto"/>
      </w:divBdr>
    </w:div>
    <w:div w:id="895118798">
      <w:bodyDiv w:val="1"/>
      <w:marLeft w:val="0"/>
      <w:marRight w:val="0"/>
      <w:marTop w:val="0"/>
      <w:marBottom w:val="0"/>
      <w:divBdr>
        <w:top w:val="none" w:sz="0" w:space="0" w:color="auto"/>
        <w:left w:val="none" w:sz="0" w:space="0" w:color="auto"/>
        <w:bottom w:val="none" w:sz="0" w:space="0" w:color="auto"/>
        <w:right w:val="none" w:sz="0" w:space="0" w:color="auto"/>
      </w:divBdr>
    </w:div>
    <w:div w:id="895318983">
      <w:bodyDiv w:val="1"/>
      <w:marLeft w:val="0"/>
      <w:marRight w:val="0"/>
      <w:marTop w:val="0"/>
      <w:marBottom w:val="0"/>
      <w:divBdr>
        <w:top w:val="none" w:sz="0" w:space="0" w:color="auto"/>
        <w:left w:val="none" w:sz="0" w:space="0" w:color="auto"/>
        <w:bottom w:val="none" w:sz="0" w:space="0" w:color="auto"/>
        <w:right w:val="none" w:sz="0" w:space="0" w:color="auto"/>
      </w:divBdr>
    </w:div>
    <w:div w:id="898782193">
      <w:bodyDiv w:val="1"/>
      <w:marLeft w:val="0"/>
      <w:marRight w:val="0"/>
      <w:marTop w:val="0"/>
      <w:marBottom w:val="0"/>
      <w:divBdr>
        <w:top w:val="none" w:sz="0" w:space="0" w:color="auto"/>
        <w:left w:val="none" w:sz="0" w:space="0" w:color="auto"/>
        <w:bottom w:val="none" w:sz="0" w:space="0" w:color="auto"/>
        <w:right w:val="none" w:sz="0" w:space="0" w:color="auto"/>
      </w:divBdr>
    </w:div>
    <w:div w:id="900284953">
      <w:bodyDiv w:val="1"/>
      <w:marLeft w:val="0"/>
      <w:marRight w:val="0"/>
      <w:marTop w:val="0"/>
      <w:marBottom w:val="0"/>
      <w:divBdr>
        <w:top w:val="none" w:sz="0" w:space="0" w:color="auto"/>
        <w:left w:val="none" w:sz="0" w:space="0" w:color="auto"/>
        <w:bottom w:val="none" w:sz="0" w:space="0" w:color="auto"/>
        <w:right w:val="none" w:sz="0" w:space="0" w:color="auto"/>
      </w:divBdr>
    </w:div>
    <w:div w:id="900748103">
      <w:bodyDiv w:val="1"/>
      <w:marLeft w:val="0"/>
      <w:marRight w:val="0"/>
      <w:marTop w:val="0"/>
      <w:marBottom w:val="0"/>
      <w:divBdr>
        <w:top w:val="none" w:sz="0" w:space="0" w:color="auto"/>
        <w:left w:val="none" w:sz="0" w:space="0" w:color="auto"/>
        <w:bottom w:val="none" w:sz="0" w:space="0" w:color="auto"/>
        <w:right w:val="none" w:sz="0" w:space="0" w:color="auto"/>
      </w:divBdr>
    </w:div>
    <w:div w:id="902640967">
      <w:bodyDiv w:val="1"/>
      <w:marLeft w:val="0"/>
      <w:marRight w:val="0"/>
      <w:marTop w:val="0"/>
      <w:marBottom w:val="0"/>
      <w:divBdr>
        <w:top w:val="none" w:sz="0" w:space="0" w:color="auto"/>
        <w:left w:val="none" w:sz="0" w:space="0" w:color="auto"/>
        <w:bottom w:val="none" w:sz="0" w:space="0" w:color="auto"/>
        <w:right w:val="none" w:sz="0" w:space="0" w:color="auto"/>
      </w:divBdr>
    </w:div>
    <w:div w:id="905071543">
      <w:bodyDiv w:val="1"/>
      <w:marLeft w:val="0"/>
      <w:marRight w:val="0"/>
      <w:marTop w:val="0"/>
      <w:marBottom w:val="0"/>
      <w:divBdr>
        <w:top w:val="none" w:sz="0" w:space="0" w:color="auto"/>
        <w:left w:val="none" w:sz="0" w:space="0" w:color="auto"/>
        <w:bottom w:val="none" w:sz="0" w:space="0" w:color="auto"/>
        <w:right w:val="none" w:sz="0" w:space="0" w:color="auto"/>
      </w:divBdr>
    </w:div>
    <w:div w:id="907034418">
      <w:bodyDiv w:val="1"/>
      <w:marLeft w:val="0"/>
      <w:marRight w:val="0"/>
      <w:marTop w:val="0"/>
      <w:marBottom w:val="0"/>
      <w:divBdr>
        <w:top w:val="none" w:sz="0" w:space="0" w:color="auto"/>
        <w:left w:val="none" w:sz="0" w:space="0" w:color="auto"/>
        <w:bottom w:val="none" w:sz="0" w:space="0" w:color="auto"/>
        <w:right w:val="none" w:sz="0" w:space="0" w:color="auto"/>
      </w:divBdr>
    </w:div>
    <w:div w:id="907614517">
      <w:bodyDiv w:val="1"/>
      <w:marLeft w:val="0"/>
      <w:marRight w:val="0"/>
      <w:marTop w:val="0"/>
      <w:marBottom w:val="0"/>
      <w:divBdr>
        <w:top w:val="none" w:sz="0" w:space="0" w:color="auto"/>
        <w:left w:val="none" w:sz="0" w:space="0" w:color="auto"/>
        <w:bottom w:val="none" w:sz="0" w:space="0" w:color="auto"/>
        <w:right w:val="none" w:sz="0" w:space="0" w:color="auto"/>
      </w:divBdr>
    </w:div>
    <w:div w:id="908343935">
      <w:bodyDiv w:val="1"/>
      <w:marLeft w:val="0"/>
      <w:marRight w:val="0"/>
      <w:marTop w:val="0"/>
      <w:marBottom w:val="0"/>
      <w:divBdr>
        <w:top w:val="none" w:sz="0" w:space="0" w:color="auto"/>
        <w:left w:val="none" w:sz="0" w:space="0" w:color="auto"/>
        <w:bottom w:val="none" w:sz="0" w:space="0" w:color="auto"/>
        <w:right w:val="none" w:sz="0" w:space="0" w:color="auto"/>
      </w:divBdr>
    </w:div>
    <w:div w:id="911819332">
      <w:bodyDiv w:val="1"/>
      <w:marLeft w:val="0"/>
      <w:marRight w:val="0"/>
      <w:marTop w:val="0"/>
      <w:marBottom w:val="0"/>
      <w:divBdr>
        <w:top w:val="none" w:sz="0" w:space="0" w:color="auto"/>
        <w:left w:val="none" w:sz="0" w:space="0" w:color="auto"/>
        <w:bottom w:val="none" w:sz="0" w:space="0" w:color="auto"/>
        <w:right w:val="none" w:sz="0" w:space="0" w:color="auto"/>
      </w:divBdr>
    </w:div>
    <w:div w:id="914241318">
      <w:bodyDiv w:val="1"/>
      <w:marLeft w:val="0"/>
      <w:marRight w:val="0"/>
      <w:marTop w:val="0"/>
      <w:marBottom w:val="0"/>
      <w:divBdr>
        <w:top w:val="none" w:sz="0" w:space="0" w:color="auto"/>
        <w:left w:val="none" w:sz="0" w:space="0" w:color="auto"/>
        <w:bottom w:val="none" w:sz="0" w:space="0" w:color="auto"/>
        <w:right w:val="none" w:sz="0" w:space="0" w:color="auto"/>
      </w:divBdr>
    </w:div>
    <w:div w:id="917054663">
      <w:bodyDiv w:val="1"/>
      <w:marLeft w:val="0"/>
      <w:marRight w:val="0"/>
      <w:marTop w:val="0"/>
      <w:marBottom w:val="0"/>
      <w:divBdr>
        <w:top w:val="none" w:sz="0" w:space="0" w:color="auto"/>
        <w:left w:val="none" w:sz="0" w:space="0" w:color="auto"/>
        <w:bottom w:val="none" w:sz="0" w:space="0" w:color="auto"/>
        <w:right w:val="none" w:sz="0" w:space="0" w:color="auto"/>
      </w:divBdr>
    </w:div>
    <w:div w:id="922177383">
      <w:bodyDiv w:val="1"/>
      <w:marLeft w:val="0"/>
      <w:marRight w:val="0"/>
      <w:marTop w:val="0"/>
      <w:marBottom w:val="0"/>
      <w:divBdr>
        <w:top w:val="none" w:sz="0" w:space="0" w:color="auto"/>
        <w:left w:val="none" w:sz="0" w:space="0" w:color="auto"/>
        <w:bottom w:val="none" w:sz="0" w:space="0" w:color="auto"/>
        <w:right w:val="none" w:sz="0" w:space="0" w:color="auto"/>
      </w:divBdr>
    </w:div>
    <w:div w:id="925385141">
      <w:bodyDiv w:val="1"/>
      <w:marLeft w:val="0"/>
      <w:marRight w:val="0"/>
      <w:marTop w:val="0"/>
      <w:marBottom w:val="0"/>
      <w:divBdr>
        <w:top w:val="none" w:sz="0" w:space="0" w:color="auto"/>
        <w:left w:val="none" w:sz="0" w:space="0" w:color="auto"/>
        <w:bottom w:val="none" w:sz="0" w:space="0" w:color="auto"/>
        <w:right w:val="none" w:sz="0" w:space="0" w:color="auto"/>
      </w:divBdr>
    </w:div>
    <w:div w:id="926184265">
      <w:bodyDiv w:val="1"/>
      <w:marLeft w:val="0"/>
      <w:marRight w:val="0"/>
      <w:marTop w:val="0"/>
      <w:marBottom w:val="0"/>
      <w:divBdr>
        <w:top w:val="none" w:sz="0" w:space="0" w:color="auto"/>
        <w:left w:val="none" w:sz="0" w:space="0" w:color="auto"/>
        <w:bottom w:val="none" w:sz="0" w:space="0" w:color="auto"/>
        <w:right w:val="none" w:sz="0" w:space="0" w:color="auto"/>
      </w:divBdr>
    </w:div>
    <w:div w:id="930119634">
      <w:bodyDiv w:val="1"/>
      <w:marLeft w:val="0"/>
      <w:marRight w:val="0"/>
      <w:marTop w:val="0"/>
      <w:marBottom w:val="0"/>
      <w:divBdr>
        <w:top w:val="none" w:sz="0" w:space="0" w:color="auto"/>
        <w:left w:val="none" w:sz="0" w:space="0" w:color="auto"/>
        <w:bottom w:val="none" w:sz="0" w:space="0" w:color="auto"/>
        <w:right w:val="none" w:sz="0" w:space="0" w:color="auto"/>
      </w:divBdr>
    </w:div>
    <w:div w:id="933786899">
      <w:bodyDiv w:val="1"/>
      <w:marLeft w:val="0"/>
      <w:marRight w:val="0"/>
      <w:marTop w:val="0"/>
      <w:marBottom w:val="0"/>
      <w:divBdr>
        <w:top w:val="none" w:sz="0" w:space="0" w:color="auto"/>
        <w:left w:val="none" w:sz="0" w:space="0" w:color="auto"/>
        <w:bottom w:val="none" w:sz="0" w:space="0" w:color="auto"/>
        <w:right w:val="none" w:sz="0" w:space="0" w:color="auto"/>
      </w:divBdr>
    </w:div>
    <w:div w:id="933825407">
      <w:bodyDiv w:val="1"/>
      <w:marLeft w:val="0"/>
      <w:marRight w:val="0"/>
      <w:marTop w:val="0"/>
      <w:marBottom w:val="0"/>
      <w:divBdr>
        <w:top w:val="none" w:sz="0" w:space="0" w:color="auto"/>
        <w:left w:val="none" w:sz="0" w:space="0" w:color="auto"/>
        <w:bottom w:val="none" w:sz="0" w:space="0" w:color="auto"/>
        <w:right w:val="none" w:sz="0" w:space="0" w:color="auto"/>
      </w:divBdr>
    </w:div>
    <w:div w:id="934944946">
      <w:bodyDiv w:val="1"/>
      <w:marLeft w:val="0"/>
      <w:marRight w:val="0"/>
      <w:marTop w:val="0"/>
      <w:marBottom w:val="0"/>
      <w:divBdr>
        <w:top w:val="none" w:sz="0" w:space="0" w:color="auto"/>
        <w:left w:val="none" w:sz="0" w:space="0" w:color="auto"/>
        <w:bottom w:val="none" w:sz="0" w:space="0" w:color="auto"/>
        <w:right w:val="none" w:sz="0" w:space="0" w:color="auto"/>
      </w:divBdr>
    </w:div>
    <w:div w:id="936133627">
      <w:bodyDiv w:val="1"/>
      <w:marLeft w:val="0"/>
      <w:marRight w:val="0"/>
      <w:marTop w:val="0"/>
      <w:marBottom w:val="0"/>
      <w:divBdr>
        <w:top w:val="none" w:sz="0" w:space="0" w:color="auto"/>
        <w:left w:val="none" w:sz="0" w:space="0" w:color="auto"/>
        <w:bottom w:val="none" w:sz="0" w:space="0" w:color="auto"/>
        <w:right w:val="none" w:sz="0" w:space="0" w:color="auto"/>
      </w:divBdr>
    </w:div>
    <w:div w:id="937719530">
      <w:bodyDiv w:val="1"/>
      <w:marLeft w:val="0"/>
      <w:marRight w:val="0"/>
      <w:marTop w:val="0"/>
      <w:marBottom w:val="0"/>
      <w:divBdr>
        <w:top w:val="none" w:sz="0" w:space="0" w:color="auto"/>
        <w:left w:val="none" w:sz="0" w:space="0" w:color="auto"/>
        <w:bottom w:val="none" w:sz="0" w:space="0" w:color="auto"/>
        <w:right w:val="none" w:sz="0" w:space="0" w:color="auto"/>
      </w:divBdr>
    </w:div>
    <w:div w:id="938949500">
      <w:bodyDiv w:val="1"/>
      <w:marLeft w:val="0"/>
      <w:marRight w:val="0"/>
      <w:marTop w:val="0"/>
      <w:marBottom w:val="0"/>
      <w:divBdr>
        <w:top w:val="none" w:sz="0" w:space="0" w:color="auto"/>
        <w:left w:val="none" w:sz="0" w:space="0" w:color="auto"/>
        <w:bottom w:val="none" w:sz="0" w:space="0" w:color="auto"/>
        <w:right w:val="none" w:sz="0" w:space="0" w:color="auto"/>
      </w:divBdr>
    </w:div>
    <w:div w:id="944656340">
      <w:bodyDiv w:val="1"/>
      <w:marLeft w:val="0"/>
      <w:marRight w:val="0"/>
      <w:marTop w:val="0"/>
      <w:marBottom w:val="0"/>
      <w:divBdr>
        <w:top w:val="none" w:sz="0" w:space="0" w:color="auto"/>
        <w:left w:val="none" w:sz="0" w:space="0" w:color="auto"/>
        <w:bottom w:val="none" w:sz="0" w:space="0" w:color="auto"/>
        <w:right w:val="none" w:sz="0" w:space="0" w:color="auto"/>
      </w:divBdr>
    </w:div>
    <w:div w:id="944777038">
      <w:bodyDiv w:val="1"/>
      <w:marLeft w:val="0"/>
      <w:marRight w:val="0"/>
      <w:marTop w:val="0"/>
      <w:marBottom w:val="0"/>
      <w:divBdr>
        <w:top w:val="none" w:sz="0" w:space="0" w:color="auto"/>
        <w:left w:val="none" w:sz="0" w:space="0" w:color="auto"/>
        <w:bottom w:val="none" w:sz="0" w:space="0" w:color="auto"/>
        <w:right w:val="none" w:sz="0" w:space="0" w:color="auto"/>
      </w:divBdr>
    </w:div>
    <w:div w:id="944842775">
      <w:bodyDiv w:val="1"/>
      <w:marLeft w:val="0"/>
      <w:marRight w:val="0"/>
      <w:marTop w:val="0"/>
      <w:marBottom w:val="0"/>
      <w:divBdr>
        <w:top w:val="none" w:sz="0" w:space="0" w:color="auto"/>
        <w:left w:val="none" w:sz="0" w:space="0" w:color="auto"/>
        <w:bottom w:val="none" w:sz="0" w:space="0" w:color="auto"/>
        <w:right w:val="none" w:sz="0" w:space="0" w:color="auto"/>
      </w:divBdr>
    </w:div>
    <w:div w:id="948245006">
      <w:bodyDiv w:val="1"/>
      <w:marLeft w:val="0"/>
      <w:marRight w:val="0"/>
      <w:marTop w:val="0"/>
      <w:marBottom w:val="0"/>
      <w:divBdr>
        <w:top w:val="none" w:sz="0" w:space="0" w:color="auto"/>
        <w:left w:val="none" w:sz="0" w:space="0" w:color="auto"/>
        <w:bottom w:val="none" w:sz="0" w:space="0" w:color="auto"/>
        <w:right w:val="none" w:sz="0" w:space="0" w:color="auto"/>
      </w:divBdr>
    </w:div>
    <w:div w:id="955720634">
      <w:bodyDiv w:val="1"/>
      <w:marLeft w:val="0"/>
      <w:marRight w:val="0"/>
      <w:marTop w:val="0"/>
      <w:marBottom w:val="0"/>
      <w:divBdr>
        <w:top w:val="none" w:sz="0" w:space="0" w:color="auto"/>
        <w:left w:val="none" w:sz="0" w:space="0" w:color="auto"/>
        <w:bottom w:val="none" w:sz="0" w:space="0" w:color="auto"/>
        <w:right w:val="none" w:sz="0" w:space="0" w:color="auto"/>
      </w:divBdr>
    </w:div>
    <w:div w:id="956107551">
      <w:bodyDiv w:val="1"/>
      <w:marLeft w:val="0"/>
      <w:marRight w:val="0"/>
      <w:marTop w:val="0"/>
      <w:marBottom w:val="0"/>
      <w:divBdr>
        <w:top w:val="none" w:sz="0" w:space="0" w:color="auto"/>
        <w:left w:val="none" w:sz="0" w:space="0" w:color="auto"/>
        <w:bottom w:val="none" w:sz="0" w:space="0" w:color="auto"/>
        <w:right w:val="none" w:sz="0" w:space="0" w:color="auto"/>
      </w:divBdr>
    </w:div>
    <w:div w:id="960574072">
      <w:bodyDiv w:val="1"/>
      <w:marLeft w:val="0"/>
      <w:marRight w:val="0"/>
      <w:marTop w:val="0"/>
      <w:marBottom w:val="0"/>
      <w:divBdr>
        <w:top w:val="none" w:sz="0" w:space="0" w:color="auto"/>
        <w:left w:val="none" w:sz="0" w:space="0" w:color="auto"/>
        <w:bottom w:val="none" w:sz="0" w:space="0" w:color="auto"/>
        <w:right w:val="none" w:sz="0" w:space="0" w:color="auto"/>
      </w:divBdr>
    </w:div>
    <w:div w:id="961375447">
      <w:bodyDiv w:val="1"/>
      <w:marLeft w:val="0"/>
      <w:marRight w:val="0"/>
      <w:marTop w:val="0"/>
      <w:marBottom w:val="0"/>
      <w:divBdr>
        <w:top w:val="none" w:sz="0" w:space="0" w:color="auto"/>
        <w:left w:val="none" w:sz="0" w:space="0" w:color="auto"/>
        <w:bottom w:val="none" w:sz="0" w:space="0" w:color="auto"/>
        <w:right w:val="none" w:sz="0" w:space="0" w:color="auto"/>
      </w:divBdr>
    </w:div>
    <w:div w:id="968628267">
      <w:bodyDiv w:val="1"/>
      <w:marLeft w:val="0"/>
      <w:marRight w:val="0"/>
      <w:marTop w:val="0"/>
      <w:marBottom w:val="0"/>
      <w:divBdr>
        <w:top w:val="none" w:sz="0" w:space="0" w:color="auto"/>
        <w:left w:val="none" w:sz="0" w:space="0" w:color="auto"/>
        <w:bottom w:val="none" w:sz="0" w:space="0" w:color="auto"/>
        <w:right w:val="none" w:sz="0" w:space="0" w:color="auto"/>
      </w:divBdr>
    </w:div>
    <w:div w:id="971981426">
      <w:bodyDiv w:val="1"/>
      <w:marLeft w:val="0"/>
      <w:marRight w:val="0"/>
      <w:marTop w:val="0"/>
      <w:marBottom w:val="0"/>
      <w:divBdr>
        <w:top w:val="none" w:sz="0" w:space="0" w:color="auto"/>
        <w:left w:val="none" w:sz="0" w:space="0" w:color="auto"/>
        <w:bottom w:val="none" w:sz="0" w:space="0" w:color="auto"/>
        <w:right w:val="none" w:sz="0" w:space="0" w:color="auto"/>
      </w:divBdr>
    </w:div>
    <w:div w:id="974486701">
      <w:bodyDiv w:val="1"/>
      <w:marLeft w:val="0"/>
      <w:marRight w:val="0"/>
      <w:marTop w:val="0"/>
      <w:marBottom w:val="0"/>
      <w:divBdr>
        <w:top w:val="none" w:sz="0" w:space="0" w:color="auto"/>
        <w:left w:val="none" w:sz="0" w:space="0" w:color="auto"/>
        <w:bottom w:val="none" w:sz="0" w:space="0" w:color="auto"/>
        <w:right w:val="none" w:sz="0" w:space="0" w:color="auto"/>
      </w:divBdr>
    </w:div>
    <w:div w:id="975600057">
      <w:bodyDiv w:val="1"/>
      <w:marLeft w:val="0"/>
      <w:marRight w:val="0"/>
      <w:marTop w:val="0"/>
      <w:marBottom w:val="0"/>
      <w:divBdr>
        <w:top w:val="none" w:sz="0" w:space="0" w:color="auto"/>
        <w:left w:val="none" w:sz="0" w:space="0" w:color="auto"/>
        <w:bottom w:val="none" w:sz="0" w:space="0" w:color="auto"/>
        <w:right w:val="none" w:sz="0" w:space="0" w:color="auto"/>
      </w:divBdr>
    </w:div>
    <w:div w:id="996805079">
      <w:bodyDiv w:val="1"/>
      <w:marLeft w:val="0"/>
      <w:marRight w:val="0"/>
      <w:marTop w:val="0"/>
      <w:marBottom w:val="0"/>
      <w:divBdr>
        <w:top w:val="none" w:sz="0" w:space="0" w:color="auto"/>
        <w:left w:val="none" w:sz="0" w:space="0" w:color="auto"/>
        <w:bottom w:val="none" w:sz="0" w:space="0" w:color="auto"/>
        <w:right w:val="none" w:sz="0" w:space="0" w:color="auto"/>
      </w:divBdr>
    </w:div>
    <w:div w:id="997348570">
      <w:bodyDiv w:val="1"/>
      <w:marLeft w:val="0"/>
      <w:marRight w:val="0"/>
      <w:marTop w:val="0"/>
      <w:marBottom w:val="0"/>
      <w:divBdr>
        <w:top w:val="none" w:sz="0" w:space="0" w:color="auto"/>
        <w:left w:val="none" w:sz="0" w:space="0" w:color="auto"/>
        <w:bottom w:val="none" w:sz="0" w:space="0" w:color="auto"/>
        <w:right w:val="none" w:sz="0" w:space="0" w:color="auto"/>
      </w:divBdr>
    </w:div>
    <w:div w:id="998769989">
      <w:bodyDiv w:val="1"/>
      <w:marLeft w:val="0"/>
      <w:marRight w:val="0"/>
      <w:marTop w:val="0"/>
      <w:marBottom w:val="0"/>
      <w:divBdr>
        <w:top w:val="none" w:sz="0" w:space="0" w:color="auto"/>
        <w:left w:val="none" w:sz="0" w:space="0" w:color="auto"/>
        <w:bottom w:val="none" w:sz="0" w:space="0" w:color="auto"/>
        <w:right w:val="none" w:sz="0" w:space="0" w:color="auto"/>
      </w:divBdr>
    </w:div>
    <w:div w:id="1006516317">
      <w:bodyDiv w:val="1"/>
      <w:marLeft w:val="0"/>
      <w:marRight w:val="0"/>
      <w:marTop w:val="0"/>
      <w:marBottom w:val="0"/>
      <w:divBdr>
        <w:top w:val="none" w:sz="0" w:space="0" w:color="auto"/>
        <w:left w:val="none" w:sz="0" w:space="0" w:color="auto"/>
        <w:bottom w:val="none" w:sz="0" w:space="0" w:color="auto"/>
        <w:right w:val="none" w:sz="0" w:space="0" w:color="auto"/>
      </w:divBdr>
    </w:div>
    <w:div w:id="1013191341">
      <w:bodyDiv w:val="1"/>
      <w:marLeft w:val="0"/>
      <w:marRight w:val="0"/>
      <w:marTop w:val="0"/>
      <w:marBottom w:val="0"/>
      <w:divBdr>
        <w:top w:val="none" w:sz="0" w:space="0" w:color="auto"/>
        <w:left w:val="none" w:sz="0" w:space="0" w:color="auto"/>
        <w:bottom w:val="none" w:sz="0" w:space="0" w:color="auto"/>
        <w:right w:val="none" w:sz="0" w:space="0" w:color="auto"/>
      </w:divBdr>
    </w:div>
    <w:div w:id="1019085586">
      <w:bodyDiv w:val="1"/>
      <w:marLeft w:val="0"/>
      <w:marRight w:val="0"/>
      <w:marTop w:val="0"/>
      <w:marBottom w:val="0"/>
      <w:divBdr>
        <w:top w:val="none" w:sz="0" w:space="0" w:color="auto"/>
        <w:left w:val="none" w:sz="0" w:space="0" w:color="auto"/>
        <w:bottom w:val="none" w:sz="0" w:space="0" w:color="auto"/>
        <w:right w:val="none" w:sz="0" w:space="0" w:color="auto"/>
      </w:divBdr>
    </w:div>
    <w:div w:id="1026057086">
      <w:bodyDiv w:val="1"/>
      <w:marLeft w:val="0"/>
      <w:marRight w:val="0"/>
      <w:marTop w:val="0"/>
      <w:marBottom w:val="0"/>
      <w:divBdr>
        <w:top w:val="none" w:sz="0" w:space="0" w:color="auto"/>
        <w:left w:val="none" w:sz="0" w:space="0" w:color="auto"/>
        <w:bottom w:val="none" w:sz="0" w:space="0" w:color="auto"/>
        <w:right w:val="none" w:sz="0" w:space="0" w:color="auto"/>
      </w:divBdr>
    </w:div>
    <w:div w:id="1028142136">
      <w:bodyDiv w:val="1"/>
      <w:marLeft w:val="0"/>
      <w:marRight w:val="0"/>
      <w:marTop w:val="0"/>
      <w:marBottom w:val="0"/>
      <w:divBdr>
        <w:top w:val="none" w:sz="0" w:space="0" w:color="auto"/>
        <w:left w:val="none" w:sz="0" w:space="0" w:color="auto"/>
        <w:bottom w:val="none" w:sz="0" w:space="0" w:color="auto"/>
        <w:right w:val="none" w:sz="0" w:space="0" w:color="auto"/>
      </w:divBdr>
    </w:div>
    <w:div w:id="1033923193">
      <w:bodyDiv w:val="1"/>
      <w:marLeft w:val="0"/>
      <w:marRight w:val="0"/>
      <w:marTop w:val="0"/>
      <w:marBottom w:val="0"/>
      <w:divBdr>
        <w:top w:val="none" w:sz="0" w:space="0" w:color="auto"/>
        <w:left w:val="none" w:sz="0" w:space="0" w:color="auto"/>
        <w:bottom w:val="none" w:sz="0" w:space="0" w:color="auto"/>
        <w:right w:val="none" w:sz="0" w:space="0" w:color="auto"/>
      </w:divBdr>
    </w:div>
    <w:div w:id="1036470828">
      <w:bodyDiv w:val="1"/>
      <w:marLeft w:val="0"/>
      <w:marRight w:val="0"/>
      <w:marTop w:val="0"/>
      <w:marBottom w:val="0"/>
      <w:divBdr>
        <w:top w:val="none" w:sz="0" w:space="0" w:color="auto"/>
        <w:left w:val="none" w:sz="0" w:space="0" w:color="auto"/>
        <w:bottom w:val="none" w:sz="0" w:space="0" w:color="auto"/>
        <w:right w:val="none" w:sz="0" w:space="0" w:color="auto"/>
      </w:divBdr>
    </w:div>
    <w:div w:id="1044600502">
      <w:bodyDiv w:val="1"/>
      <w:marLeft w:val="0"/>
      <w:marRight w:val="0"/>
      <w:marTop w:val="0"/>
      <w:marBottom w:val="0"/>
      <w:divBdr>
        <w:top w:val="none" w:sz="0" w:space="0" w:color="auto"/>
        <w:left w:val="none" w:sz="0" w:space="0" w:color="auto"/>
        <w:bottom w:val="none" w:sz="0" w:space="0" w:color="auto"/>
        <w:right w:val="none" w:sz="0" w:space="0" w:color="auto"/>
      </w:divBdr>
    </w:div>
    <w:div w:id="1046221033">
      <w:bodyDiv w:val="1"/>
      <w:marLeft w:val="0"/>
      <w:marRight w:val="0"/>
      <w:marTop w:val="0"/>
      <w:marBottom w:val="0"/>
      <w:divBdr>
        <w:top w:val="none" w:sz="0" w:space="0" w:color="auto"/>
        <w:left w:val="none" w:sz="0" w:space="0" w:color="auto"/>
        <w:bottom w:val="none" w:sz="0" w:space="0" w:color="auto"/>
        <w:right w:val="none" w:sz="0" w:space="0" w:color="auto"/>
      </w:divBdr>
    </w:div>
    <w:div w:id="1048183843">
      <w:bodyDiv w:val="1"/>
      <w:marLeft w:val="0"/>
      <w:marRight w:val="0"/>
      <w:marTop w:val="0"/>
      <w:marBottom w:val="0"/>
      <w:divBdr>
        <w:top w:val="none" w:sz="0" w:space="0" w:color="auto"/>
        <w:left w:val="none" w:sz="0" w:space="0" w:color="auto"/>
        <w:bottom w:val="none" w:sz="0" w:space="0" w:color="auto"/>
        <w:right w:val="none" w:sz="0" w:space="0" w:color="auto"/>
      </w:divBdr>
    </w:div>
    <w:div w:id="1048842475">
      <w:bodyDiv w:val="1"/>
      <w:marLeft w:val="0"/>
      <w:marRight w:val="0"/>
      <w:marTop w:val="0"/>
      <w:marBottom w:val="0"/>
      <w:divBdr>
        <w:top w:val="none" w:sz="0" w:space="0" w:color="auto"/>
        <w:left w:val="none" w:sz="0" w:space="0" w:color="auto"/>
        <w:bottom w:val="none" w:sz="0" w:space="0" w:color="auto"/>
        <w:right w:val="none" w:sz="0" w:space="0" w:color="auto"/>
      </w:divBdr>
    </w:div>
    <w:div w:id="1068697930">
      <w:bodyDiv w:val="1"/>
      <w:marLeft w:val="0"/>
      <w:marRight w:val="0"/>
      <w:marTop w:val="0"/>
      <w:marBottom w:val="0"/>
      <w:divBdr>
        <w:top w:val="none" w:sz="0" w:space="0" w:color="auto"/>
        <w:left w:val="none" w:sz="0" w:space="0" w:color="auto"/>
        <w:bottom w:val="none" w:sz="0" w:space="0" w:color="auto"/>
        <w:right w:val="none" w:sz="0" w:space="0" w:color="auto"/>
      </w:divBdr>
    </w:div>
    <w:div w:id="1083113523">
      <w:bodyDiv w:val="1"/>
      <w:marLeft w:val="0"/>
      <w:marRight w:val="0"/>
      <w:marTop w:val="0"/>
      <w:marBottom w:val="0"/>
      <w:divBdr>
        <w:top w:val="none" w:sz="0" w:space="0" w:color="auto"/>
        <w:left w:val="none" w:sz="0" w:space="0" w:color="auto"/>
        <w:bottom w:val="none" w:sz="0" w:space="0" w:color="auto"/>
        <w:right w:val="none" w:sz="0" w:space="0" w:color="auto"/>
      </w:divBdr>
    </w:div>
    <w:div w:id="1085766638">
      <w:bodyDiv w:val="1"/>
      <w:marLeft w:val="0"/>
      <w:marRight w:val="0"/>
      <w:marTop w:val="0"/>
      <w:marBottom w:val="0"/>
      <w:divBdr>
        <w:top w:val="none" w:sz="0" w:space="0" w:color="auto"/>
        <w:left w:val="none" w:sz="0" w:space="0" w:color="auto"/>
        <w:bottom w:val="none" w:sz="0" w:space="0" w:color="auto"/>
        <w:right w:val="none" w:sz="0" w:space="0" w:color="auto"/>
      </w:divBdr>
    </w:div>
    <w:div w:id="1093238023">
      <w:bodyDiv w:val="1"/>
      <w:marLeft w:val="0"/>
      <w:marRight w:val="0"/>
      <w:marTop w:val="0"/>
      <w:marBottom w:val="0"/>
      <w:divBdr>
        <w:top w:val="none" w:sz="0" w:space="0" w:color="auto"/>
        <w:left w:val="none" w:sz="0" w:space="0" w:color="auto"/>
        <w:bottom w:val="none" w:sz="0" w:space="0" w:color="auto"/>
        <w:right w:val="none" w:sz="0" w:space="0" w:color="auto"/>
      </w:divBdr>
    </w:div>
    <w:div w:id="1093430383">
      <w:bodyDiv w:val="1"/>
      <w:marLeft w:val="0"/>
      <w:marRight w:val="0"/>
      <w:marTop w:val="0"/>
      <w:marBottom w:val="0"/>
      <w:divBdr>
        <w:top w:val="none" w:sz="0" w:space="0" w:color="auto"/>
        <w:left w:val="none" w:sz="0" w:space="0" w:color="auto"/>
        <w:bottom w:val="none" w:sz="0" w:space="0" w:color="auto"/>
        <w:right w:val="none" w:sz="0" w:space="0" w:color="auto"/>
      </w:divBdr>
    </w:div>
    <w:div w:id="1095445942">
      <w:bodyDiv w:val="1"/>
      <w:marLeft w:val="0"/>
      <w:marRight w:val="0"/>
      <w:marTop w:val="0"/>
      <w:marBottom w:val="0"/>
      <w:divBdr>
        <w:top w:val="none" w:sz="0" w:space="0" w:color="auto"/>
        <w:left w:val="none" w:sz="0" w:space="0" w:color="auto"/>
        <w:bottom w:val="none" w:sz="0" w:space="0" w:color="auto"/>
        <w:right w:val="none" w:sz="0" w:space="0" w:color="auto"/>
      </w:divBdr>
    </w:div>
    <w:div w:id="1097215323">
      <w:bodyDiv w:val="1"/>
      <w:marLeft w:val="0"/>
      <w:marRight w:val="0"/>
      <w:marTop w:val="0"/>
      <w:marBottom w:val="0"/>
      <w:divBdr>
        <w:top w:val="none" w:sz="0" w:space="0" w:color="auto"/>
        <w:left w:val="none" w:sz="0" w:space="0" w:color="auto"/>
        <w:bottom w:val="none" w:sz="0" w:space="0" w:color="auto"/>
        <w:right w:val="none" w:sz="0" w:space="0" w:color="auto"/>
      </w:divBdr>
    </w:div>
    <w:div w:id="1102216591">
      <w:bodyDiv w:val="1"/>
      <w:marLeft w:val="0"/>
      <w:marRight w:val="0"/>
      <w:marTop w:val="0"/>
      <w:marBottom w:val="0"/>
      <w:divBdr>
        <w:top w:val="none" w:sz="0" w:space="0" w:color="auto"/>
        <w:left w:val="none" w:sz="0" w:space="0" w:color="auto"/>
        <w:bottom w:val="none" w:sz="0" w:space="0" w:color="auto"/>
        <w:right w:val="none" w:sz="0" w:space="0" w:color="auto"/>
      </w:divBdr>
    </w:div>
    <w:div w:id="1109398959">
      <w:bodyDiv w:val="1"/>
      <w:marLeft w:val="0"/>
      <w:marRight w:val="0"/>
      <w:marTop w:val="0"/>
      <w:marBottom w:val="0"/>
      <w:divBdr>
        <w:top w:val="none" w:sz="0" w:space="0" w:color="auto"/>
        <w:left w:val="none" w:sz="0" w:space="0" w:color="auto"/>
        <w:bottom w:val="none" w:sz="0" w:space="0" w:color="auto"/>
        <w:right w:val="none" w:sz="0" w:space="0" w:color="auto"/>
      </w:divBdr>
    </w:div>
    <w:div w:id="1109468498">
      <w:bodyDiv w:val="1"/>
      <w:marLeft w:val="0"/>
      <w:marRight w:val="0"/>
      <w:marTop w:val="0"/>
      <w:marBottom w:val="0"/>
      <w:divBdr>
        <w:top w:val="none" w:sz="0" w:space="0" w:color="auto"/>
        <w:left w:val="none" w:sz="0" w:space="0" w:color="auto"/>
        <w:bottom w:val="none" w:sz="0" w:space="0" w:color="auto"/>
        <w:right w:val="none" w:sz="0" w:space="0" w:color="auto"/>
      </w:divBdr>
    </w:div>
    <w:div w:id="1109544487">
      <w:bodyDiv w:val="1"/>
      <w:marLeft w:val="0"/>
      <w:marRight w:val="0"/>
      <w:marTop w:val="0"/>
      <w:marBottom w:val="0"/>
      <w:divBdr>
        <w:top w:val="none" w:sz="0" w:space="0" w:color="auto"/>
        <w:left w:val="none" w:sz="0" w:space="0" w:color="auto"/>
        <w:bottom w:val="none" w:sz="0" w:space="0" w:color="auto"/>
        <w:right w:val="none" w:sz="0" w:space="0" w:color="auto"/>
      </w:divBdr>
    </w:div>
    <w:div w:id="1111898754">
      <w:bodyDiv w:val="1"/>
      <w:marLeft w:val="0"/>
      <w:marRight w:val="0"/>
      <w:marTop w:val="0"/>
      <w:marBottom w:val="0"/>
      <w:divBdr>
        <w:top w:val="none" w:sz="0" w:space="0" w:color="auto"/>
        <w:left w:val="none" w:sz="0" w:space="0" w:color="auto"/>
        <w:bottom w:val="none" w:sz="0" w:space="0" w:color="auto"/>
        <w:right w:val="none" w:sz="0" w:space="0" w:color="auto"/>
      </w:divBdr>
    </w:div>
    <w:div w:id="1119109000">
      <w:bodyDiv w:val="1"/>
      <w:marLeft w:val="0"/>
      <w:marRight w:val="0"/>
      <w:marTop w:val="0"/>
      <w:marBottom w:val="0"/>
      <w:divBdr>
        <w:top w:val="none" w:sz="0" w:space="0" w:color="auto"/>
        <w:left w:val="none" w:sz="0" w:space="0" w:color="auto"/>
        <w:bottom w:val="none" w:sz="0" w:space="0" w:color="auto"/>
        <w:right w:val="none" w:sz="0" w:space="0" w:color="auto"/>
      </w:divBdr>
    </w:div>
    <w:div w:id="1131358607">
      <w:bodyDiv w:val="1"/>
      <w:marLeft w:val="0"/>
      <w:marRight w:val="0"/>
      <w:marTop w:val="0"/>
      <w:marBottom w:val="0"/>
      <w:divBdr>
        <w:top w:val="none" w:sz="0" w:space="0" w:color="auto"/>
        <w:left w:val="none" w:sz="0" w:space="0" w:color="auto"/>
        <w:bottom w:val="none" w:sz="0" w:space="0" w:color="auto"/>
        <w:right w:val="none" w:sz="0" w:space="0" w:color="auto"/>
      </w:divBdr>
    </w:div>
    <w:div w:id="1140030426">
      <w:bodyDiv w:val="1"/>
      <w:marLeft w:val="0"/>
      <w:marRight w:val="0"/>
      <w:marTop w:val="0"/>
      <w:marBottom w:val="0"/>
      <w:divBdr>
        <w:top w:val="none" w:sz="0" w:space="0" w:color="auto"/>
        <w:left w:val="none" w:sz="0" w:space="0" w:color="auto"/>
        <w:bottom w:val="none" w:sz="0" w:space="0" w:color="auto"/>
        <w:right w:val="none" w:sz="0" w:space="0" w:color="auto"/>
      </w:divBdr>
    </w:div>
    <w:div w:id="1144590699">
      <w:bodyDiv w:val="1"/>
      <w:marLeft w:val="0"/>
      <w:marRight w:val="0"/>
      <w:marTop w:val="0"/>
      <w:marBottom w:val="0"/>
      <w:divBdr>
        <w:top w:val="none" w:sz="0" w:space="0" w:color="auto"/>
        <w:left w:val="none" w:sz="0" w:space="0" w:color="auto"/>
        <w:bottom w:val="none" w:sz="0" w:space="0" w:color="auto"/>
        <w:right w:val="none" w:sz="0" w:space="0" w:color="auto"/>
      </w:divBdr>
    </w:div>
    <w:div w:id="1145046878">
      <w:bodyDiv w:val="1"/>
      <w:marLeft w:val="0"/>
      <w:marRight w:val="0"/>
      <w:marTop w:val="0"/>
      <w:marBottom w:val="0"/>
      <w:divBdr>
        <w:top w:val="none" w:sz="0" w:space="0" w:color="auto"/>
        <w:left w:val="none" w:sz="0" w:space="0" w:color="auto"/>
        <w:bottom w:val="none" w:sz="0" w:space="0" w:color="auto"/>
        <w:right w:val="none" w:sz="0" w:space="0" w:color="auto"/>
      </w:divBdr>
    </w:div>
    <w:div w:id="1147628825">
      <w:bodyDiv w:val="1"/>
      <w:marLeft w:val="0"/>
      <w:marRight w:val="0"/>
      <w:marTop w:val="0"/>
      <w:marBottom w:val="0"/>
      <w:divBdr>
        <w:top w:val="none" w:sz="0" w:space="0" w:color="auto"/>
        <w:left w:val="none" w:sz="0" w:space="0" w:color="auto"/>
        <w:bottom w:val="none" w:sz="0" w:space="0" w:color="auto"/>
        <w:right w:val="none" w:sz="0" w:space="0" w:color="auto"/>
      </w:divBdr>
    </w:div>
    <w:div w:id="1154568370">
      <w:bodyDiv w:val="1"/>
      <w:marLeft w:val="0"/>
      <w:marRight w:val="0"/>
      <w:marTop w:val="0"/>
      <w:marBottom w:val="0"/>
      <w:divBdr>
        <w:top w:val="none" w:sz="0" w:space="0" w:color="auto"/>
        <w:left w:val="none" w:sz="0" w:space="0" w:color="auto"/>
        <w:bottom w:val="none" w:sz="0" w:space="0" w:color="auto"/>
        <w:right w:val="none" w:sz="0" w:space="0" w:color="auto"/>
      </w:divBdr>
    </w:div>
    <w:div w:id="1158157197">
      <w:bodyDiv w:val="1"/>
      <w:marLeft w:val="0"/>
      <w:marRight w:val="0"/>
      <w:marTop w:val="0"/>
      <w:marBottom w:val="0"/>
      <w:divBdr>
        <w:top w:val="none" w:sz="0" w:space="0" w:color="auto"/>
        <w:left w:val="none" w:sz="0" w:space="0" w:color="auto"/>
        <w:bottom w:val="none" w:sz="0" w:space="0" w:color="auto"/>
        <w:right w:val="none" w:sz="0" w:space="0" w:color="auto"/>
      </w:divBdr>
    </w:div>
    <w:div w:id="1164322956">
      <w:bodyDiv w:val="1"/>
      <w:marLeft w:val="0"/>
      <w:marRight w:val="0"/>
      <w:marTop w:val="0"/>
      <w:marBottom w:val="0"/>
      <w:divBdr>
        <w:top w:val="none" w:sz="0" w:space="0" w:color="auto"/>
        <w:left w:val="none" w:sz="0" w:space="0" w:color="auto"/>
        <w:bottom w:val="none" w:sz="0" w:space="0" w:color="auto"/>
        <w:right w:val="none" w:sz="0" w:space="0" w:color="auto"/>
      </w:divBdr>
    </w:div>
    <w:div w:id="1164709493">
      <w:bodyDiv w:val="1"/>
      <w:marLeft w:val="0"/>
      <w:marRight w:val="0"/>
      <w:marTop w:val="0"/>
      <w:marBottom w:val="0"/>
      <w:divBdr>
        <w:top w:val="none" w:sz="0" w:space="0" w:color="auto"/>
        <w:left w:val="none" w:sz="0" w:space="0" w:color="auto"/>
        <w:bottom w:val="none" w:sz="0" w:space="0" w:color="auto"/>
        <w:right w:val="none" w:sz="0" w:space="0" w:color="auto"/>
      </w:divBdr>
    </w:div>
    <w:div w:id="1167162542">
      <w:bodyDiv w:val="1"/>
      <w:marLeft w:val="0"/>
      <w:marRight w:val="0"/>
      <w:marTop w:val="0"/>
      <w:marBottom w:val="0"/>
      <w:divBdr>
        <w:top w:val="none" w:sz="0" w:space="0" w:color="auto"/>
        <w:left w:val="none" w:sz="0" w:space="0" w:color="auto"/>
        <w:bottom w:val="none" w:sz="0" w:space="0" w:color="auto"/>
        <w:right w:val="none" w:sz="0" w:space="0" w:color="auto"/>
      </w:divBdr>
    </w:div>
    <w:div w:id="1170415533">
      <w:bodyDiv w:val="1"/>
      <w:marLeft w:val="0"/>
      <w:marRight w:val="0"/>
      <w:marTop w:val="0"/>
      <w:marBottom w:val="0"/>
      <w:divBdr>
        <w:top w:val="none" w:sz="0" w:space="0" w:color="auto"/>
        <w:left w:val="none" w:sz="0" w:space="0" w:color="auto"/>
        <w:bottom w:val="none" w:sz="0" w:space="0" w:color="auto"/>
        <w:right w:val="none" w:sz="0" w:space="0" w:color="auto"/>
      </w:divBdr>
    </w:div>
    <w:div w:id="1180657601">
      <w:bodyDiv w:val="1"/>
      <w:marLeft w:val="0"/>
      <w:marRight w:val="0"/>
      <w:marTop w:val="0"/>
      <w:marBottom w:val="0"/>
      <w:divBdr>
        <w:top w:val="none" w:sz="0" w:space="0" w:color="auto"/>
        <w:left w:val="none" w:sz="0" w:space="0" w:color="auto"/>
        <w:bottom w:val="none" w:sz="0" w:space="0" w:color="auto"/>
        <w:right w:val="none" w:sz="0" w:space="0" w:color="auto"/>
      </w:divBdr>
    </w:div>
    <w:div w:id="1180965942">
      <w:bodyDiv w:val="1"/>
      <w:marLeft w:val="0"/>
      <w:marRight w:val="0"/>
      <w:marTop w:val="0"/>
      <w:marBottom w:val="0"/>
      <w:divBdr>
        <w:top w:val="none" w:sz="0" w:space="0" w:color="auto"/>
        <w:left w:val="none" w:sz="0" w:space="0" w:color="auto"/>
        <w:bottom w:val="none" w:sz="0" w:space="0" w:color="auto"/>
        <w:right w:val="none" w:sz="0" w:space="0" w:color="auto"/>
      </w:divBdr>
    </w:div>
    <w:div w:id="1183933414">
      <w:bodyDiv w:val="1"/>
      <w:marLeft w:val="0"/>
      <w:marRight w:val="0"/>
      <w:marTop w:val="0"/>
      <w:marBottom w:val="0"/>
      <w:divBdr>
        <w:top w:val="none" w:sz="0" w:space="0" w:color="auto"/>
        <w:left w:val="none" w:sz="0" w:space="0" w:color="auto"/>
        <w:bottom w:val="none" w:sz="0" w:space="0" w:color="auto"/>
        <w:right w:val="none" w:sz="0" w:space="0" w:color="auto"/>
      </w:divBdr>
    </w:div>
    <w:div w:id="1189836196">
      <w:bodyDiv w:val="1"/>
      <w:marLeft w:val="0"/>
      <w:marRight w:val="0"/>
      <w:marTop w:val="0"/>
      <w:marBottom w:val="0"/>
      <w:divBdr>
        <w:top w:val="none" w:sz="0" w:space="0" w:color="auto"/>
        <w:left w:val="none" w:sz="0" w:space="0" w:color="auto"/>
        <w:bottom w:val="none" w:sz="0" w:space="0" w:color="auto"/>
        <w:right w:val="none" w:sz="0" w:space="0" w:color="auto"/>
      </w:divBdr>
    </w:div>
    <w:div w:id="1199589861">
      <w:bodyDiv w:val="1"/>
      <w:marLeft w:val="0"/>
      <w:marRight w:val="0"/>
      <w:marTop w:val="0"/>
      <w:marBottom w:val="0"/>
      <w:divBdr>
        <w:top w:val="none" w:sz="0" w:space="0" w:color="auto"/>
        <w:left w:val="none" w:sz="0" w:space="0" w:color="auto"/>
        <w:bottom w:val="none" w:sz="0" w:space="0" w:color="auto"/>
        <w:right w:val="none" w:sz="0" w:space="0" w:color="auto"/>
      </w:divBdr>
    </w:div>
    <w:div w:id="1201819454">
      <w:bodyDiv w:val="1"/>
      <w:marLeft w:val="0"/>
      <w:marRight w:val="0"/>
      <w:marTop w:val="0"/>
      <w:marBottom w:val="0"/>
      <w:divBdr>
        <w:top w:val="none" w:sz="0" w:space="0" w:color="auto"/>
        <w:left w:val="none" w:sz="0" w:space="0" w:color="auto"/>
        <w:bottom w:val="none" w:sz="0" w:space="0" w:color="auto"/>
        <w:right w:val="none" w:sz="0" w:space="0" w:color="auto"/>
      </w:divBdr>
    </w:div>
    <w:div w:id="1208906830">
      <w:bodyDiv w:val="1"/>
      <w:marLeft w:val="0"/>
      <w:marRight w:val="0"/>
      <w:marTop w:val="0"/>
      <w:marBottom w:val="0"/>
      <w:divBdr>
        <w:top w:val="none" w:sz="0" w:space="0" w:color="auto"/>
        <w:left w:val="none" w:sz="0" w:space="0" w:color="auto"/>
        <w:bottom w:val="none" w:sz="0" w:space="0" w:color="auto"/>
        <w:right w:val="none" w:sz="0" w:space="0" w:color="auto"/>
      </w:divBdr>
    </w:div>
    <w:div w:id="1215045745">
      <w:bodyDiv w:val="1"/>
      <w:marLeft w:val="0"/>
      <w:marRight w:val="0"/>
      <w:marTop w:val="0"/>
      <w:marBottom w:val="0"/>
      <w:divBdr>
        <w:top w:val="none" w:sz="0" w:space="0" w:color="auto"/>
        <w:left w:val="none" w:sz="0" w:space="0" w:color="auto"/>
        <w:bottom w:val="none" w:sz="0" w:space="0" w:color="auto"/>
        <w:right w:val="none" w:sz="0" w:space="0" w:color="auto"/>
      </w:divBdr>
    </w:div>
    <w:div w:id="1215510903">
      <w:bodyDiv w:val="1"/>
      <w:marLeft w:val="0"/>
      <w:marRight w:val="0"/>
      <w:marTop w:val="0"/>
      <w:marBottom w:val="0"/>
      <w:divBdr>
        <w:top w:val="none" w:sz="0" w:space="0" w:color="auto"/>
        <w:left w:val="none" w:sz="0" w:space="0" w:color="auto"/>
        <w:bottom w:val="none" w:sz="0" w:space="0" w:color="auto"/>
        <w:right w:val="none" w:sz="0" w:space="0" w:color="auto"/>
      </w:divBdr>
    </w:div>
    <w:div w:id="1215511105">
      <w:bodyDiv w:val="1"/>
      <w:marLeft w:val="0"/>
      <w:marRight w:val="0"/>
      <w:marTop w:val="0"/>
      <w:marBottom w:val="0"/>
      <w:divBdr>
        <w:top w:val="none" w:sz="0" w:space="0" w:color="auto"/>
        <w:left w:val="none" w:sz="0" w:space="0" w:color="auto"/>
        <w:bottom w:val="none" w:sz="0" w:space="0" w:color="auto"/>
        <w:right w:val="none" w:sz="0" w:space="0" w:color="auto"/>
      </w:divBdr>
    </w:div>
    <w:div w:id="1221744774">
      <w:bodyDiv w:val="1"/>
      <w:marLeft w:val="0"/>
      <w:marRight w:val="0"/>
      <w:marTop w:val="0"/>
      <w:marBottom w:val="0"/>
      <w:divBdr>
        <w:top w:val="none" w:sz="0" w:space="0" w:color="auto"/>
        <w:left w:val="none" w:sz="0" w:space="0" w:color="auto"/>
        <w:bottom w:val="none" w:sz="0" w:space="0" w:color="auto"/>
        <w:right w:val="none" w:sz="0" w:space="0" w:color="auto"/>
      </w:divBdr>
    </w:div>
    <w:div w:id="1227455801">
      <w:bodyDiv w:val="1"/>
      <w:marLeft w:val="0"/>
      <w:marRight w:val="0"/>
      <w:marTop w:val="0"/>
      <w:marBottom w:val="0"/>
      <w:divBdr>
        <w:top w:val="none" w:sz="0" w:space="0" w:color="auto"/>
        <w:left w:val="none" w:sz="0" w:space="0" w:color="auto"/>
        <w:bottom w:val="none" w:sz="0" w:space="0" w:color="auto"/>
        <w:right w:val="none" w:sz="0" w:space="0" w:color="auto"/>
      </w:divBdr>
    </w:div>
    <w:div w:id="1231891546">
      <w:bodyDiv w:val="1"/>
      <w:marLeft w:val="0"/>
      <w:marRight w:val="0"/>
      <w:marTop w:val="0"/>
      <w:marBottom w:val="0"/>
      <w:divBdr>
        <w:top w:val="none" w:sz="0" w:space="0" w:color="auto"/>
        <w:left w:val="none" w:sz="0" w:space="0" w:color="auto"/>
        <w:bottom w:val="none" w:sz="0" w:space="0" w:color="auto"/>
        <w:right w:val="none" w:sz="0" w:space="0" w:color="auto"/>
      </w:divBdr>
    </w:div>
    <w:div w:id="1232698176">
      <w:bodyDiv w:val="1"/>
      <w:marLeft w:val="0"/>
      <w:marRight w:val="0"/>
      <w:marTop w:val="0"/>
      <w:marBottom w:val="0"/>
      <w:divBdr>
        <w:top w:val="none" w:sz="0" w:space="0" w:color="auto"/>
        <w:left w:val="none" w:sz="0" w:space="0" w:color="auto"/>
        <w:bottom w:val="none" w:sz="0" w:space="0" w:color="auto"/>
        <w:right w:val="none" w:sz="0" w:space="0" w:color="auto"/>
      </w:divBdr>
    </w:div>
    <w:div w:id="1245187722">
      <w:bodyDiv w:val="1"/>
      <w:marLeft w:val="0"/>
      <w:marRight w:val="0"/>
      <w:marTop w:val="0"/>
      <w:marBottom w:val="0"/>
      <w:divBdr>
        <w:top w:val="none" w:sz="0" w:space="0" w:color="auto"/>
        <w:left w:val="none" w:sz="0" w:space="0" w:color="auto"/>
        <w:bottom w:val="none" w:sz="0" w:space="0" w:color="auto"/>
        <w:right w:val="none" w:sz="0" w:space="0" w:color="auto"/>
      </w:divBdr>
    </w:div>
    <w:div w:id="1247688006">
      <w:bodyDiv w:val="1"/>
      <w:marLeft w:val="0"/>
      <w:marRight w:val="0"/>
      <w:marTop w:val="0"/>
      <w:marBottom w:val="0"/>
      <w:divBdr>
        <w:top w:val="none" w:sz="0" w:space="0" w:color="auto"/>
        <w:left w:val="none" w:sz="0" w:space="0" w:color="auto"/>
        <w:bottom w:val="none" w:sz="0" w:space="0" w:color="auto"/>
        <w:right w:val="none" w:sz="0" w:space="0" w:color="auto"/>
      </w:divBdr>
    </w:div>
    <w:div w:id="1249728263">
      <w:bodyDiv w:val="1"/>
      <w:marLeft w:val="0"/>
      <w:marRight w:val="0"/>
      <w:marTop w:val="0"/>
      <w:marBottom w:val="0"/>
      <w:divBdr>
        <w:top w:val="none" w:sz="0" w:space="0" w:color="auto"/>
        <w:left w:val="none" w:sz="0" w:space="0" w:color="auto"/>
        <w:bottom w:val="none" w:sz="0" w:space="0" w:color="auto"/>
        <w:right w:val="none" w:sz="0" w:space="0" w:color="auto"/>
      </w:divBdr>
    </w:div>
    <w:div w:id="1249773294">
      <w:bodyDiv w:val="1"/>
      <w:marLeft w:val="0"/>
      <w:marRight w:val="0"/>
      <w:marTop w:val="0"/>
      <w:marBottom w:val="0"/>
      <w:divBdr>
        <w:top w:val="none" w:sz="0" w:space="0" w:color="auto"/>
        <w:left w:val="none" w:sz="0" w:space="0" w:color="auto"/>
        <w:bottom w:val="none" w:sz="0" w:space="0" w:color="auto"/>
        <w:right w:val="none" w:sz="0" w:space="0" w:color="auto"/>
      </w:divBdr>
    </w:div>
    <w:div w:id="1251549435">
      <w:bodyDiv w:val="1"/>
      <w:marLeft w:val="0"/>
      <w:marRight w:val="0"/>
      <w:marTop w:val="0"/>
      <w:marBottom w:val="0"/>
      <w:divBdr>
        <w:top w:val="none" w:sz="0" w:space="0" w:color="auto"/>
        <w:left w:val="none" w:sz="0" w:space="0" w:color="auto"/>
        <w:bottom w:val="none" w:sz="0" w:space="0" w:color="auto"/>
        <w:right w:val="none" w:sz="0" w:space="0" w:color="auto"/>
      </w:divBdr>
    </w:div>
    <w:div w:id="1256788845">
      <w:bodyDiv w:val="1"/>
      <w:marLeft w:val="0"/>
      <w:marRight w:val="0"/>
      <w:marTop w:val="0"/>
      <w:marBottom w:val="0"/>
      <w:divBdr>
        <w:top w:val="none" w:sz="0" w:space="0" w:color="auto"/>
        <w:left w:val="none" w:sz="0" w:space="0" w:color="auto"/>
        <w:bottom w:val="none" w:sz="0" w:space="0" w:color="auto"/>
        <w:right w:val="none" w:sz="0" w:space="0" w:color="auto"/>
      </w:divBdr>
    </w:div>
    <w:div w:id="1260602040">
      <w:bodyDiv w:val="1"/>
      <w:marLeft w:val="0"/>
      <w:marRight w:val="0"/>
      <w:marTop w:val="0"/>
      <w:marBottom w:val="0"/>
      <w:divBdr>
        <w:top w:val="none" w:sz="0" w:space="0" w:color="auto"/>
        <w:left w:val="none" w:sz="0" w:space="0" w:color="auto"/>
        <w:bottom w:val="none" w:sz="0" w:space="0" w:color="auto"/>
        <w:right w:val="none" w:sz="0" w:space="0" w:color="auto"/>
      </w:divBdr>
    </w:div>
    <w:div w:id="1261992406">
      <w:bodyDiv w:val="1"/>
      <w:marLeft w:val="0"/>
      <w:marRight w:val="0"/>
      <w:marTop w:val="0"/>
      <w:marBottom w:val="0"/>
      <w:divBdr>
        <w:top w:val="none" w:sz="0" w:space="0" w:color="auto"/>
        <w:left w:val="none" w:sz="0" w:space="0" w:color="auto"/>
        <w:bottom w:val="none" w:sz="0" w:space="0" w:color="auto"/>
        <w:right w:val="none" w:sz="0" w:space="0" w:color="auto"/>
      </w:divBdr>
    </w:div>
    <w:div w:id="1266230028">
      <w:bodyDiv w:val="1"/>
      <w:marLeft w:val="0"/>
      <w:marRight w:val="0"/>
      <w:marTop w:val="0"/>
      <w:marBottom w:val="0"/>
      <w:divBdr>
        <w:top w:val="none" w:sz="0" w:space="0" w:color="auto"/>
        <w:left w:val="none" w:sz="0" w:space="0" w:color="auto"/>
        <w:bottom w:val="none" w:sz="0" w:space="0" w:color="auto"/>
        <w:right w:val="none" w:sz="0" w:space="0" w:color="auto"/>
      </w:divBdr>
    </w:div>
    <w:div w:id="1269892265">
      <w:bodyDiv w:val="1"/>
      <w:marLeft w:val="0"/>
      <w:marRight w:val="0"/>
      <w:marTop w:val="0"/>
      <w:marBottom w:val="0"/>
      <w:divBdr>
        <w:top w:val="none" w:sz="0" w:space="0" w:color="auto"/>
        <w:left w:val="none" w:sz="0" w:space="0" w:color="auto"/>
        <w:bottom w:val="none" w:sz="0" w:space="0" w:color="auto"/>
        <w:right w:val="none" w:sz="0" w:space="0" w:color="auto"/>
      </w:divBdr>
    </w:div>
    <w:div w:id="1271859931">
      <w:bodyDiv w:val="1"/>
      <w:marLeft w:val="0"/>
      <w:marRight w:val="0"/>
      <w:marTop w:val="0"/>
      <w:marBottom w:val="0"/>
      <w:divBdr>
        <w:top w:val="none" w:sz="0" w:space="0" w:color="auto"/>
        <w:left w:val="none" w:sz="0" w:space="0" w:color="auto"/>
        <w:bottom w:val="none" w:sz="0" w:space="0" w:color="auto"/>
        <w:right w:val="none" w:sz="0" w:space="0" w:color="auto"/>
      </w:divBdr>
    </w:div>
    <w:div w:id="1274441746">
      <w:bodyDiv w:val="1"/>
      <w:marLeft w:val="0"/>
      <w:marRight w:val="0"/>
      <w:marTop w:val="0"/>
      <w:marBottom w:val="0"/>
      <w:divBdr>
        <w:top w:val="none" w:sz="0" w:space="0" w:color="auto"/>
        <w:left w:val="none" w:sz="0" w:space="0" w:color="auto"/>
        <w:bottom w:val="none" w:sz="0" w:space="0" w:color="auto"/>
        <w:right w:val="none" w:sz="0" w:space="0" w:color="auto"/>
      </w:divBdr>
    </w:div>
    <w:div w:id="1278828228">
      <w:bodyDiv w:val="1"/>
      <w:marLeft w:val="0"/>
      <w:marRight w:val="0"/>
      <w:marTop w:val="0"/>
      <w:marBottom w:val="0"/>
      <w:divBdr>
        <w:top w:val="none" w:sz="0" w:space="0" w:color="auto"/>
        <w:left w:val="none" w:sz="0" w:space="0" w:color="auto"/>
        <w:bottom w:val="none" w:sz="0" w:space="0" w:color="auto"/>
        <w:right w:val="none" w:sz="0" w:space="0" w:color="auto"/>
      </w:divBdr>
    </w:div>
    <w:div w:id="1278829361">
      <w:bodyDiv w:val="1"/>
      <w:marLeft w:val="0"/>
      <w:marRight w:val="0"/>
      <w:marTop w:val="0"/>
      <w:marBottom w:val="0"/>
      <w:divBdr>
        <w:top w:val="none" w:sz="0" w:space="0" w:color="auto"/>
        <w:left w:val="none" w:sz="0" w:space="0" w:color="auto"/>
        <w:bottom w:val="none" w:sz="0" w:space="0" w:color="auto"/>
        <w:right w:val="none" w:sz="0" w:space="0" w:color="auto"/>
      </w:divBdr>
    </w:div>
    <w:div w:id="1280601042">
      <w:bodyDiv w:val="1"/>
      <w:marLeft w:val="0"/>
      <w:marRight w:val="0"/>
      <w:marTop w:val="0"/>
      <w:marBottom w:val="0"/>
      <w:divBdr>
        <w:top w:val="none" w:sz="0" w:space="0" w:color="auto"/>
        <w:left w:val="none" w:sz="0" w:space="0" w:color="auto"/>
        <w:bottom w:val="none" w:sz="0" w:space="0" w:color="auto"/>
        <w:right w:val="none" w:sz="0" w:space="0" w:color="auto"/>
      </w:divBdr>
    </w:div>
    <w:div w:id="1280726630">
      <w:bodyDiv w:val="1"/>
      <w:marLeft w:val="0"/>
      <w:marRight w:val="0"/>
      <w:marTop w:val="0"/>
      <w:marBottom w:val="0"/>
      <w:divBdr>
        <w:top w:val="none" w:sz="0" w:space="0" w:color="auto"/>
        <w:left w:val="none" w:sz="0" w:space="0" w:color="auto"/>
        <w:bottom w:val="none" w:sz="0" w:space="0" w:color="auto"/>
        <w:right w:val="none" w:sz="0" w:space="0" w:color="auto"/>
      </w:divBdr>
    </w:div>
    <w:div w:id="1288270551">
      <w:bodyDiv w:val="1"/>
      <w:marLeft w:val="0"/>
      <w:marRight w:val="0"/>
      <w:marTop w:val="0"/>
      <w:marBottom w:val="0"/>
      <w:divBdr>
        <w:top w:val="none" w:sz="0" w:space="0" w:color="auto"/>
        <w:left w:val="none" w:sz="0" w:space="0" w:color="auto"/>
        <w:bottom w:val="none" w:sz="0" w:space="0" w:color="auto"/>
        <w:right w:val="none" w:sz="0" w:space="0" w:color="auto"/>
      </w:divBdr>
    </w:div>
    <w:div w:id="1289169521">
      <w:bodyDiv w:val="1"/>
      <w:marLeft w:val="0"/>
      <w:marRight w:val="0"/>
      <w:marTop w:val="0"/>
      <w:marBottom w:val="0"/>
      <w:divBdr>
        <w:top w:val="none" w:sz="0" w:space="0" w:color="auto"/>
        <w:left w:val="none" w:sz="0" w:space="0" w:color="auto"/>
        <w:bottom w:val="none" w:sz="0" w:space="0" w:color="auto"/>
        <w:right w:val="none" w:sz="0" w:space="0" w:color="auto"/>
      </w:divBdr>
    </w:div>
    <w:div w:id="1289357313">
      <w:bodyDiv w:val="1"/>
      <w:marLeft w:val="0"/>
      <w:marRight w:val="0"/>
      <w:marTop w:val="0"/>
      <w:marBottom w:val="0"/>
      <w:divBdr>
        <w:top w:val="none" w:sz="0" w:space="0" w:color="auto"/>
        <w:left w:val="none" w:sz="0" w:space="0" w:color="auto"/>
        <w:bottom w:val="none" w:sz="0" w:space="0" w:color="auto"/>
        <w:right w:val="none" w:sz="0" w:space="0" w:color="auto"/>
      </w:divBdr>
    </w:div>
    <w:div w:id="1291784307">
      <w:bodyDiv w:val="1"/>
      <w:marLeft w:val="0"/>
      <w:marRight w:val="0"/>
      <w:marTop w:val="0"/>
      <w:marBottom w:val="0"/>
      <w:divBdr>
        <w:top w:val="none" w:sz="0" w:space="0" w:color="auto"/>
        <w:left w:val="none" w:sz="0" w:space="0" w:color="auto"/>
        <w:bottom w:val="none" w:sz="0" w:space="0" w:color="auto"/>
        <w:right w:val="none" w:sz="0" w:space="0" w:color="auto"/>
      </w:divBdr>
    </w:div>
    <w:div w:id="1294747216">
      <w:bodyDiv w:val="1"/>
      <w:marLeft w:val="0"/>
      <w:marRight w:val="0"/>
      <w:marTop w:val="0"/>
      <w:marBottom w:val="0"/>
      <w:divBdr>
        <w:top w:val="none" w:sz="0" w:space="0" w:color="auto"/>
        <w:left w:val="none" w:sz="0" w:space="0" w:color="auto"/>
        <w:bottom w:val="none" w:sz="0" w:space="0" w:color="auto"/>
        <w:right w:val="none" w:sz="0" w:space="0" w:color="auto"/>
      </w:divBdr>
    </w:div>
    <w:div w:id="1298954130">
      <w:bodyDiv w:val="1"/>
      <w:marLeft w:val="0"/>
      <w:marRight w:val="0"/>
      <w:marTop w:val="0"/>
      <w:marBottom w:val="0"/>
      <w:divBdr>
        <w:top w:val="none" w:sz="0" w:space="0" w:color="auto"/>
        <w:left w:val="none" w:sz="0" w:space="0" w:color="auto"/>
        <w:bottom w:val="none" w:sz="0" w:space="0" w:color="auto"/>
        <w:right w:val="none" w:sz="0" w:space="0" w:color="auto"/>
      </w:divBdr>
    </w:div>
    <w:div w:id="1300106607">
      <w:bodyDiv w:val="1"/>
      <w:marLeft w:val="0"/>
      <w:marRight w:val="0"/>
      <w:marTop w:val="0"/>
      <w:marBottom w:val="0"/>
      <w:divBdr>
        <w:top w:val="none" w:sz="0" w:space="0" w:color="auto"/>
        <w:left w:val="none" w:sz="0" w:space="0" w:color="auto"/>
        <w:bottom w:val="none" w:sz="0" w:space="0" w:color="auto"/>
        <w:right w:val="none" w:sz="0" w:space="0" w:color="auto"/>
      </w:divBdr>
    </w:div>
    <w:div w:id="1301808441">
      <w:bodyDiv w:val="1"/>
      <w:marLeft w:val="0"/>
      <w:marRight w:val="0"/>
      <w:marTop w:val="0"/>
      <w:marBottom w:val="0"/>
      <w:divBdr>
        <w:top w:val="none" w:sz="0" w:space="0" w:color="auto"/>
        <w:left w:val="none" w:sz="0" w:space="0" w:color="auto"/>
        <w:bottom w:val="none" w:sz="0" w:space="0" w:color="auto"/>
        <w:right w:val="none" w:sz="0" w:space="0" w:color="auto"/>
      </w:divBdr>
    </w:div>
    <w:div w:id="1305155555">
      <w:bodyDiv w:val="1"/>
      <w:marLeft w:val="0"/>
      <w:marRight w:val="0"/>
      <w:marTop w:val="0"/>
      <w:marBottom w:val="0"/>
      <w:divBdr>
        <w:top w:val="none" w:sz="0" w:space="0" w:color="auto"/>
        <w:left w:val="none" w:sz="0" w:space="0" w:color="auto"/>
        <w:bottom w:val="none" w:sz="0" w:space="0" w:color="auto"/>
        <w:right w:val="none" w:sz="0" w:space="0" w:color="auto"/>
      </w:divBdr>
    </w:div>
    <w:div w:id="1306274453">
      <w:bodyDiv w:val="1"/>
      <w:marLeft w:val="0"/>
      <w:marRight w:val="0"/>
      <w:marTop w:val="0"/>
      <w:marBottom w:val="0"/>
      <w:divBdr>
        <w:top w:val="none" w:sz="0" w:space="0" w:color="auto"/>
        <w:left w:val="none" w:sz="0" w:space="0" w:color="auto"/>
        <w:bottom w:val="none" w:sz="0" w:space="0" w:color="auto"/>
        <w:right w:val="none" w:sz="0" w:space="0" w:color="auto"/>
      </w:divBdr>
    </w:div>
    <w:div w:id="1306661834">
      <w:bodyDiv w:val="1"/>
      <w:marLeft w:val="0"/>
      <w:marRight w:val="0"/>
      <w:marTop w:val="0"/>
      <w:marBottom w:val="0"/>
      <w:divBdr>
        <w:top w:val="none" w:sz="0" w:space="0" w:color="auto"/>
        <w:left w:val="none" w:sz="0" w:space="0" w:color="auto"/>
        <w:bottom w:val="none" w:sz="0" w:space="0" w:color="auto"/>
        <w:right w:val="none" w:sz="0" w:space="0" w:color="auto"/>
      </w:divBdr>
    </w:div>
    <w:div w:id="1306936022">
      <w:bodyDiv w:val="1"/>
      <w:marLeft w:val="0"/>
      <w:marRight w:val="0"/>
      <w:marTop w:val="0"/>
      <w:marBottom w:val="0"/>
      <w:divBdr>
        <w:top w:val="none" w:sz="0" w:space="0" w:color="auto"/>
        <w:left w:val="none" w:sz="0" w:space="0" w:color="auto"/>
        <w:bottom w:val="none" w:sz="0" w:space="0" w:color="auto"/>
        <w:right w:val="none" w:sz="0" w:space="0" w:color="auto"/>
      </w:divBdr>
    </w:div>
    <w:div w:id="1316060201">
      <w:bodyDiv w:val="1"/>
      <w:marLeft w:val="0"/>
      <w:marRight w:val="0"/>
      <w:marTop w:val="0"/>
      <w:marBottom w:val="0"/>
      <w:divBdr>
        <w:top w:val="none" w:sz="0" w:space="0" w:color="auto"/>
        <w:left w:val="none" w:sz="0" w:space="0" w:color="auto"/>
        <w:bottom w:val="none" w:sz="0" w:space="0" w:color="auto"/>
        <w:right w:val="none" w:sz="0" w:space="0" w:color="auto"/>
      </w:divBdr>
    </w:div>
    <w:div w:id="1319847391">
      <w:bodyDiv w:val="1"/>
      <w:marLeft w:val="0"/>
      <w:marRight w:val="0"/>
      <w:marTop w:val="0"/>
      <w:marBottom w:val="0"/>
      <w:divBdr>
        <w:top w:val="none" w:sz="0" w:space="0" w:color="auto"/>
        <w:left w:val="none" w:sz="0" w:space="0" w:color="auto"/>
        <w:bottom w:val="none" w:sz="0" w:space="0" w:color="auto"/>
        <w:right w:val="none" w:sz="0" w:space="0" w:color="auto"/>
      </w:divBdr>
    </w:div>
    <w:div w:id="1320230611">
      <w:bodyDiv w:val="1"/>
      <w:marLeft w:val="0"/>
      <w:marRight w:val="0"/>
      <w:marTop w:val="0"/>
      <w:marBottom w:val="0"/>
      <w:divBdr>
        <w:top w:val="none" w:sz="0" w:space="0" w:color="auto"/>
        <w:left w:val="none" w:sz="0" w:space="0" w:color="auto"/>
        <w:bottom w:val="none" w:sz="0" w:space="0" w:color="auto"/>
        <w:right w:val="none" w:sz="0" w:space="0" w:color="auto"/>
      </w:divBdr>
    </w:div>
    <w:div w:id="1328438378">
      <w:bodyDiv w:val="1"/>
      <w:marLeft w:val="0"/>
      <w:marRight w:val="0"/>
      <w:marTop w:val="0"/>
      <w:marBottom w:val="0"/>
      <w:divBdr>
        <w:top w:val="none" w:sz="0" w:space="0" w:color="auto"/>
        <w:left w:val="none" w:sz="0" w:space="0" w:color="auto"/>
        <w:bottom w:val="none" w:sz="0" w:space="0" w:color="auto"/>
        <w:right w:val="none" w:sz="0" w:space="0" w:color="auto"/>
      </w:divBdr>
    </w:div>
    <w:div w:id="1337807084">
      <w:bodyDiv w:val="1"/>
      <w:marLeft w:val="0"/>
      <w:marRight w:val="0"/>
      <w:marTop w:val="0"/>
      <w:marBottom w:val="0"/>
      <w:divBdr>
        <w:top w:val="none" w:sz="0" w:space="0" w:color="auto"/>
        <w:left w:val="none" w:sz="0" w:space="0" w:color="auto"/>
        <w:bottom w:val="none" w:sz="0" w:space="0" w:color="auto"/>
        <w:right w:val="none" w:sz="0" w:space="0" w:color="auto"/>
      </w:divBdr>
    </w:div>
    <w:div w:id="1338652894">
      <w:bodyDiv w:val="1"/>
      <w:marLeft w:val="0"/>
      <w:marRight w:val="0"/>
      <w:marTop w:val="0"/>
      <w:marBottom w:val="0"/>
      <w:divBdr>
        <w:top w:val="none" w:sz="0" w:space="0" w:color="auto"/>
        <w:left w:val="none" w:sz="0" w:space="0" w:color="auto"/>
        <w:bottom w:val="none" w:sz="0" w:space="0" w:color="auto"/>
        <w:right w:val="none" w:sz="0" w:space="0" w:color="auto"/>
      </w:divBdr>
    </w:div>
    <w:div w:id="1344824450">
      <w:bodyDiv w:val="1"/>
      <w:marLeft w:val="0"/>
      <w:marRight w:val="0"/>
      <w:marTop w:val="0"/>
      <w:marBottom w:val="0"/>
      <w:divBdr>
        <w:top w:val="none" w:sz="0" w:space="0" w:color="auto"/>
        <w:left w:val="none" w:sz="0" w:space="0" w:color="auto"/>
        <w:bottom w:val="none" w:sz="0" w:space="0" w:color="auto"/>
        <w:right w:val="none" w:sz="0" w:space="0" w:color="auto"/>
      </w:divBdr>
    </w:div>
    <w:div w:id="1346982423">
      <w:bodyDiv w:val="1"/>
      <w:marLeft w:val="0"/>
      <w:marRight w:val="0"/>
      <w:marTop w:val="0"/>
      <w:marBottom w:val="0"/>
      <w:divBdr>
        <w:top w:val="none" w:sz="0" w:space="0" w:color="auto"/>
        <w:left w:val="none" w:sz="0" w:space="0" w:color="auto"/>
        <w:bottom w:val="none" w:sz="0" w:space="0" w:color="auto"/>
        <w:right w:val="none" w:sz="0" w:space="0" w:color="auto"/>
      </w:divBdr>
    </w:div>
    <w:div w:id="1348485209">
      <w:bodyDiv w:val="1"/>
      <w:marLeft w:val="0"/>
      <w:marRight w:val="0"/>
      <w:marTop w:val="0"/>
      <w:marBottom w:val="0"/>
      <w:divBdr>
        <w:top w:val="none" w:sz="0" w:space="0" w:color="auto"/>
        <w:left w:val="none" w:sz="0" w:space="0" w:color="auto"/>
        <w:bottom w:val="none" w:sz="0" w:space="0" w:color="auto"/>
        <w:right w:val="none" w:sz="0" w:space="0" w:color="auto"/>
      </w:divBdr>
    </w:div>
    <w:div w:id="1349723180">
      <w:bodyDiv w:val="1"/>
      <w:marLeft w:val="0"/>
      <w:marRight w:val="0"/>
      <w:marTop w:val="0"/>
      <w:marBottom w:val="0"/>
      <w:divBdr>
        <w:top w:val="none" w:sz="0" w:space="0" w:color="auto"/>
        <w:left w:val="none" w:sz="0" w:space="0" w:color="auto"/>
        <w:bottom w:val="none" w:sz="0" w:space="0" w:color="auto"/>
        <w:right w:val="none" w:sz="0" w:space="0" w:color="auto"/>
      </w:divBdr>
    </w:div>
    <w:div w:id="1356732064">
      <w:bodyDiv w:val="1"/>
      <w:marLeft w:val="0"/>
      <w:marRight w:val="0"/>
      <w:marTop w:val="0"/>
      <w:marBottom w:val="0"/>
      <w:divBdr>
        <w:top w:val="none" w:sz="0" w:space="0" w:color="auto"/>
        <w:left w:val="none" w:sz="0" w:space="0" w:color="auto"/>
        <w:bottom w:val="none" w:sz="0" w:space="0" w:color="auto"/>
        <w:right w:val="none" w:sz="0" w:space="0" w:color="auto"/>
      </w:divBdr>
    </w:div>
    <w:div w:id="1357072881">
      <w:bodyDiv w:val="1"/>
      <w:marLeft w:val="0"/>
      <w:marRight w:val="0"/>
      <w:marTop w:val="0"/>
      <w:marBottom w:val="0"/>
      <w:divBdr>
        <w:top w:val="none" w:sz="0" w:space="0" w:color="auto"/>
        <w:left w:val="none" w:sz="0" w:space="0" w:color="auto"/>
        <w:bottom w:val="none" w:sz="0" w:space="0" w:color="auto"/>
        <w:right w:val="none" w:sz="0" w:space="0" w:color="auto"/>
      </w:divBdr>
    </w:div>
    <w:div w:id="1357659935">
      <w:bodyDiv w:val="1"/>
      <w:marLeft w:val="0"/>
      <w:marRight w:val="0"/>
      <w:marTop w:val="0"/>
      <w:marBottom w:val="0"/>
      <w:divBdr>
        <w:top w:val="none" w:sz="0" w:space="0" w:color="auto"/>
        <w:left w:val="none" w:sz="0" w:space="0" w:color="auto"/>
        <w:bottom w:val="none" w:sz="0" w:space="0" w:color="auto"/>
        <w:right w:val="none" w:sz="0" w:space="0" w:color="auto"/>
      </w:divBdr>
    </w:div>
    <w:div w:id="1361974497">
      <w:bodyDiv w:val="1"/>
      <w:marLeft w:val="0"/>
      <w:marRight w:val="0"/>
      <w:marTop w:val="0"/>
      <w:marBottom w:val="0"/>
      <w:divBdr>
        <w:top w:val="none" w:sz="0" w:space="0" w:color="auto"/>
        <w:left w:val="none" w:sz="0" w:space="0" w:color="auto"/>
        <w:bottom w:val="none" w:sz="0" w:space="0" w:color="auto"/>
        <w:right w:val="none" w:sz="0" w:space="0" w:color="auto"/>
      </w:divBdr>
    </w:div>
    <w:div w:id="1363936724">
      <w:bodyDiv w:val="1"/>
      <w:marLeft w:val="0"/>
      <w:marRight w:val="0"/>
      <w:marTop w:val="0"/>
      <w:marBottom w:val="0"/>
      <w:divBdr>
        <w:top w:val="none" w:sz="0" w:space="0" w:color="auto"/>
        <w:left w:val="none" w:sz="0" w:space="0" w:color="auto"/>
        <w:bottom w:val="none" w:sz="0" w:space="0" w:color="auto"/>
        <w:right w:val="none" w:sz="0" w:space="0" w:color="auto"/>
      </w:divBdr>
    </w:div>
    <w:div w:id="1366521285">
      <w:bodyDiv w:val="1"/>
      <w:marLeft w:val="0"/>
      <w:marRight w:val="0"/>
      <w:marTop w:val="0"/>
      <w:marBottom w:val="0"/>
      <w:divBdr>
        <w:top w:val="none" w:sz="0" w:space="0" w:color="auto"/>
        <w:left w:val="none" w:sz="0" w:space="0" w:color="auto"/>
        <w:bottom w:val="none" w:sz="0" w:space="0" w:color="auto"/>
        <w:right w:val="none" w:sz="0" w:space="0" w:color="auto"/>
      </w:divBdr>
    </w:div>
    <w:div w:id="1373842112">
      <w:bodyDiv w:val="1"/>
      <w:marLeft w:val="0"/>
      <w:marRight w:val="0"/>
      <w:marTop w:val="0"/>
      <w:marBottom w:val="0"/>
      <w:divBdr>
        <w:top w:val="none" w:sz="0" w:space="0" w:color="auto"/>
        <w:left w:val="none" w:sz="0" w:space="0" w:color="auto"/>
        <w:bottom w:val="none" w:sz="0" w:space="0" w:color="auto"/>
        <w:right w:val="none" w:sz="0" w:space="0" w:color="auto"/>
      </w:divBdr>
    </w:div>
    <w:div w:id="1378776777">
      <w:bodyDiv w:val="1"/>
      <w:marLeft w:val="0"/>
      <w:marRight w:val="0"/>
      <w:marTop w:val="0"/>
      <w:marBottom w:val="0"/>
      <w:divBdr>
        <w:top w:val="none" w:sz="0" w:space="0" w:color="auto"/>
        <w:left w:val="none" w:sz="0" w:space="0" w:color="auto"/>
        <w:bottom w:val="none" w:sz="0" w:space="0" w:color="auto"/>
        <w:right w:val="none" w:sz="0" w:space="0" w:color="auto"/>
      </w:divBdr>
    </w:div>
    <w:div w:id="1384988495">
      <w:bodyDiv w:val="1"/>
      <w:marLeft w:val="0"/>
      <w:marRight w:val="0"/>
      <w:marTop w:val="0"/>
      <w:marBottom w:val="0"/>
      <w:divBdr>
        <w:top w:val="none" w:sz="0" w:space="0" w:color="auto"/>
        <w:left w:val="none" w:sz="0" w:space="0" w:color="auto"/>
        <w:bottom w:val="none" w:sz="0" w:space="0" w:color="auto"/>
        <w:right w:val="none" w:sz="0" w:space="0" w:color="auto"/>
      </w:divBdr>
    </w:div>
    <w:div w:id="1385521946">
      <w:bodyDiv w:val="1"/>
      <w:marLeft w:val="0"/>
      <w:marRight w:val="0"/>
      <w:marTop w:val="0"/>
      <w:marBottom w:val="0"/>
      <w:divBdr>
        <w:top w:val="none" w:sz="0" w:space="0" w:color="auto"/>
        <w:left w:val="none" w:sz="0" w:space="0" w:color="auto"/>
        <w:bottom w:val="none" w:sz="0" w:space="0" w:color="auto"/>
        <w:right w:val="none" w:sz="0" w:space="0" w:color="auto"/>
      </w:divBdr>
    </w:div>
    <w:div w:id="1386101269">
      <w:bodyDiv w:val="1"/>
      <w:marLeft w:val="0"/>
      <w:marRight w:val="0"/>
      <w:marTop w:val="0"/>
      <w:marBottom w:val="0"/>
      <w:divBdr>
        <w:top w:val="none" w:sz="0" w:space="0" w:color="auto"/>
        <w:left w:val="none" w:sz="0" w:space="0" w:color="auto"/>
        <w:bottom w:val="none" w:sz="0" w:space="0" w:color="auto"/>
        <w:right w:val="none" w:sz="0" w:space="0" w:color="auto"/>
      </w:divBdr>
    </w:div>
    <w:div w:id="1388190148">
      <w:bodyDiv w:val="1"/>
      <w:marLeft w:val="0"/>
      <w:marRight w:val="0"/>
      <w:marTop w:val="0"/>
      <w:marBottom w:val="0"/>
      <w:divBdr>
        <w:top w:val="none" w:sz="0" w:space="0" w:color="auto"/>
        <w:left w:val="none" w:sz="0" w:space="0" w:color="auto"/>
        <w:bottom w:val="none" w:sz="0" w:space="0" w:color="auto"/>
        <w:right w:val="none" w:sz="0" w:space="0" w:color="auto"/>
      </w:divBdr>
    </w:div>
    <w:div w:id="1388336316">
      <w:bodyDiv w:val="1"/>
      <w:marLeft w:val="0"/>
      <w:marRight w:val="0"/>
      <w:marTop w:val="0"/>
      <w:marBottom w:val="0"/>
      <w:divBdr>
        <w:top w:val="none" w:sz="0" w:space="0" w:color="auto"/>
        <w:left w:val="none" w:sz="0" w:space="0" w:color="auto"/>
        <w:bottom w:val="none" w:sz="0" w:space="0" w:color="auto"/>
        <w:right w:val="none" w:sz="0" w:space="0" w:color="auto"/>
      </w:divBdr>
    </w:div>
    <w:div w:id="1389262684">
      <w:bodyDiv w:val="1"/>
      <w:marLeft w:val="0"/>
      <w:marRight w:val="0"/>
      <w:marTop w:val="0"/>
      <w:marBottom w:val="0"/>
      <w:divBdr>
        <w:top w:val="none" w:sz="0" w:space="0" w:color="auto"/>
        <w:left w:val="none" w:sz="0" w:space="0" w:color="auto"/>
        <w:bottom w:val="none" w:sz="0" w:space="0" w:color="auto"/>
        <w:right w:val="none" w:sz="0" w:space="0" w:color="auto"/>
      </w:divBdr>
    </w:div>
    <w:div w:id="1403063849">
      <w:bodyDiv w:val="1"/>
      <w:marLeft w:val="0"/>
      <w:marRight w:val="0"/>
      <w:marTop w:val="0"/>
      <w:marBottom w:val="0"/>
      <w:divBdr>
        <w:top w:val="none" w:sz="0" w:space="0" w:color="auto"/>
        <w:left w:val="none" w:sz="0" w:space="0" w:color="auto"/>
        <w:bottom w:val="none" w:sz="0" w:space="0" w:color="auto"/>
        <w:right w:val="none" w:sz="0" w:space="0" w:color="auto"/>
      </w:divBdr>
    </w:div>
    <w:div w:id="1405762803">
      <w:bodyDiv w:val="1"/>
      <w:marLeft w:val="0"/>
      <w:marRight w:val="0"/>
      <w:marTop w:val="0"/>
      <w:marBottom w:val="0"/>
      <w:divBdr>
        <w:top w:val="none" w:sz="0" w:space="0" w:color="auto"/>
        <w:left w:val="none" w:sz="0" w:space="0" w:color="auto"/>
        <w:bottom w:val="none" w:sz="0" w:space="0" w:color="auto"/>
        <w:right w:val="none" w:sz="0" w:space="0" w:color="auto"/>
      </w:divBdr>
    </w:div>
    <w:div w:id="1410617875">
      <w:bodyDiv w:val="1"/>
      <w:marLeft w:val="0"/>
      <w:marRight w:val="0"/>
      <w:marTop w:val="0"/>
      <w:marBottom w:val="0"/>
      <w:divBdr>
        <w:top w:val="none" w:sz="0" w:space="0" w:color="auto"/>
        <w:left w:val="none" w:sz="0" w:space="0" w:color="auto"/>
        <w:bottom w:val="none" w:sz="0" w:space="0" w:color="auto"/>
        <w:right w:val="none" w:sz="0" w:space="0" w:color="auto"/>
      </w:divBdr>
    </w:div>
    <w:div w:id="1411659562">
      <w:bodyDiv w:val="1"/>
      <w:marLeft w:val="0"/>
      <w:marRight w:val="0"/>
      <w:marTop w:val="0"/>
      <w:marBottom w:val="0"/>
      <w:divBdr>
        <w:top w:val="none" w:sz="0" w:space="0" w:color="auto"/>
        <w:left w:val="none" w:sz="0" w:space="0" w:color="auto"/>
        <w:bottom w:val="none" w:sz="0" w:space="0" w:color="auto"/>
        <w:right w:val="none" w:sz="0" w:space="0" w:color="auto"/>
      </w:divBdr>
    </w:div>
    <w:div w:id="1419911460">
      <w:bodyDiv w:val="1"/>
      <w:marLeft w:val="0"/>
      <w:marRight w:val="0"/>
      <w:marTop w:val="0"/>
      <w:marBottom w:val="0"/>
      <w:divBdr>
        <w:top w:val="none" w:sz="0" w:space="0" w:color="auto"/>
        <w:left w:val="none" w:sz="0" w:space="0" w:color="auto"/>
        <w:bottom w:val="none" w:sz="0" w:space="0" w:color="auto"/>
        <w:right w:val="none" w:sz="0" w:space="0" w:color="auto"/>
      </w:divBdr>
    </w:div>
    <w:div w:id="1434671375">
      <w:bodyDiv w:val="1"/>
      <w:marLeft w:val="0"/>
      <w:marRight w:val="0"/>
      <w:marTop w:val="0"/>
      <w:marBottom w:val="0"/>
      <w:divBdr>
        <w:top w:val="none" w:sz="0" w:space="0" w:color="auto"/>
        <w:left w:val="none" w:sz="0" w:space="0" w:color="auto"/>
        <w:bottom w:val="none" w:sz="0" w:space="0" w:color="auto"/>
        <w:right w:val="none" w:sz="0" w:space="0" w:color="auto"/>
      </w:divBdr>
    </w:div>
    <w:div w:id="1437092688">
      <w:bodyDiv w:val="1"/>
      <w:marLeft w:val="0"/>
      <w:marRight w:val="0"/>
      <w:marTop w:val="0"/>
      <w:marBottom w:val="0"/>
      <w:divBdr>
        <w:top w:val="none" w:sz="0" w:space="0" w:color="auto"/>
        <w:left w:val="none" w:sz="0" w:space="0" w:color="auto"/>
        <w:bottom w:val="none" w:sz="0" w:space="0" w:color="auto"/>
        <w:right w:val="none" w:sz="0" w:space="0" w:color="auto"/>
      </w:divBdr>
    </w:div>
    <w:div w:id="1440024269">
      <w:bodyDiv w:val="1"/>
      <w:marLeft w:val="0"/>
      <w:marRight w:val="0"/>
      <w:marTop w:val="0"/>
      <w:marBottom w:val="0"/>
      <w:divBdr>
        <w:top w:val="none" w:sz="0" w:space="0" w:color="auto"/>
        <w:left w:val="none" w:sz="0" w:space="0" w:color="auto"/>
        <w:bottom w:val="none" w:sz="0" w:space="0" w:color="auto"/>
        <w:right w:val="none" w:sz="0" w:space="0" w:color="auto"/>
      </w:divBdr>
    </w:div>
    <w:div w:id="1441947150">
      <w:bodyDiv w:val="1"/>
      <w:marLeft w:val="0"/>
      <w:marRight w:val="0"/>
      <w:marTop w:val="0"/>
      <w:marBottom w:val="0"/>
      <w:divBdr>
        <w:top w:val="none" w:sz="0" w:space="0" w:color="auto"/>
        <w:left w:val="none" w:sz="0" w:space="0" w:color="auto"/>
        <w:bottom w:val="none" w:sz="0" w:space="0" w:color="auto"/>
        <w:right w:val="none" w:sz="0" w:space="0" w:color="auto"/>
      </w:divBdr>
    </w:div>
    <w:div w:id="1443301950">
      <w:bodyDiv w:val="1"/>
      <w:marLeft w:val="0"/>
      <w:marRight w:val="0"/>
      <w:marTop w:val="0"/>
      <w:marBottom w:val="0"/>
      <w:divBdr>
        <w:top w:val="none" w:sz="0" w:space="0" w:color="auto"/>
        <w:left w:val="none" w:sz="0" w:space="0" w:color="auto"/>
        <w:bottom w:val="none" w:sz="0" w:space="0" w:color="auto"/>
        <w:right w:val="none" w:sz="0" w:space="0" w:color="auto"/>
      </w:divBdr>
    </w:div>
    <w:div w:id="1445030979">
      <w:bodyDiv w:val="1"/>
      <w:marLeft w:val="0"/>
      <w:marRight w:val="0"/>
      <w:marTop w:val="0"/>
      <w:marBottom w:val="0"/>
      <w:divBdr>
        <w:top w:val="none" w:sz="0" w:space="0" w:color="auto"/>
        <w:left w:val="none" w:sz="0" w:space="0" w:color="auto"/>
        <w:bottom w:val="none" w:sz="0" w:space="0" w:color="auto"/>
        <w:right w:val="none" w:sz="0" w:space="0" w:color="auto"/>
      </w:divBdr>
    </w:div>
    <w:div w:id="1449472145">
      <w:bodyDiv w:val="1"/>
      <w:marLeft w:val="0"/>
      <w:marRight w:val="0"/>
      <w:marTop w:val="0"/>
      <w:marBottom w:val="0"/>
      <w:divBdr>
        <w:top w:val="none" w:sz="0" w:space="0" w:color="auto"/>
        <w:left w:val="none" w:sz="0" w:space="0" w:color="auto"/>
        <w:bottom w:val="none" w:sz="0" w:space="0" w:color="auto"/>
        <w:right w:val="none" w:sz="0" w:space="0" w:color="auto"/>
      </w:divBdr>
    </w:div>
    <w:div w:id="1453791455">
      <w:bodyDiv w:val="1"/>
      <w:marLeft w:val="0"/>
      <w:marRight w:val="0"/>
      <w:marTop w:val="0"/>
      <w:marBottom w:val="0"/>
      <w:divBdr>
        <w:top w:val="none" w:sz="0" w:space="0" w:color="auto"/>
        <w:left w:val="none" w:sz="0" w:space="0" w:color="auto"/>
        <w:bottom w:val="none" w:sz="0" w:space="0" w:color="auto"/>
        <w:right w:val="none" w:sz="0" w:space="0" w:color="auto"/>
      </w:divBdr>
    </w:div>
    <w:div w:id="1455102533">
      <w:bodyDiv w:val="1"/>
      <w:marLeft w:val="0"/>
      <w:marRight w:val="0"/>
      <w:marTop w:val="0"/>
      <w:marBottom w:val="0"/>
      <w:divBdr>
        <w:top w:val="none" w:sz="0" w:space="0" w:color="auto"/>
        <w:left w:val="none" w:sz="0" w:space="0" w:color="auto"/>
        <w:bottom w:val="none" w:sz="0" w:space="0" w:color="auto"/>
        <w:right w:val="none" w:sz="0" w:space="0" w:color="auto"/>
      </w:divBdr>
    </w:div>
    <w:div w:id="1458377392">
      <w:bodyDiv w:val="1"/>
      <w:marLeft w:val="0"/>
      <w:marRight w:val="0"/>
      <w:marTop w:val="0"/>
      <w:marBottom w:val="0"/>
      <w:divBdr>
        <w:top w:val="none" w:sz="0" w:space="0" w:color="auto"/>
        <w:left w:val="none" w:sz="0" w:space="0" w:color="auto"/>
        <w:bottom w:val="none" w:sz="0" w:space="0" w:color="auto"/>
        <w:right w:val="none" w:sz="0" w:space="0" w:color="auto"/>
      </w:divBdr>
    </w:div>
    <w:div w:id="1460416089">
      <w:bodyDiv w:val="1"/>
      <w:marLeft w:val="0"/>
      <w:marRight w:val="0"/>
      <w:marTop w:val="0"/>
      <w:marBottom w:val="0"/>
      <w:divBdr>
        <w:top w:val="none" w:sz="0" w:space="0" w:color="auto"/>
        <w:left w:val="none" w:sz="0" w:space="0" w:color="auto"/>
        <w:bottom w:val="none" w:sz="0" w:space="0" w:color="auto"/>
        <w:right w:val="none" w:sz="0" w:space="0" w:color="auto"/>
      </w:divBdr>
    </w:div>
    <w:div w:id="1461458044">
      <w:bodyDiv w:val="1"/>
      <w:marLeft w:val="0"/>
      <w:marRight w:val="0"/>
      <w:marTop w:val="0"/>
      <w:marBottom w:val="0"/>
      <w:divBdr>
        <w:top w:val="none" w:sz="0" w:space="0" w:color="auto"/>
        <w:left w:val="none" w:sz="0" w:space="0" w:color="auto"/>
        <w:bottom w:val="none" w:sz="0" w:space="0" w:color="auto"/>
        <w:right w:val="none" w:sz="0" w:space="0" w:color="auto"/>
      </w:divBdr>
    </w:div>
    <w:div w:id="1466852085">
      <w:bodyDiv w:val="1"/>
      <w:marLeft w:val="0"/>
      <w:marRight w:val="0"/>
      <w:marTop w:val="0"/>
      <w:marBottom w:val="0"/>
      <w:divBdr>
        <w:top w:val="none" w:sz="0" w:space="0" w:color="auto"/>
        <w:left w:val="none" w:sz="0" w:space="0" w:color="auto"/>
        <w:bottom w:val="none" w:sz="0" w:space="0" w:color="auto"/>
        <w:right w:val="none" w:sz="0" w:space="0" w:color="auto"/>
      </w:divBdr>
    </w:div>
    <w:div w:id="1469318907">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70514376">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4442816">
      <w:bodyDiv w:val="1"/>
      <w:marLeft w:val="0"/>
      <w:marRight w:val="0"/>
      <w:marTop w:val="0"/>
      <w:marBottom w:val="0"/>
      <w:divBdr>
        <w:top w:val="none" w:sz="0" w:space="0" w:color="auto"/>
        <w:left w:val="none" w:sz="0" w:space="0" w:color="auto"/>
        <w:bottom w:val="none" w:sz="0" w:space="0" w:color="auto"/>
        <w:right w:val="none" w:sz="0" w:space="0" w:color="auto"/>
      </w:divBdr>
    </w:div>
    <w:div w:id="1474565298">
      <w:bodyDiv w:val="1"/>
      <w:marLeft w:val="0"/>
      <w:marRight w:val="0"/>
      <w:marTop w:val="0"/>
      <w:marBottom w:val="0"/>
      <w:divBdr>
        <w:top w:val="none" w:sz="0" w:space="0" w:color="auto"/>
        <w:left w:val="none" w:sz="0" w:space="0" w:color="auto"/>
        <w:bottom w:val="none" w:sz="0" w:space="0" w:color="auto"/>
        <w:right w:val="none" w:sz="0" w:space="0" w:color="auto"/>
      </w:divBdr>
    </w:div>
    <w:div w:id="1484929890">
      <w:bodyDiv w:val="1"/>
      <w:marLeft w:val="0"/>
      <w:marRight w:val="0"/>
      <w:marTop w:val="0"/>
      <w:marBottom w:val="0"/>
      <w:divBdr>
        <w:top w:val="none" w:sz="0" w:space="0" w:color="auto"/>
        <w:left w:val="none" w:sz="0" w:space="0" w:color="auto"/>
        <w:bottom w:val="none" w:sz="0" w:space="0" w:color="auto"/>
        <w:right w:val="none" w:sz="0" w:space="0" w:color="auto"/>
      </w:divBdr>
    </w:div>
    <w:div w:id="1488352344">
      <w:bodyDiv w:val="1"/>
      <w:marLeft w:val="0"/>
      <w:marRight w:val="0"/>
      <w:marTop w:val="0"/>
      <w:marBottom w:val="0"/>
      <w:divBdr>
        <w:top w:val="none" w:sz="0" w:space="0" w:color="auto"/>
        <w:left w:val="none" w:sz="0" w:space="0" w:color="auto"/>
        <w:bottom w:val="none" w:sz="0" w:space="0" w:color="auto"/>
        <w:right w:val="none" w:sz="0" w:space="0" w:color="auto"/>
      </w:divBdr>
    </w:div>
    <w:div w:id="1495686599">
      <w:bodyDiv w:val="1"/>
      <w:marLeft w:val="0"/>
      <w:marRight w:val="0"/>
      <w:marTop w:val="0"/>
      <w:marBottom w:val="0"/>
      <w:divBdr>
        <w:top w:val="none" w:sz="0" w:space="0" w:color="auto"/>
        <w:left w:val="none" w:sz="0" w:space="0" w:color="auto"/>
        <w:bottom w:val="none" w:sz="0" w:space="0" w:color="auto"/>
        <w:right w:val="none" w:sz="0" w:space="0" w:color="auto"/>
      </w:divBdr>
    </w:div>
    <w:div w:id="1499808595">
      <w:bodyDiv w:val="1"/>
      <w:marLeft w:val="0"/>
      <w:marRight w:val="0"/>
      <w:marTop w:val="0"/>
      <w:marBottom w:val="0"/>
      <w:divBdr>
        <w:top w:val="none" w:sz="0" w:space="0" w:color="auto"/>
        <w:left w:val="none" w:sz="0" w:space="0" w:color="auto"/>
        <w:bottom w:val="none" w:sz="0" w:space="0" w:color="auto"/>
        <w:right w:val="none" w:sz="0" w:space="0" w:color="auto"/>
      </w:divBdr>
    </w:div>
    <w:div w:id="1501700596">
      <w:bodyDiv w:val="1"/>
      <w:marLeft w:val="0"/>
      <w:marRight w:val="0"/>
      <w:marTop w:val="0"/>
      <w:marBottom w:val="0"/>
      <w:divBdr>
        <w:top w:val="none" w:sz="0" w:space="0" w:color="auto"/>
        <w:left w:val="none" w:sz="0" w:space="0" w:color="auto"/>
        <w:bottom w:val="none" w:sz="0" w:space="0" w:color="auto"/>
        <w:right w:val="none" w:sz="0" w:space="0" w:color="auto"/>
      </w:divBdr>
    </w:div>
    <w:div w:id="1504583506">
      <w:bodyDiv w:val="1"/>
      <w:marLeft w:val="0"/>
      <w:marRight w:val="0"/>
      <w:marTop w:val="0"/>
      <w:marBottom w:val="0"/>
      <w:divBdr>
        <w:top w:val="none" w:sz="0" w:space="0" w:color="auto"/>
        <w:left w:val="none" w:sz="0" w:space="0" w:color="auto"/>
        <w:bottom w:val="none" w:sz="0" w:space="0" w:color="auto"/>
        <w:right w:val="none" w:sz="0" w:space="0" w:color="auto"/>
      </w:divBdr>
    </w:div>
    <w:div w:id="1505365105">
      <w:bodyDiv w:val="1"/>
      <w:marLeft w:val="0"/>
      <w:marRight w:val="0"/>
      <w:marTop w:val="0"/>
      <w:marBottom w:val="0"/>
      <w:divBdr>
        <w:top w:val="none" w:sz="0" w:space="0" w:color="auto"/>
        <w:left w:val="none" w:sz="0" w:space="0" w:color="auto"/>
        <w:bottom w:val="none" w:sz="0" w:space="0" w:color="auto"/>
        <w:right w:val="none" w:sz="0" w:space="0" w:color="auto"/>
      </w:divBdr>
    </w:div>
    <w:div w:id="1519351388">
      <w:bodyDiv w:val="1"/>
      <w:marLeft w:val="0"/>
      <w:marRight w:val="0"/>
      <w:marTop w:val="0"/>
      <w:marBottom w:val="0"/>
      <w:divBdr>
        <w:top w:val="none" w:sz="0" w:space="0" w:color="auto"/>
        <w:left w:val="none" w:sz="0" w:space="0" w:color="auto"/>
        <w:bottom w:val="none" w:sz="0" w:space="0" w:color="auto"/>
        <w:right w:val="none" w:sz="0" w:space="0" w:color="auto"/>
      </w:divBdr>
    </w:div>
    <w:div w:id="1523130086">
      <w:bodyDiv w:val="1"/>
      <w:marLeft w:val="0"/>
      <w:marRight w:val="0"/>
      <w:marTop w:val="0"/>
      <w:marBottom w:val="0"/>
      <w:divBdr>
        <w:top w:val="none" w:sz="0" w:space="0" w:color="auto"/>
        <w:left w:val="none" w:sz="0" w:space="0" w:color="auto"/>
        <w:bottom w:val="none" w:sz="0" w:space="0" w:color="auto"/>
        <w:right w:val="none" w:sz="0" w:space="0" w:color="auto"/>
      </w:divBdr>
    </w:div>
    <w:div w:id="1529563038">
      <w:bodyDiv w:val="1"/>
      <w:marLeft w:val="0"/>
      <w:marRight w:val="0"/>
      <w:marTop w:val="0"/>
      <w:marBottom w:val="0"/>
      <w:divBdr>
        <w:top w:val="none" w:sz="0" w:space="0" w:color="auto"/>
        <w:left w:val="none" w:sz="0" w:space="0" w:color="auto"/>
        <w:bottom w:val="none" w:sz="0" w:space="0" w:color="auto"/>
        <w:right w:val="none" w:sz="0" w:space="0" w:color="auto"/>
      </w:divBdr>
    </w:div>
    <w:div w:id="1533223012">
      <w:bodyDiv w:val="1"/>
      <w:marLeft w:val="0"/>
      <w:marRight w:val="0"/>
      <w:marTop w:val="0"/>
      <w:marBottom w:val="0"/>
      <w:divBdr>
        <w:top w:val="none" w:sz="0" w:space="0" w:color="auto"/>
        <w:left w:val="none" w:sz="0" w:space="0" w:color="auto"/>
        <w:bottom w:val="none" w:sz="0" w:space="0" w:color="auto"/>
        <w:right w:val="none" w:sz="0" w:space="0" w:color="auto"/>
      </w:divBdr>
    </w:div>
    <w:div w:id="1537231843">
      <w:bodyDiv w:val="1"/>
      <w:marLeft w:val="0"/>
      <w:marRight w:val="0"/>
      <w:marTop w:val="0"/>
      <w:marBottom w:val="0"/>
      <w:divBdr>
        <w:top w:val="none" w:sz="0" w:space="0" w:color="auto"/>
        <w:left w:val="none" w:sz="0" w:space="0" w:color="auto"/>
        <w:bottom w:val="none" w:sz="0" w:space="0" w:color="auto"/>
        <w:right w:val="none" w:sz="0" w:space="0" w:color="auto"/>
      </w:divBdr>
    </w:div>
    <w:div w:id="1554923156">
      <w:bodyDiv w:val="1"/>
      <w:marLeft w:val="0"/>
      <w:marRight w:val="0"/>
      <w:marTop w:val="0"/>
      <w:marBottom w:val="0"/>
      <w:divBdr>
        <w:top w:val="none" w:sz="0" w:space="0" w:color="auto"/>
        <w:left w:val="none" w:sz="0" w:space="0" w:color="auto"/>
        <w:bottom w:val="none" w:sz="0" w:space="0" w:color="auto"/>
        <w:right w:val="none" w:sz="0" w:space="0" w:color="auto"/>
      </w:divBdr>
    </w:div>
    <w:div w:id="1555769781">
      <w:bodyDiv w:val="1"/>
      <w:marLeft w:val="0"/>
      <w:marRight w:val="0"/>
      <w:marTop w:val="0"/>
      <w:marBottom w:val="0"/>
      <w:divBdr>
        <w:top w:val="none" w:sz="0" w:space="0" w:color="auto"/>
        <w:left w:val="none" w:sz="0" w:space="0" w:color="auto"/>
        <w:bottom w:val="none" w:sz="0" w:space="0" w:color="auto"/>
        <w:right w:val="none" w:sz="0" w:space="0" w:color="auto"/>
      </w:divBdr>
    </w:div>
    <w:div w:id="1569070982">
      <w:bodyDiv w:val="1"/>
      <w:marLeft w:val="0"/>
      <w:marRight w:val="0"/>
      <w:marTop w:val="0"/>
      <w:marBottom w:val="0"/>
      <w:divBdr>
        <w:top w:val="none" w:sz="0" w:space="0" w:color="auto"/>
        <w:left w:val="none" w:sz="0" w:space="0" w:color="auto"/>
        <w:bottom w:val="none" w:sz="0" w:space="0" w:color="auto"/>
        <w:right w:val="none" w:sz="0" w:space="0" w:color="auto"/>
      </w:divBdr>
    </w:div>
    <w:div w:id="1571770179">
      <w:bodyDiv w:val="1"/>
      <w:marLeft w:val="0"/>
      <w:marRight w:val="0"/>
      <w:marTop w:val="0"/>
      <w:marBottom w:val="0"/>
      <w:divBdr>
        <w:top w:val="none" w:sz="0" w:space="0" w:color="auto"/>
        <w:left w:val="none" w:sz="0" w:space="0" w:color="auto"/>
        <w:bottom w:val="none" w:sz="0" w:space="0" w:color="auto"/>
        <w:right w:val="none" w:sz="0" w:space="0" w:color="auto"/>
      </w:divBdr>
    </w:div>
    <w:div w:id="1574777573">
      <w:bodyDiv w:val="1"/>
      <w:marLeft w:val="0"/>
      <w:marRight w:val="0"/>
      <w:marTop w:val="0"/>
      <w:marBottom w:val="0"/>
      <w:divBdr>
        <w:top w:val="none" w:sz="0" w:space="0" w:color="auto"/>
        <w:left w:val="none" w:sz="0" w:space="0" w:color="auto"/>
        <w:bottom w:val="none" w:sz="0" w:space="0" w:color="auto"/>
        <w:right w:val="none" w:sz="0" w:space="0" w:color="auto"/>
      </w:divBdr>
    </w:div>
    <w:div w:id="1578008527">
      <w:bodyDiv w:val="1"/>
      <w:marLeft w:val="0"/>
      <w:marRight w:val="0"/>
      <w:marTop w:val="0"/>
      <w:marBottom w:val="0"/>
      <w:divBdr>
        <w:top w:val="none" w:sz="0" w:space="0" w:color="auto"/>
        <w:left w:val="none" w:sz="0" w:space="0" w:color="auto"/>
        <w:bottom w:val="none" w:sz="0" w:space="0" w:color="auto"/>
        <w:right w:val="none" w:sz="0" w:space="0" w:color="auto"/>
      </w:divBdr>
    </w:div>
    <w:div w:id="1585263401">
      <w:bodyDiv w:val="1"/>
      <w:marLeft w:val="0"/>
      <w:marRight w:val="0"/>
      <w:marTop w:val="0"/>
      <w:marBottom w:val="0"/>
      <w:divBdr>
        <w:top w:val="none" w:sz="0" w:space="0" w:color="auto"/>
        <w:left w:val="none" w:sz="0" w:space="0" w:color="auto"/>
        <w:bottom w:val="none" w:sz="0" w:space="0" w:color="auto"/>
        <w:right w:val="none" w:sz="0" w:space="0" w:color="auto"/>
      </w:divBdr>
    </w:div>
    <w:div w:id="1589078099">
      <w:bodyDiv w:val="1"/>
      <w:marLeft w:val="0"/>
      <w:marRight w:val="0"/>
      <w:marTop w:val="0"/>
      <w:marBottom w:val="0"/>
      <w:divBdr>
        <w:top w:val="none" w:sz="0" w:space="0" w:color="auto"/>
        <w:left w:val="none" w:sz="0" w:space="0" w:color="auto"/>
        <w:bottom w:val="none" w:sz="0" w:space="0" w:color="auto"/>
        <w:right w:val="none" w:sz="0" w:space="0" w:color="auto"/>
      </w:divBdr>
    </w:div>
    <w:div w:id="1594702465">
      <w:bodyDiv w:val="1"/>
      <w:marLeft w:val="0"/>
      <w:marRight w:val="0"/>
      <w:marTop w:val="0"/>
      <w:marBottom w:val="0"/>
      <w:divBdr>
        <w:top w:val="none" w:sz="0" w:space="0" w:color="auto"/>
        <w:left w:val="none" w:sz="0" w:space="0" w:color="auto"/>
        <w:bottom w:val="none" w:sz="0" w:space="0" w:color="auto"/>
        <w:right w:val="none" w:sz="0" w:space="0" w:color="auto"/>
      </w:divBdr>
    </w:div>
    <w:div w:id="1594781727">
      <w:bodyDiv w:val="1"/>
      <w:marLeft w:val="0"/>
      <w:marRight w:val="0"/>
      <w:marTop w:val="0"/>
      <w:marBottom w:val="0"/>
      <w:divBdr>
        <w:top w:val="none" w:sz="0" w:space="0" w:color="auto"/>
        <w:left w:val="none" w:sz="0" w:space="0" w:color="auto"/>
        <w:bottom w:val="none" w:sz="0" w:space="0" w:color="auto"/>
        <w:right w:val="none" w:sz="0" w:space="0" w:color="auto"/>
      </w:divBdr>
    </w:div>
    <w:div w:id="1595280225">
      <w:bodyDiv w:val="1"/>
      <w:marLeft w:val="0"/>
      <w:marRight w:val="0"/>
      <w:marTop w:val="0"/>
      <w:marBottom w:val="0"/>
      <w:divBdr>
        <w:top w:val="none" w:sz="0" w:space="0" w:color="auto"/>
        <w:left w:val="none" w:sz="0" w:space="0" w:color="auto"/>
        <w:bottom w:val="none" w:sz="0" w:space="0" w:color="auto"/>
        <w:right w:val="none" w:sz="0" w:space="0" w:color="auto"/>
      </w:divBdr>
    </w:div>
    <w:div w:id="1595285803">
      <w:bodyDiv w:val="1"/>
      <w:marLeft w:val="0"/>
      <w:marRight w:val="0"/>
      <w:marTop w:val="0"/>
      <w:marBottom w:val="0"/>
      <w:divBdr>
        <w:top w:val="none" w:sz="0" w:space="0" w:color="auto"/>
        <w:left w:val="none" w:sz="0" w:space="0" w:color="auto"/>
        <w:bottom w:val="none" w:sz="0" w:space="0" w:color="auto"/>
        <w:right w:val="none" w:sz="0" w:space="0" w:color="auto"/>
      </w:divBdr>
    </w:div>
    <w:div w:id="1608586110">
      <w:bodyDiv w:val="1"/>
      <w:marLeft w:val="0"/>
      <w:marRight w:val="0"/>
      <w:marTop w:val="0"/>
      <w:marBottom w:val="0"/>
      <w:divBdr>
        <w:top w:val="none" w:sz="0" w:space="0" w:color="auto"/>
        <w:left w:val="none" w:sz="0" w:space="0" w:color="auto"/>
        <w:bottom w:val="none" w:sz="0" w:space="0" w:color="auto"/>
        <w:right w:val="none" w:sz="0" w:space="0" w:color="auto"/>
      </w:divBdr>
    </w:div>
    <w:div w:id="1612936314">
      <w:bodyDiv w:val="1"/>
      <w:marLeft w:val="0"/>
      <w:marRight w:val="0"/>
      <w:marTop w:val="0"/>
      <w:marBottom w:val="0"/>
      <w:divBdr>
        <w:top w:val="none" w:sz="0" w:space="0" w:color="auto"/>
        <w:left w:val="none" w:sz="0" w:space="0" w:color="auto"/>
        <w:bottom w:val="none" w:sz="0" w:space="0" w:color="auto"/>
        <w:right w:val="none" w:sz="0" w:space="0" w:color="auto"/>
      </w:divBdr>
    </w:div>
    <w:div w:id="1619141272">
      <w:bodyDiv w:val="1"/>
      <w:marLeft w:val="0"/>
      <w:marRight w:val="0"/>
      <w:marTop w:val="0"/>
      <w:marBottom w:val="0"/>
      <w:divBdr>
        <w:top w:val="none" w:sz="0" w:space="0" w:color="auto"/>
        <w:left w:val="none" w:sz="0" w:space="0" w:color="auto"/>
        <w:bottom w:val="none" w:sz="0" w:space="0" w:color="auto"/>
        <w:right w:val="none" w:sz="0" w:space="0" w:color="auto"/>
      </w:divBdr>
    </w:div>
    <w:div w:id="1620379678">
      <w:bodyDiv w:val="1"/>
      <w:marLeft w:val="0"/>
      <w:marRight w:val="0"/>
      <w:marTop w:val="0"/>
      <w:marBottom w:val="0"/>
      <w:divBdr>
        <w:top w:val="none" w:sz="0" w:space="0" w:color="auto"/>
        <w:left w:val="none" w:sz="0" w:space="0" w:color="auto"/>
        <w:bottom w:val="none" w:sz="0" w:space="0" w:color="auto"/>
        <w:right w:val="none" w:sz="0" w:space="0" w:color="auto"/>
      </w:divBdr>
    </w:div>
    <w:div w:id="1620646187">
      <w:bodyDiv w:val="1"/>
      <w:marLeft w:val="0"/>
      <w:marRight w:val="0"/>
      <w:marTop w:val="0"/>
      <w:marBottom w:val="0"/>
      <w:divBdr>
        <w:top w:val="none" w:sz="0" w:space="0" w:color="auto"/>
        <w:left w:val="none" w:sz="0" w:space="0" w:color="auto"/>
        <w:bottom w:val="none" w:sz="0" w:space="0" w:color="auto"/>
        <w:right w:val="none" w:sz="0" w:space="0" w:color="auto"/>
      </w:divBdr>
    </w:div>
    <w:div w:id="1624530648">
      <w:bodyDiv w:val="1"/>
      <w:marLeft w:val="0"/>
      <w:marRight w:val="0"/>
      <w:marTop w:val="0"/>
      <w:marBottom w:val="0"/>
      <w:divBdr>
        <w:top w:val="none" w:sz="0" w:space="0" w:color="auto"/>
        <w:left w:val="none" w:sz="0" w:space="0" w:color="auto"/>
        <w:bottom w:val="none" w:sz="0" w:space="0" w:color="auto"/>
        <w:right w:val="none" w:sz="0" w:space="0" w:color="auto"/>
      </w:divBdr>
    </w:div>
    <w:div w:id="1627538107">
      <w:bodyDiv w:val="1"/>
      <w:marLeft w:val="0"/>
      <w:marRight w:val="0"/>
      <w:marTop w:val="0"/>
      <w:marBottom w:val="0"/>
      <w:divBdr>
        <w:top w:val="none" w:sz="0" w:space="0" w:color="auto"/>
        <w:left w:val="none" w:sz="0" w:space="0" w:color="auto"/>
        <w:bottom w:val="none" w:sz="0" w:space="0" w:color="auto"/>
        <w:right w:val="none" w:sz="0" w:space="0" w:color="auto"/>
      </w:divBdr>
    </w:div>
    <w:div w:id="1627925284">
      <w:bodyDiv w:val="1"/>
      <w:marLeft w:val="0"/>
      <w:marRight w:val="0"/>
      <w:marTop w:val="0"/>
      <w:marBottom w:val="0"/>
      <w:divBdr>
        <w:top w:val="none" w:sz="0" w:space="0" w:color="auto"/>
        <w:left w:val="none" w:sz="0" w:space="0" w:color="auto"/>
        <w:bottom w:val="none" w:sz="0" w:space="0" w:color="auto"/>
        <w:right w:val="none" w:sz="0" w:space="0" w:color="auto"/>
      </w:divBdr>
    </w:div>
    <w:div w:id="1629700430">
      <w:bodyDiv w:val="1"/>
      <w:marLeft w:val="0"/>
      <w:marRight w:val="0"/>
      <w:marTop w:val="0"/>
      <w:marBottom w:val="0"/>
      <w:divBdr>
        <w:top w:val="none" w:sz="0" w:space="0" w:color="auto"/>
        <w:left w:val="none" w:sz="0" w:space="0" w:color="auto"/>
        <w:bottom w:val="none" w:sz="0" w:space="0" w:color="auto"/>
        <w:right w:val="none" w:sz="0" w:space="0" w:color="auto"/>
      </w:divBdr>
    </w:div>
    <w:div w:id="1638100054">
      <w:bodyDiv w:val="1"/>
      <w:marLeft w:val="0"/>
      <w:marRight w:val="0"/>
      <w:marTop w:val="0"/>
      <w:marBottom w:val="0"/>
      <w:divBdr>
        <w:top w:val="none" w:sz="0" w:space="0" w:color="auto"/>
        <w:left w:val="none" w:sz="0" w:space="0" w:color="auto"/>
        <w:bottom w:val="none" w:sz="0" w:space="0" w:color="auto"/>
        <w:right w:val="none" w:sz="0" w:space="0" w:color="auto"/>
      </w:divBdr>
    </w:div>
    <w:div w:id="1639604192">
      <w:bodyDiv w:val="1"/>
      <w:marLeft w:val="0"/>
      <w:marRight w:val="0"/>
      <w:marTop w:val="0"/>
      <w:marBottom w:val="0"/>
      <w:divBdr>
        <w:top w:val="none" w:sz="0" w:space="0" w:color="auto"/>
        <w:left w:val="none" w:sz="0" w:space="0" w:color="auto"/>
        <w:bottom w:val="none" w:sz="0" w:space="0" w:color="auto"/>
        <w:right w:val="none" w:sz="0" w:space="0" w:color="auto"/>
      </w:divBdr>
    </w:div>
    <w:div w:id="1640838769">
      <w:bodyDiv w:val="1"/>
      <w:marLeft w:val="0"/>
      <w:marRight w:val="0"/>
      <w:marTop w:val="0"/>
      <w:marBottom w:val="0"/>
      <w:divBdr>
        <w:top w:val="none" w:sz="0" w:space="0" w:color="auto"/>
        <w:left w:val="none" w:sz="0" w:space="0" w:color="auto"/>
        <w:bottom w:val="none" w:sz="0" w:space="0" w:color="auto"/>
        <w:right w:val="none" w:sz="0" w:space="0" w:color="auto"/>
      </w:divBdr>
    </w:div>
    <w:div w:id="1643388844">
      <w:bodyDiv w:val="1"/>
      <w:marLeft w:val="0"/>
      <w:marRight w:val="0"/>
      <w:marTop w:val="0"/>
      <w:marBottom w:val="0"/>
      <w:divBdr>
        <w:top w:val="none" w:sz="0" w:space="0" w:color="auto"/>
        <w:left w:val="none" w:sz="0" w:space="0" w:color="auto"/>
        <w:bottom w:val="none" w:sz="0" w:space="0" w:color="auto"/>
        <w:right w:val="none" w:sz="0" w:space="0" w:color="auto"/>
      </w:divBdr>
    </w:div>
    <w:div w:id="1649242168">
      <w:bodyDiv w:val="1"/>
      <w:marLeft w:val="0"/>
      <w:marRight w:val="0"/>
      <w:marTop w:val="0"/>
      <w:marBottom w:val="0"/>
      <w:divBdr>
        <w:top w:val="none" w:sz="0" w:space="0" w:color="auto"/>
        <w:left w:val="none" w:sz="0" w:space="0" w:color="auto"/>
        <w:bottom w:val="none" w:sz="0" w:space="0" w:color="auto"/>
        <w:right w:val="none" w:sz="0" w:space="0" w:color="auto"/>
      </w:divBdr>
    </w:div>
    <w:div w:id="1664896391">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70331262">
      <w:bodyDiv w:val="1"/>
      <w:marLeft w:val="0"/>
      <w:marRight w:val="0"/>
      <w:marTop w:val="0"/>
      <w:marBottom w:val="0"/>
      <w:divBdr>
        <w:top w:val="none" w:sz="0" w:space="0" w:color="auto"/>
        <w:left w:val="none" w:sz="0" w:space="0" w:color="auto"/>
        <w:bottom w:val="none" w:sz="0" w:space="0" w:color="auto"/>
        <w:right w:val="none" w:sz="0" w:space="0" w:color="auto"/>
      </w:divBdr>
    </w:div>
    <w:div w:id="1670987445">
      <w:bodyDiv w:val="1"/>
      <w:marLeft w:val="0"/>
      <w:marRight w:val="0"/>
      <w:marTop w:val="0"/>
      <w:marBottom w:val="0"/>
      <w:divBdr>
        <w:top w:val="none" w:sz="0" w:space="0" w:color="auto"/>
        <w:left w:val="none" w:sz="0" w:space="0" w:color="auto"/>
        <w:bottom w:val="none" w:sz="0" w:space="0" w:color="auto"/>
        <w:right w:val="none" w:sz="0" w:space="0" w:color="auto"/>
      </w:divBdr>
    </w:div>
    <w:div w:id="1677538640">
      <w:bodyDiv w:val="1"/>
      <w:marLeft w:val="0"/>
      <w:marRight w:val="0"/>
      <w:marTop w:val="0"/>
      <w:marBottom w:val="0"/>
      <w:divBdr>
        <w:top w:val="none" w:sz="0" w:space="0" w:color="auto"/>
        <w:left w:val="none" w:sz="0" w:space="0" w:color="auto"/>
        <w:bottom w:val="none" w:sz="0" w:space="0" w:color="auto"/>
        <w:right w:val="none" w:sz="0" w:space="0" w:color="auto"/>
      </w:divBdr>
    </w:div>
    <w:div w:id="1677878911">
      <w:bodyDiv w:val="1"/>
      <w:marLeft w:val="0"/>
      <w:marRight w:val="0"/>
      <w:marTop w:val="0"/>
      <w:marBottom w:val="0"/>
      <w:divBdr>
        <w:top w:val="none" w:sz="0" w:space="0" w:color="auto"/>
        <w:left w:val="none" w:sz="0" w:space="0" w:color="auto"/>
        <w:bottom w:val="none" w:sz="0" w:space="0" w:color="auto"/>
        <w:right w:val="none" w:sz="0" w:space="0" w:color="auto"/>
      </w:divBdr>
    </w:div>
    <w:div w:id="1678773039">
      <w:bodyDiv w:val="1"/>
      <w:marLeft w:val="0"/>
      <w:marRight w:val="0"/>
      <w:marTop w:val="0"/>
      <w:marBottom w:val="0"/>
      <w:divBdr>
        <w:top w:val="none" w:sz="0" w:space="0" w:color="auto"/>
        <w:left w:val="none" w:sz="0" w:space="0" w:color="auto"/>
        <w:bottom w:val="none" w:sz="0" w:space="0" w:color="auto"/>
        <w:right w:val="none" w:sz="0" w:space="0" w:color="auto"/>
      </w:divBdr>
    </w:div>
    <w:div w:id="1680888863">
      <w:bodyDiv w:val="1"/>
      <w:marLeft w:val="0"/>
      <w:marRight w:val="0"/>
      <w:marTop w:val="0"/>
      <w:marBottom w:val="0"/>
      <w:divBdr>
        <w:top w:val="none" w:sz="0" w:space="0" w:color="auto"/>
        <w:left w:val="none" w:sz="0" w:space="0" w:color="auto"/>
        <w:bottom w:val="none" w:sz="0" w:space="0" w:color="auto"/>
        <w:right w:val="none" w:sz="0" w:space="0" w:color="auto"/>
      </w:divBdr>
    </w:div>
    <w:div w:id="1682245753">
      <w:bodyDiv w:val="1"/>
      <w:marLeft w:val="0"/>
      <w:marRight w:val="0"/>
      <w:marTop w:val="0"/>
      <w:marBottom w:val="0"/>
      <w:divBdr>
        <w:top w:val="none" w:sz="0" w:space="0" w:color="auto"/>
        <w:left w:val="none" w:sz="0" w:space="0" w:color="auto"/>
        <w:bottom w:val="none" w:sz="0" w:space="0" w:color="auto"/>
        <w:right w:val="none" w:sz="0" w:space="0" w:color="auto"/>
      </w:divBdr>
    </w:div>
    <w:div w:id="1682588703">
      <w:bodyDiv w:val="1"/>
      <w:marLeft w:val="0"/>
      <w:marRight w:val="0"/>
      <w:marTop w:val="0"/>
      <w:marBottom w:val="0"/>
      <w:divBdr>
        <w:top w:val="none" w:sz="0" w:space="0" w:color="auto"/>
        <w:left w:val="none" w:sz="0" w:space="0" w:color="auto"/>
        <w:bottom w:val="none" w:sz="0" w:space="0" w:color="auto"/>
        <w:right w:val="none" w:sz="0" w:space="0" w:color="auto"/>
      </w:divBdr>
    </w:div>
    <w:div w:id="1694920757">
      <w:bodyDiv w:val="1"/>
      <w:marLeft w:val="0"/>
      <w:marRight w:val="0"/>
      <w:marTop w:val="0"/>
      <w:marBottom w:val="0"/>
      <w:divBdr>
        <w:top w:val="none" w:sz="0" w:space="0" w:color="auto"/>
        <w:left w:val="none" w:sz="0" w:space="0" w:color="auto"/>
        <w:bottom w:val="none" w:sz="0" w:space="0" w:color="auto"/>
        <w:right w:val="none" w:sz="0" w:space="0" w:color="auto"/>
      </w:divBdr>
    </w:div>
    <w:div w:id="1695110447">
      <w:bodyDiv w:val="1"/>
      <w:marLeft w:val="0"/>
      <w:marRight w:val="0"/>
      <w:marTop w:val="0"/>
      <w:marBottom w:val="0"/>
      <w:divBdr>
        <w:top w:val="none" w:sz="0" w:space="0" w:color="auto"/>
        <w:left w:val="none" w:sz="0" w:space="0" w:color="auto"/>
        <w:bottom w:val="none" w:sz="0" w:space="0" w:color="auto"/>
        <w:right w:val="none" w:sz="0" w:space="0" w:color="auto"/>
      </w:divBdr>
    </w:div>
    <w:div w:id="1708527926">
      <w:bodyDiv w:val="1"/>
      <w:marLeft w:val="0"/>
      <w:marRight w:val="0"/>
      <w:marTop w:val="0"/>
      <w:marBottom w:val="0"/>
      <w:divBdr>
        <w:top w:val="none" w:sz="0" w:space="0" w:color="auto"/>
        <w:left w:val="none" w:sz="0" w:space="0" w:color="auto"/>
        <w:bottom w:val="none" w:sz="0" w:space="0" w:color="auto"/>
        <w:right w:val="none" w:sz="0" w:space="0" w:color="auto"/>
      </w:divBdr>
    </w:div>
    <w:div w:id="1712341018">
      <w:bodyDiv w:val="1"/>
      <w:marLeft w:val="0"/>
      <w:marRight w:val="0"/>
      <w:marTop w:val="0"/>
      <w:marBottom w:val="0"/>
      <w:divBdr>
        <w:top w:val="none" w:sz="0" w:space="0" w:color="auto"/>
        <w:left w:val="none" w:sz="0" w:space="0" w:color="auto"/>
        <w:bottom w:val="none" w:sz="0" w:space="0" w:color="auto"/>
        <w:right w:val="none" w:sz="0" w:space="0" w:color="auto"/>
      </w:divBdr>
    </w:div>
    <w:div w:id="1715080123">
      <w:bodyDiv w:val="1"/>
      <w:marLeft w:val="0"/>
      <w:marRight w:val="0"/>
      <w:marTop w:val="0"/>
      <w:marBottom w:val="0"/>
      <w:divBdr>
        <w:top w:val="none" w:sz="0" w:space="0" w:color="auto"/>
        <w:left w:val="none" w:sz="0" w:space="0" w:color="auto"/>
        <w:bottom w:val="none" w:sz="0" w:space="0" w:color="auto"/>
        <w:right w:val="none" w:sz="0" w:space="0" w:color="auto"/>
      </w:divBdr>
    </w:div>
    <w:div w:id="1721133123">
      <w:bodyDiv w:val="1"/>
      <w:marLeft w:val="0"/>
      <w:marRight w:val="0"/>
      <w:marTop w:val="0"/>
      <w:marBottom w:val="0"/>
      <w:divBdr>
        <w:top w:val="none" w:sz="0" w:space="0" w:color="auto"/>
        <w:left w:val="none" w:sz="0" w:space="0" w:color="auto"/>
        <w:bottom w:val="none" w:sz="0" w:space="0" w:color="auto"/>
        <w:right w:val="none" w:sz="0" w:space="0" w:color="auto"/>
      </w:divBdr>
    </w:div>
    <w:div w:id="1721857603">
      <w:bodyDiv w:val="1"/>
      <w:marLeft w:val="0"/>
      <w:marRight w:val="0"/>
      <w:marTop w:val="0"/>
      <w:marBottom w:val="0"/>
      <w:divBdr>
        <w:top w:val="none" w:sz="0" w:space="0" w:color="auto"/>
        <w:left w:val="none" w:sz="0" w:space="0" w:color="auto"/>
        <w:bottom w:val="none" w:sz="0" w:space="0" w:color="auto"/>
        <w:right w:val="none" w:sz="0" w:space="0" w:color="auto"/>
      </w:divBdr>
    </w:div>
    <w:div w:id="1722552397">
      <w:bodyDiv w:val="1"/>
      <w:marLeft w:val="0"/>
      <w:marRight w:val="0"/>
      <w:marTop w:val="0"/>
      <w:marBottom w:val="0"/>
      <w:divBdr>
        <w:top w:val="none" w:sz="0" w:space="0" w:color="auto"/>
        <w:left w:val="none" w:sz="0" w:space="0" w:color="auto"/>
        <w:bottom w:val="none" w:sz="0" w:space="0" w:color="auto"/>
        <w:right w:val="none" w:sz="0" w:space="0" w:color="auto"/>
      </w:divBdr>
    </w:div>
    <w:div w:id="1723410001">
      <w:bodyDiv w:val="1"/>
      <w:marLeft w:val="0"/>
      <w:marRight w:val="0"/>
      <w:marTop w:val="0"/>
      <w:marBottom w:val="0"/>
      <w:divBdr>
        <w:top w:val="none" w:sz="0" w:space="0" w:color="auto"/>
        <w:left w:val="none" w:sz="0" w:space="0" w:color="auto"/>
        <w:bottom w:val="none" w:sz="0" w:space="0" w:color="auto"/>
        <w:right w:val="none" w:sz="0" w:space="0" w:color="auto"/>
      </w:divBdr>
    </w:div>
    <w:div w:id="1725569147">
      <w:bodyDiv w:val="1"/>
      <w:marLeft w:val="0"/>
      <w:marRight w:val="0"/>
      <w:marTop w:val="0"/>
      <w:marBottom w:val="0"/>
      <w:divBdr>
        <w:top w:val="none" w:sz="0" w:space="0" w:color="auto"/>
        <w:left w:val="none" w:sz="0" w:space="0" w:color="auto"/>
        <w:bottom w:val="none" w:sz="0" w:space="0" w:color="auto"/>
        <w:right w:val="none" w:sz="0" w:space="0" w:color="auto"/>
      </w:divBdr>
    </w:div>
    <w:div w:id="1733774259">
      <w:bodyDiv w:val="1"/>
      <w:marLeft w:val="0"/>
      <w:marRight w:val="0"/>
      <w:marTop w:val="0"/>
      <w:marBottom w:val="0"/>
      <w:divBdr>
        <w:top w:val="none" w:sz="0" w:space="0" w:color="auto"/>
        <w:left w:val="none" w:sz="0" w:space="0" w:color="auto"/>
        <w:bottom w:val="none" w:sz="0" w:space="0" w:color="auto"/>
        <w:right w:val="none" w:sz="0" w:space="0" w:color="auto"/>
      </w:divBdr>
    </w:div>
    <w:div w:id="1738673408">
      <w:bodyDiv w:val="1"/>
      <w:marLeft w:val="0"/>
      <w:marRight w:val="0"/>
      <w:marTop w:val="0"/>
      <w:marBottom w:val="0"/>
      <w:divBdr>
        <w:top w:val="none" w:sz="0" w:space="0" w:color="auto"/>
        <w:left w:val="none" w:sz="0" w:space="0" w:color="auto"/>
        <w:bottom w:val="none" w:sz="0" w:space="0" w:color="auto"/>
        <w:right w:val="none" w:sz="0" w:space="0" w:color="auto"/>
      </w:divBdr>
    </w:div>
    <w:div w:id="1740512841">
      <w:bodyDiv w:val="1"/>
      <w:marLeft w:val="0"/>
      <w:marRight w:val="0"/>
      <w:marTop w:val="0"/>
      <w:marBottom w:val="0"/>
      <w:divBdr>
        <w:top w:val="none" w:sz="0" w:space="0" w:color="auto"/>
        <w:left w:val="none" w:sz="0" w:space="0" w:color="auto"/>
        <w:bottom w:val="none" w:sz="0" w:space="0" w:color="auto"/>
        <w:right w:val="none" w:sz="0" w:space="0" w:color="auto"/>
      </w:divBdr>
    </w:div>
    <w:div w:id="1744335816">
      <w:bodyDiv w:val="1"/>
      <w:marLeft w:val="0"/>
      <w:marRight w:val="0"/>
      <w:marTop w:val="0"/>
      <w:marBottom w:val="0"/>
      <w:divBdr>
        <w:top w:val="none" w:sz="0" w:space="0" w:color="auto"/>
        <w:left w:val="none" w:sz="0" w:space="0" w:color="auto"/>
        <w:bottom w:val="none" w:sz="0" w:space="0" w:color="auto"/>
        <w:right w:val="none" w:sz="0" w:space="0" w:color="auto"/>
      </w:divBdr>
    </w:div>
    <w:div w:id="1747990190">
      <w:bodyDiv w:val="1"/>
      <w:marLeft w:val="0"/>
      <w:marRight w:val="0"/>
      <w:marTop w:val="0"/>
      <w:marBottom w:val="0"/>
      <w:divBdr>
        <w:top w:val="none" w:sz="0" w:space="0" w:color="auto"/>
        <w:left w:val="none" w:sz="0" w:space="0" w:color="auto"/>
        <w:bottom w:val="none" w:sz="0" w:space="0" w:color="auto"/>
        <w:right w:val="none" w:sz="0" w:space="0" w:color="auto"/>
      </w:divBdr>
    </w:div>
    <w:div w:id="1753965305">
      <w:bodyDiv w:val="1"/>
      <w:marLeft w:val="0"/>
      <w:marRight w:val="0"/>
      <w:marTop w:val="0"/>
      <w:marBottom w:val="0"/>
      <w:divBdr>
        <w:top w:val="none" w:sz="0" w:space="0" w:color="auto"/>
        <w:left w:val="none" w:sz="0" w:space="0" w:color="auto"/>
        <w:bottom w:val="none" w:sz="0" w:space="0" w:color="auto"/>
        <w:right w:val="none" w:sz="0" w:space="0" w:color="auto"/>
      </w:divBdr>
    </w:div>
    <w:div w:id="1756708466">
      <w:bodyDiv w:val="1"/>
      <w:marLeft w:val="0"/>
      <w:marRight w:val="0"/>
      <w:marTop w:val="0"/>
      <w:marBottom w:val="0"/>
      <w:divBdr>
        <w:top w:val="none" w:sz="0" w:space="0" w:color="auto"/>
        <w:left w:val="none" w:sz="0" w:space="0" w:color="auto"/>
        <w:bottom w:val="none" w:sz="0" w:space="0" w:color="auto"/>
        <w:right w:val="none" w:sz="0" w:space="0" w:color="auto"/>
      </w:divBdr>
    </w:div>
    <w:div w:id="1766799209">
      <w:bodyDiv w:val="1"/>
      <w:marLeft w:val="0"/>
      <w:marRight w:val="0"/>
      <w:marTop w:val="0"/>
      <w:marBottom w:val="0"/>
      <w:divBdr>
        <w:top w:val="none" w:sz="0" w:space="0" w:color="auto"/>
        <w:left w:val="none" w:sz="0" w:space="0" w:color="auto"/>
        <w:bottom w:val="none" w:sz="0" w:space="0" w:color="auto"/>
        <w:right w:val="none" w:sz="0" w:space="0" w:color="auto"/>
      </w:divBdr>
    </w:div>
    <w:div w:id="1777285179">
      <w:bodyDiv w:val="1"/>
      <w:marLeft w:val="0"/>
      <w:marRight w:val="0"/>
      <w:marTop w:val="0"/>
      <w:marBottom w:val="0"/>
      <w:divBdr>
        <w:top w:val="none" w:sz="0" w:space="0" w:color="auto"/>
        <w:left w:val="none" w:sz="0" w:space="0" w:color="auto"/>
        <w:bottom w:val="none" w:sz="0" w:space="0" w:color="auto"/>
        <w:right w:val="none" w:sz="0" w:space="0" w:color="auto"/>
      </w:divBdr>
    </w:div>
    <w:div w:id="1777869966">
      <w:bodyDiv w:val="1"/>
      <w:marLeft w:val="0"/>
      <w:marRight w:val="0"/>
      <w:marTop w:val="0"/>
      <w:marBottom w:val="0"/>
      <w:divBdr>
        <w:top w:val="none" w:sz="0" w:space="0" w:color="auto"/>
        <w:left w:val="none" w:sz="0" w:space="0" w:color="auto"/>
        <w:bottom w:val="none" w:sz="0" w:space="0" w:color="auto"/>
        <w:right w:val="none" w:sz="0" w:space="0" w:color="auto"/>
      </w:divBdr>
    </w:div>
    <w:div w:id="1778717785">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2651200">
      <w:bodyDiv w:val="1"/>
      <w:marLeft w:val="0"/>
      <w:marRight w:val="0"/>
      <w:marTop w:val="0"/>
      <w:marBottom w:val="0"/>
      <w:divBdr>
        <w:top w:val="none" w:sz="0" w:space="0" w:color="auto"/>
        <w:left w:val="none" w:sz="0" w:space="0" w:color="auto"/>
        <w:bottom w:val="none" w:sz="0" w:space="0" w:color="auto"/>
        <w:right w:val="none" w:sz="0" w:space="0" w:color="auto"/>
      </w:divBdr>
    </w:div>
    <w:div w:id="1785536518">
      <w:bodyDiv w:val="1"/>
      <w:marLeft w:val="0"/>
      <w:marRight w:val="0"/>
      <w:marTop w:val="0"/>
      <w:marBottom w:val="0"/>
      <w:divBdr>
        <w:top w:val="none" w:sz="0" w:space="0" w:color="auto"/>
        <w:left w:val="none" w:sz="0" w:space="0" w:color="auto"/>
        <w:bottom w:val="none" w:sz="0" w:space="0" w:color="auto"/>
        <w:right w:val="none" w:sz="0" w:space="0" w:color="auto"/>
      </w:divBdr>
    </w:div>
    <w:div w:id="1786122443">
      <w:bodyDiv w:val="1"/>
      <w:marLeft w:val="0"/>
      <w:marRight w:val="0"/>
      <w:marTop w:val="0"/>
      <w:marBottom w:val="0"/>
      <w:divBdr>
        <w:top w:val="none" w:sz="0" w:space="0" w:color="auto"/>
        <w:left w:val="none" w:sz="0" w:space="0" w:color="auto"/>
        <w:bottom w:val="none" w:sz="0" w:space="0" w:color="auto"/>
        <w:right w:val="none" w:sz="0" w:space="0" w:color="auto"/>
      </w:divBdr>
    </w:div>
    <w:div w:id="1787963637">
      <w:bodyDiv w:val="1"/>
      <w:marLeft w:val="0"/>
      <w:marRight w:val="0"/>
      <w:marTop w:val="0"/>
      <w:marBottom w:val="0"/>
      <w:divBdr>
        <w:top w:val="none" w:sz="0" w:space="0" w:color="auto"/>
        <w:left w:val="none" w:sz="0" w:space="0" w:color="auto"/>
        <w:bottom w:val="none" w:sz="0" w:space="0" w:color="auto"/>
        <w:right w:val="none" w:sz="0" w:space="0" w:color="auto"/>
      </w:divBdr>
    </w:div>
    <w:div w:id="1791435352">
      <w:bodyDiv w:val="1"/>
      <w:marLeft w:val="0"/>
      <w:marRight w:val="0"/>
      <w:marTop w:val="0"/>
      <w:marBottom w:val="0"/>
      <w:divBdr>
        <w:top w:val="none" w:sz="0" w:space="0" w:color="auto"/>
        <w:left w:val="none" w:sz="0" w:space="0" w:color="auto"/>
        <w:bottom w:val="none" w:sz="0" w:space="0" w:color="auto"/>
        <w:right w:val="none" w:sz="0" w:space="0" w:color="auto"/>
      </w:divBdr>
    </w:div>
    <w:div w:id="1792937226">
      <w:bodyDiv w:val="1"/>
      <w:marLeft w:val="0"/>
      <w:marRight w:val="0"/>
      <w:marTop w:val="0"/>
      <w:marBottom w:val="0"/>
      <w:divBdr>
        <w:top w:val="none" w:sz="0" w:space="0" w:color="auto"/>
        <w:left w:val="none" w:sz="0" w:space="0" w:color="auto"/>
        <w:bottom w:val="none" w:sz="0" w:space="0" w:color="auto"/>
        <w:right w:val="none" w:sz="0" w:space="0" w:color="auto"/>
      </w:divBdr>
    </w:div>
    <w:div w:id="1800880821">
      <w:bodyDiv w:val="1"/>
      <w:marLeft w:val="0"/>
      <w:marRight w:val="0"/>
      <w:marTop w:val="0"/>
      <w:marBottom w:val="0"/>
      <w:divBdr>
        <w:top w:val="none" w:sz="0" w:space="0" w:color="auto"/>
        <w:left w:val="none" w:sz="0" w:space="0" w:color="auto"/>
        <w:bottom w:val="none" w:sz="0" w:space="0" w:color="auto"/>
        <w:right w:val="none" w:sz="0" w:space="0" w:color="auto"/>
      </w:divBdr>
    </w:div>
    <w:div w:id="1803695024">
      <w:bodyDiv w:val="1"/>
      <w:marLeft w:val="0"/>
      <w:marRight w:val="0"/>
      <w:marTop w:val="0"/>
      <w:marBottom w:val="0"/>
      <w:divBdr>
        <w:top w:val="none" w:sz="0" w:space="0" w:color="auto"/>
        <w:left w:val="none" w:sz="0" w:space="0" w:color="auto"/>
        <w:bottom w:val="none" w:sz="0" w:space="0" w:color="auto"/>
        <w:right w:val="none" w:sz="0" w:space="0" w:color="auto"/>
      </w:divBdr>
    </w:div>
    <w:div w:id="1806772685">
      <w:bodyDiv w:val="1"/>
      <w:marLeft w:val="0"/>
      <w:marRight w:val="0"/>
      <w:marTop w:val="0"/>
      <w:marBottom w:val="0"/>
      <w:divBdr>
        <w:top w:val="none" w:sz="0" w:space="0" w:color="auto"/>
        <w:left w:val="none" w:sz="0" w:space="0" w:color="auto"/>
        <w:bottom w:val="none" w:sz="0" w:space="0" w:color="auto"/>
        <w:right w:val="none" w:sz="0" w:space="0" w:color="auto"/>
      </w:divBdr>
    </w:div>
    <w:div w:id="1814520205">
      <w:bodyDiv w:val="1"/>
      <w:marLeft w:val="0"/>
      <w:marRight w:val="0"/>
      <w:marTop w:val="0"/>
      <w:marBottom w:val="0"/>
      <w:divBdr>
        <w:top w:val="none" w:sz="0" w:space="0" w:color="auto"/>
        <w:left w:val="none" w:sz="0" w:space="0" w:color="auto"/>
        <w:bottom w:val="none" w:sz="0" w:space="0" w:color="auto"/>
        <w:right w:val="none" w:sz="0" w:space="0" w:color="auto"/>
      </w:divBdr>
    </w:div>
    <w:div w:id="1816331700">
      <w:bodyDiv w:val="1"/>
      <w:marLeft w:val="0"/>
      <w:marRight w:val="0"/>
      <w:marTop w:val="0"/>
      <w:marBottom w:val="0"/>
      <w:divBdr>
        <w:top w:val="none" w:sz="0" w:space="0" w:color="auto"/>
        <w:left w:val="none" w:sz="0" w:space="0" w:color="auto"/>
        <w:bottom w:val="none" w:sz="0" w:space="0" w:color="auto"/>
        <w:right w:val="none" w:sz="0" w:space="0" w:color="auto"/>
      </w:divBdr>
    </w:div>
    <w:div w:id="1816489116">
      <w:bodyDiv w:val="1"/>
      <w:marLeft w:val="0"/>
      <w:marRight w:val="0"/>
      <w:marTop w:val="0"/>
      <w:marBottom w:val="0"/>
      <w:divBdr>
        <w:top w:val="none" w:sz="0" w:space="0" w:color="auto"/>
        <w:left w:val="none" w:sz="0" w:space="0" w:color="auto"/>
        <w:bottom w:val="none" w:sz="0" w:space="0" w:color="auto"/>
        <w:right w:val="none" w:sz="0" w:space="0" w:color="auto"/>
      </w:divBdr>
    </w:div>
    <w:div w:id="1817600140">
      <w:bodyDiv w:val="1"/>
      <w:marLeft w:val="0"/>
      <w:marRight w:val="0"/>
      <w:marTop w:val="0"/>
      <w:marBottom w:val="0"/>
      <w:divBdr>
        <w:top w:val="none" w:sz="0" w:space="0" w:color="auto"/>
        <w:left w:val="none" w:sz="0" w:space="0" w:color="auto"/>
        <w:bottom w:val="none" w:sz="0" w:space="0" w:color="auto"/>
        <w:right w:val="none" w:sz="0" w:space="0" w:color="auto"/>
      </w:divBdr>
    </w:div>
    <w:div w:id="1819416556">
      <w:bodyDiv w:val="1"/>
      <w:marLeft w:val="0"/>
      <w:marRight w:val="0"/>
      <w:marTop w:val="0"/>
      <w:marBottom w:val="0"/>
      <w:divBdr>
        <w:top w:val="none" w:sz="0" w:space="0" w:color="auto"/>
        <w:left w:val="none" w:sz="0" w:space="0" w:color="auto"/>
        <w:bottom w:val="none" w:sz="0" w:space="0" w:color="auto"/>
        <w:right w:val="none" w:sz="0" w:space="0" w:color="auto"/>
      </w:divBdr>
    </w:div>
    <w:div w:id="1820807833">
      <w:bodyDiv w:val="1"/>
      <w:marLeft w:val="0"/>
      <w:marRight w:val="0"/>
      <w:marTop w:val="0"/>
      <w:marBottom w:val="0"/>
      <w:divBdr>
        <w:top w:val="none" w:sz="0" w:space="0" w:color="auto"/>
        <w:left w:val="none" w:sz="0" w:space="0" w:color="auto"/>
        <w:bottom w:val="none" w:sz="0" w:space="0" w:color="auto"/>
        <w:right w:val="none" w:sz="0" w:space="0" w:color="auto"/>
      </w:divBdr>
    </w:div>
    <w:div w:id="1822505494">
      <w:bodyDiv w:val="1"/>
      <w:marLeft w:val="0"/>
      <w:marRight w:val="0"/>
      <w:marTop w:val="0"/>
      <w:marBottom w:val="0"/>
      <w:divBdr>
        <w:top w:val="none" w:sz="0" w:space="0" w:color="auto"/>
        <w:left w:val="none" w:sz="0" w:space="0" w:color="auto"/>
        <w:bottom w:val="none" w:sz="0" w:space="0" w:color="auto"/>
        <w:right w:val="none" w:sz="0" w:space="0" w:color="auto"/>
      </w:divBdr>
    </w:div>
    <w:div w:id="1827042828">
      <w:bodyDiv w:val="1"/>
      <w:marLeft w:val="0"/>
      <w:marRight w:val="0"/>
      <w:marTop w:val="0"/>
      <w:marBottom w:val="0"/>
      <w:divBdr>
        <w:top w:val="none" w:sz="0" w:space="0" w:color="auto"/>
        <w:left w:val="none" w:sz="0" w:space="0" w:color="auto"/>
        <w:bottom w:val="none" w:sz="0" w:space="0" w:color="auto"/>
        <w:right w:val="none" w:sz="0" w:space="0" w:color="auto"/>
      </w:divBdr>
    </w:div>
    <w:div w:id="1828009212">
      <w:bodyDiv w:val="1"/>
      <w:marLeft w:val="0"/>
      <w:marRight w:val="0"/>
      <w:marTop w:val="0"/>
      <w:marBottom w:val="0"/>
      <w:divBdr>
        <w:top w:val="none" w:sz="0" w:space="0" w:color="auto"/>
        <w:left w:val="none" w:sz="0" w:space="0" w:color="auto"/>
        <w:bottom w:val="none" w:sz="0" w:space="0" w:color="auto"/>
        <w:right w:val="none" w:sz="0" w:space="0" w:color="auto"/>
      </w:divBdr>
    </w:div>
    <w:div w:id="1834367636">
      <w:bodyDiv w:val="1"/>
      <w:marLeft w:val="0"/>
      <w:marRight w:val="0"/>
      <w:marTop w:val="0"/>
      <w:marBottom w:val="0"/>
      <w:divBdr>
        <w:top w:val="none" w:sz="0" w:space="0" w:color="auto"/>
        <w:left w:val="none" w:sz="0" w:space="0" w:color="auto"/>
        <w:bottom w:val="none" w:sz="0" w:space="0" w:color="auto"/>
        <w:right w:val="none" w:sz="0" w:space="0" w:color="auto"/>
      </w:divBdr>
    </w:div>
    <w:div w:id="1834443529">
      <w:bodyDiv w:val="1"/>
      <w:marLeft w:val="0"/>
      <w:marRight w:val="0"/>
      <w:marTop w:val="0"/>
      <w:marBottom w:val="0"/>
      <w:divBdr>
        <w:top w:val="none" w:sz="0" w:space="0" w:color="auto"/>
        <w:left w:val="none" w:sz="0" w:space="0" w:color="auto"/>
        <w:bottom w:val="none" w:sz="0" w:space="0" w:color="auto"/>
        <w:right w:val="none" w:sz="0" w:space="0" w:color="auto"/>
      </w:divBdr>
    </w:div>
    <w:div w:id="1835488159">
      <w:bodyDiv w:val="1"/>
      <w:marLeft w:val="0"/>
      <w:marRight w:val="0"/>
      <w:marTop w:val="0"/>
      <w:marBottom w:val="0"/>
      <w:divBdr>
        <w:top w:val="none" w:sz="0" w:space="0" w:color="auto"/>
        <w:left w:val="none" w:sz="0" w:space="0" w:color="auto"/>
        <w:bottom w:val="none" w:sz="0" w:space="0" w:color="auto"/>
        <w:right w:val="none" w:sz="0" w:space="0" w:color="auto"/>
      </w:divBdr>
    </w:div>
    <w:div w:id="1835563913">
      <w:bodyDiv w:val="1"/>
      <w:marLeft w:val="0"/>
      <w:marRight w:val="0"/>
      <w:marTop w:val="0"/>
      <w:marBottom w:val="0"/>
      <w:divBdr>
        <w:top w:val="none" w:sz="0" w:space="0" w:color="auto"/>
        <w:left w:val="none" w:sz="0" w:space="0" w:color="auto"/>
        <w:bottom w:val="none" w:sz="0" w:space="0" w:color="auto"/>
        <w:right w:val="none" w:sz="0" w:space="0" w:color="auto"/>
      </w:divBdr>
    </w:div>
    <w:div w:id="1840726433">
      <w:bodyDiv w:val="1"/>
      <w:marLeft w:val="0"/>
      <w:marRight w:val="0"/>
      <w:marTop w:val="0"/>
      <w:marBottom w:val="0"/>
      <w:divBdr>
        <w:top w:val="none" w:sz="0" w:space="0" w:color="auto"/>
        <w:left w:val="none" w:sz="0" w:space="0" w:color="auto"/>
        <w:bottom w:val="none" w:sz="0" w:space="0" w:color="auto"/>
        <w:right w:val="none" w:sz="0" w:space="0" w:color="auto"/>
      </w:divBdr>
    </w:div>
    <w:div w:id="1851990813">
      <w:bodyDiv w:val="1"/>
      <w:marLeft w:val="0"/>
      <w:marRight w:val="0"/>
      <w:marTop w:val="0"/>
      <w:marBottom w:val="0"/>
      <w:divBdr>
        <w:top w:val="none" w:sz="0" w:space="0" w:color="auto"/>
        <w:left w:val="none" w:sz="0" w:space="0" w:color="auto"/>
        <w:bottom w:val="none" w:sz="0" w:space="0" w:color="auto"/>
        <w:right w:val="none" w:sz="0" w:space="0" w:color="auto"/>
      </w:divBdr>
    </w:div>
    <w:div w:id="1854025491">
      <w:bodyDiv w:val="1"/>
      <w:marLeft w:val="0"/>
      <w:marRight w:val="0"/>
      <w:marTop w:val="0"/>
      <w:marBottom w:val="0"/>
      <w:divBdr>
        <w:top w:val="none" w:sz="0" w:space="0" w:color="auto"/>
        <w:left w:val="none" w:sz="0" w:space="0" w:color="auto"/>
        <w:bottom w:val="none" w:sz="0" w:space="0" w:color="auto"/>
        <w:right w:val="none" w:sz="0" w:space="0" w:color="auto"/>
      </w:divBdr>
    </w:div>
    <w:div w:id="1855146303">
      <w:bodyDiv w:val="1"/>
      <w:marLeft w:val="0"/>
      <w:marRight w:val="0"/>
      <w:marTop w:val="0"/>
      <w:marBottom w:val="0"/>
      <w:divBdr>
        <w:top w:val="none" w:sz="0" w:space="0" w:color="auto"/>
        <w:left w:val="none" w:sz="0" w:space="0" w:color="auto"/>
        <w:bottom w:val="none" w:sz="0" w:space="0" w:color="auto"/>
        <w:right w:val="none" w:sz="0" w:space="0" w:color="auto"/>
      </w:divBdr>
    </w:div>
    <w:div w:id="1857502799">
      <w:bodyDiv w:val="1"/>
      <w:marLeft w:val="0"/>
      <w:marRight w:val="0"/>
      <w:marTop w:val="0"/>
      <w:marBottom w:val="0"/>
      <w:divBdr>
        <w:top w:val="none" w:sz="0" w:space="0" w:color="auto"/>
        <w:left w:val="none" w:sz="0" w:space="0" w:color="auto"/>
        <w:bottom w:val="none" w:sz="0" w:space="0" w:color="auto"/>
        <w:right w:val="none" w:sz="0" w:space="0" w:color="auto"/>
      </w:divBdr>
    </w:div>
    <w:div w:id="1864005241">
      <w:bodyDiv w:val="1"/>
      <w:marLeft w:val="0"/>
      <w:marRight w:val="0"/>
      <w:marTop w:val="0"/>
      <w:marBottom w:val="0"/>
      <w:divBdr>
        <w:top w:val="none" w:sz="0" w:space="0" w:color="auto"/>
        <w:left w:val="none" w:sz="0" w:space="0" w:color="auto"/>
        <w:bottom w:val="none" w:sz="0" w:space="0" w:color="auto"/>
        <w:right w:val="none" w:sz="0" w:space="0" w:color="auto"/>
      </w:divBdr>
    </w:div>
    <w:div w:id="1871840395">
      <w:bodyDiv w:val="1"/>
      <w:marLeft w:val="0"/>
      <w:marRight w:val="0"/>
      <w:marTop w:val="0"/>
      <w:marBottom w:val="0"/>
      <w:divBdr>
        <w:top w:val="none" w:sz="0" w:space="0" w:color="auto"/>
        <w:left w:val="none" w:sz="0" w:space="0" w:color="auto"/>
        <w:bottom w:val="none" w:sz="0" w:space="0" w:color="auto"/>
        <w:right w:val="none" w:sz="0" w:space="0" w:color="auto"/>
      </w:divBdr>
    </w:div>
    <w:div w:id="1878272559">
      <w:bodyDiv w:val="1"/>
      <w:marLeft w:val="0"/>
      <w:marRight w:val="0"/>
      <w:marTop w:val="0"/>
      <w:marBottom w:val="0"/>
      <w:divBdr>
        <w:top w:val="none" w:sz="0" w:space="0" w:color="auto"/>
        <w:left w:val="none" w:sz="0" w:space="0" w:color="auto"/>
        <w:bottom w:val="none" w:sz="0" w:space="0" w:color="auto"/>
        <w:right w:val="none" w:sz="0" w:space="0" w:color="auto"/>
      </w:divBdr>
    </w:div>
    <w:div w:id="1888683840">
      <w:bodyDiv w:val="1"/>
      <w:marLeft w:val="0"/>
      <w:marRight w:val="0"/>
      <w:marTop w:val="0"/>
      <w:marBottom w:val="0"/>
      <w:divBdr>
        <w:top w:val="none" w:sz="0" w:space="0" w:color="auto"/>
        <w:left w:val="none" w:sz="0" w:space="0" w:color="auto"/>
        <w:bottom w:val="none" w:sz="0" w:space="0" w:color="auto"/>
        <w:right w:val="none" w:sz="0" w:space="0" w:color="auto"/>
      </w:divBdr>
    </w:div>
    <w:div w:id="1889947587">
      <w:bodyDiv w:val="1"/>
      <w:marLeft w:val="0"/>
      <w:marRight w:val="0"/>
      <w:marTop w:val="0"/>
      <w:marBottom w:val="0"/>
      <w:divBdr>
        <w:top w:val="none" w:sz="0" w:space="0" w:color="auto"/>
        <w:left w:val="none" w:sz="0" w:space="0" w:color="auto"/>
        <w:bottom w:val="none" w:sz="0" w:space="0" w:color="auto"/>
        <w:right w:val="none" w:sz="0" w:space="0" w:color="auto"/>
      </w:divBdr>
    </w:div>
    <w:div w:id="1891770374">
      <w:bodyDiv w:val="1"/>
      <w:marLeft w:val="0"/>
      <w:marRight w:val="0"/>
      <w:marTop w:val="0"/>
      <w:marBottom w:val="0"/>
      <w:divBdr>
        <w:top w:val="none" w:sz="0" w:space="0" w:color="auto"/>
        <w:left w:val="none" w:sz="0" w:space="0" w:color="auto"/>
        <w:bottom w:val="none" w:sz="0" w:space="0" w:color="auto"/>
        <w:right w:val="none" w:sz="0" w:space="0" w:color="auto"/>
      </w:divBdr>
    </w:div>
    <w:div w:id="1892157392">
      <w:bodyDiv w:val="1"/>
      <w:marLeft w:val="0"/>
      <w:marRight w:val="0"/>
      <w:marTop w:val="0"/>
      <w:marBottom w:val="0"/>
      <w:divBdr>
        <w:top w:val="none" w:sz="0" w:space="0" w:color="auto"/>
        <w:left w:val="none" w:sz="0" w:space="0" w:color="auto"/>
        <w:bottom w:val="none" w:sz="0" w:space="0" w:color="auto"/>
        <w:right w:val="none" w:sz="0" w:space="0" w:color="auto"/>
      </w:divBdr>
    </w:div>
    <w:div w:id="1895047583">
      <w:bodyDiv w:val="1"/>
      <w:marLeft w:val="0"/>
      <w:marRight w:val="0"/>
      <w:marTop w:val="0"/>
      <w:marBottom w:val="0"/>
      <w:divBdr>
        <w:top w:val="none" w:sz="0" w:space="0" w:color="auto"/>
        <w:left w:val="none" w:sz="0" w:space="0" w:color="auto"/>
        <w:bottom w:val="none" w:sz="0" w:space="0" w:color="auto"/>
        <w:right w:val="none" w:sz="0" w:space="0" w:color="auto"/>
      </w:divBdr>
    </w:div>
    <w:div w:id="1895123141">
      <w:bodyDiv w:val="1"/>
      <w:marLeft w:val="0"/>
      <w:marRight w:val="0"/>
      <w:marTop w:val="0"/>
      <w:marBottom w:val="0"/>
      <w:divBdr>
        <w:top w:val="none" w:sz="0" w:space="0" w:color="auto"/>
        <w:left w:val="none" w:sz="0" w:space="0" w:color="auto"/>
        <w:bottom w:val="none" w:sz="0" w:space="0" w:color="auto"/>
        <w:right w:val="none" w:sz="0" w:space="0" w:color="auto"/>
      </w:divBdr>
    </w:div>
    <w:div w:id="1899241028">
      <w:bodyDiv w:val="1"/>
      <w:marLeft w:val="0"/>
      <w:marRight w:val="0"/>
      <w:marTop w:val="0"/>
      <w:marBottom w:val="0"/>
      <w:divBdr>
        <w:top w:val="none" w:sz="0" w:space="0" w:color="auto"/>
        <w:left w:val="none" w:sz="0" w:space="0" w:color="auto"/>
        <w:bottom w:val="none" w:sz="0" w:space="0" w:color="auto"/>
        <w:right w:val="none" w:sz="0" w:space="0" w:color="auto"/>
      </w:divBdr>
    </w:div>
    <w:div w:id="1900554542">
      <w:bodyDiv w:val="1"/>
      <w:marLeft w:val="0"/>
      <w:marRight w:val="0"/>
      <w:marTop w:val="0"/>
      <w:marBottom w:val="0"/>
      <w:divBdr>
        <w:top w:val="none" w:sz="0" w:space="0" w:color="auto"/>
        <w:left w:val="none" w:sz="0" w:space="0" w:color="auto"/>
        <w:bottom w:val="none" w:sz="0" w:space="0" w:color="auto"/>
        <w:right w:val="none" w:sz="0" w:space="0" w:color="auto"/>
      </w:divBdr>
    </w:div>
    <w:div w:id="1901091550">
      <w:bodyDiv w:val="1"/>
      <w:marLeft w:val="0"/>
      <w:marRight w:val="0"/>
      <w:marTop w:val="0"/>
      <w:marBottom w:val="0"/>
      <w:divBdr>
        <w:top w:val="none" w:sz="0" w:space="0" w:color="auto"/>
        <w:left w:val="none" w:sz="0" w:space="0" w:color="auto"/>
        <w:bottom w:val="none" w:sz="0" w:space="0" w:color="auto"/>
        <w:right w:val="none" w:sz="0" w:space="0" w:color="auto"/>
      </w:divBdr>
    </w:div>
    <w:div w:id="1901669034">
      <w:bodyDiv w:val="1"/>
      <w:marLeft w:val="0"/>
      <w:marRight w:val="0"/>
      <w:marTop w:val="0"/>
      <w:marBottom w:val="0"/>
      <w:divBdr>
        <w:top w:val="none" w:sz="0" w:space="0" w:color="auto"/>
        <w:left w:val="none" w:sz="0" w:space="0" w:color="auto"/>
        <w:bottom w:val="none" w:sz="0" w:space="0" w:color="auto"/>
        <w:right w:val="none" w:sz="0" w:space="0" w:color="auto"/>
      </w:divBdr>
    </w:div>
    <w:div w:id="1907302380">
      <w:bodyDiv w:val="1"/>
      <w:marLeft w:val="0"/>
      <w:marRight w:val="0"/>
      <w:marTop w:val="0"/>
      <w:marBottom w:val="0"/>
      <w:divBdr>
        <w:top w:val="none" w:sz="0" w:space="0" w:color="auto"/>
        <w:left w:val="none" w:sz="0" w:space="0" w:color="auto"/>
        <w:bottom w:val="none" w:sz="0" w:space="0" w:color="auto"/>
        <w:right w:val="none" w:sz="0" w:space="0" w:color="auto"/>
      </w:divBdr>
    </w:div>
    <w:div w:id="1907370800">
      <w:bodyDiv w:val="1"/>
      <w:marLeft w:val="0"/>
      <w:marRight w:val="0"/>
      <w:marTop w:val="0"/>
      <w:marBottom w:val="0"/>
      <w:divBdr>
        <w:top w:val="none" w:sz="0" w:space="0" w:color="auto"/>
        <w:left w:val="none" w:sz="0" w:space="0" w:color="auto"/>
        <w:bottom w:val="none" w:sz="0" w:space="0" w:color="auto"/>
        <w:right w:val="none" w:sz="0" w:space="0" w:color="auto"/>
      </w:divBdr>
    </w:div>
    <w:div w:id="1909025585">
      <w:bodyDiv w:val="1"/>
      <w:marLeft w:val="0"/>
      <w:marRight w:val="0"/>
      <w:marTop w:val="0"/>
      <w:marBottom w:val="0"/>
      <w:divBdr>
        <w:top w:val="none" w:sz="0" w:space="0" w:color="auto"/>
        <w:left w:val="none" w:sz="0" w:space="0" w:color="auto"/>
        <w:bottom w:val="none" w:sz="0" w:space="0" w:color="auto"/>
        <w:right w:val="none" w:sz="0" w:space="0" w:color="auto"/>
      </w:divBdr>
    </w:div>
    <w:div w:id="1912957262">
      <w:bodyDiv w:val="1"/>
      <w:marLeft w:val="0"/>
      <w:marRight w:val="0"/>
      <w:marTop w:val="0"/>
      <w:marBottom w:val="0"/>
      <w:divBdr>
        <w:top w:val="none" w:sz="0" w:space="0" w:color="auto"/>
        <w:left w:val="none" w:sz="0" w:space="0" w:color="auto"/>
        <w:bottom w:val="none" w:sz="0" w:space="0" w:color="auto"/>
        <w:right w:val="none" w:sz="0" w:space="0" w:color="auto"/>
      </w:divBdr>
    </w:div>
    <w:div w:id="1914463600">
      <w:bodyDiv w:val="1"/>
      <w:marLeft w:val="0"/>
      <w:marRight w:val="0"/>
      <w:marTop w:val="0"/>
      <w:marBottom w:val="0"/>
      <w:divBdr>
        <w:top w:val="none" w:sz="0" w:space="0" w:color="auto"/>
        <w:left w:val="none" w:sz="0" w:space="0" w:color="auto"/>
        <w:bottom w:val="none" w:sz="0" w:space="0" w:color="auto"/>
        <w:right w:val="none" w:sz="0" w:space="0" w:color="auto"/>
      </w:divBdr>
    </w:div>
    <w:div w:id="1921791618">
      <w:bodyDiv w:val="1"/>
      <w:marLeft w:val="0"/>
      <w:marRight w:val="0"/>
      <w:marTop w:val="0"/>
      <w:marBottom w:val="0"/>
      <w:divBdr>
        <w:top w:val="none" w:sz="0" w:space="0" w:color="auto"/>
        <w:left w:val="none" w:sz="0" w:space="0" w:color="auto"/>
        <w:bottom w:val="none" w:sz="0" w:space="0" w:color="auto"/>
        <w:right w:val="none" w:sz="0" w:space="0" w:color="auto"/>
      </w:divBdr>
    </w:div>
    <w:div w:id="1933078513">
      <w:bodyDiv w:val="1"/>
      <w:marLeft w:val="0"/>
      <w:marRight w:val="0"/>
      <w:marTop w:val="0"/>
      <w:marBottom w:val="0"/>
      <w:divBdr>
        <w:top w:val="none" w:sz="0" w:space="0" w:color="auto"/>
        <w:left w:val="none" w:sz="0" w:space="0" w:color="auto"/>
        <w:bottom w:val="none" w:sz="0" w:space="0" w:color="auto"/>
        <w:right w:val="none" w:sz="0" w:space="0" w:color="auto"/>
      </w:divBdr>
    </w:div>
    <w:div w:id="1935433524">
      <w:bodyDiv w:val="1"/>
      <w:marLeft w:val="0"/>
      <w:marRight w:val="0"/>
      <w:marTop w:val="0"/>
      <w:marBottom w:val="0"/>
      <w:divBdr>
        <w:top w:val="none" w:sz="0" w:space="0" w:color="auto"/>
        <w:left w:val="none" w:sz="0" w:space="0" w:color="auto"/>
        <w:bottom w:val="none" w:sz="0" w:space="0" w:color="auto"/>
        <w:right w:val="none" w:sz="0" w:space="0" w:color="auto"/>
      </w:divBdr>
    </w:div>
    <w:div w:id="1952318684">
      <w:bodyDiv w:val="1"/>
      <w:marLeft w:val="0"/>
      <w:marRight w:val="0"/>
      <w:marTop w:val="0"/>
      <w:marBottom w:val="0"/>
      <w:divBdr>
        <w:top w:val="none" w:sz="0" w:space="0" w:color="auto"/>
        <w:left w:val="none" w:sz="0" w:space="0" w:color="auto"/>
        <w:bottom w:val="none" w:sz="0" w:space="0" w:color="auto"/>
        <w:right w:val="none" w:sz="0" w:space="0" w:color="auto"/>
      </w:divBdr>
    </w:div>
    <w:div w:id="1953854962">
      <w:bodyDiv w:val="1"/>
      <w:marLeft w:val="0"/>
      <w:marRight w:val="0"/>
      <w:marTop w:val="0"/>
      <w:marBottom w:val="0"/>
      <w:divBdr>
        <w:top w:val="none" w:sz="0" w:space="0" w:color="auto"/>
        <w:left w:val="none" w:sz="0" w:space="0" w:color="auto"/>
        <w:bottom w:val="none" w:sz="0" w:space="0" w:color="auto"/>
        <w:right w:val="none" w:sz="0" w:space="0" w:color="auto"/>
      </w:divBdr>
    </w:div>
    <w:div w:id="1959484220">
      <w:bodyDiv w:val="1"/>
      <w:marLeft w:val="0"/>
      <w:marRight w:val="0"/>
      <w:marTop w:val="0"/>
      <w:marBottom w:val="0"/>
      <w:divBdr>
        <w:top w:val="none" w:sz="0" w:space="0" w:color="auto"/>
        <w:left w:val="none" w:sz="0" w:space="0" w:color="auto"/>
        <w:bottom w:val="none" w:sz="0" w:space="0" w:color="auto"/>
        <w:right w:val="none" w:sz="0" w:space="0" w:color="auto"/>
      </w:divBdr>
    </w:div>
    <w:div w:id="1963729097">
      <w:bodyDiv w:val="1"/>
      <w:marLeft w:val="0"/>
      <w:marRight w:val="0"/>
      <w:marTop w:val="0"/>
      <w:marBottom w:val="0"/>
      <w:divBdr>
        <w:top w:val="none" w:sz="0" w:space="0" w:color="auto"/>
        <w:left w:val="none" w:sz="0" w:space="0" w:color="auto"/>
        <w:bottom w:val="none" w:sz="0" w:space="0" w:color="auto"/>
        <w:right w:val="none" w:sz="0" w:space="0" w:color="auto"/>
      </w:divBdr>
    </w:div>
    <w:div w:id="1965504281">
      <w:bodyDiv w:val="1"/>
      <w:marLeft w:val="0"/>
      <w:marRight w:val="0"/>
      <w:marTop w:val="0"/>
      <w:marBottom w:val="0"/>
      <w:divBdr>
        <w:top w:val="none" w:sz="0" w:space="0" w:color="auto"/>
        <w:left w:val="none" w:sz="0" w:space="0" w:color="auto"/>
        <w:bottom w:val="none" w:sz="0" w:space="0" w:color="auto"/>
        <w:right w:val="none" w:sz="0" w:space="0" w:color="auto"/>
      </w:divBdr>
    </w:div>
    <w:div w:id="1967736916">
      <w:bodyDiv w:val="1"/>
      <w:marLeft w:val="0"/>
      <w:marRight w:val="0"/>
      <w:marTop w:val="0"/>
      <w:marBottom w:val="0"/>
      <w:divBdr>
        <w:top w:val="none" w:sz="0" w:space="0" w:color="auto"/>
        <w:left w:val="none" w:sz="0" w:space="0" w:color="auto"/>
        <w:bottom w:val="none" w:sz="0" w:space="0" w:color="auto"/>
        <w:right w:val="none" w:sz="0" w:space="0" w:color="auto"/>
      </w:divBdr>
    </w:div>
    <w:div w:id="1969427995">
      <w:bodyDiv w:val="1"/>
      <w:marLeft w:val="0"/>
      <w:marRight w:val="0"/>
      <w:marTop w:val="0"/>
      <w:marBottom w:val="0"/>
      <w:divBdr>
        <w:top w:val="none" w:sz="0" w:space="0" w:color="auto"/>
        <w:left w:val="none" w:sz="0" w:space="0" w:color="auto"/>
        <w:bottom w:val="none" w:sz="0" w:space="0" w:color="auto"/>
        <w:right w:val="none" w:sz="0" w:space="0" w:color="auto"/>
      </w:divBdr>
    </w:div>
    <w:div w:id="1976793365">
      <w:bodyDiv w:val="1"/>
      <w:marLeft w:val="0"/>
      <w:marRight w:val="0"/>
      <w:marTop w:val="0"/>
      <w:marBottom w:val="0"/>
      <w:divBdr>
        <w:top w:val="none" w:sz="0" w:space="0" w:color="auto"/>
        <w:left w:val="none" w:sz="0" w:space="0" w:color="auto"/>
        <w:bottom w:val="none" w:sz="0" w:space="0" w:color="auto"/>
        <w:right w:val="none" w:sz="0" w:space="0" w:color="auto"/>
      </w:divBdr>
    </w:div>
    <w:div w:id="1980724131">
      <w:bodyDiv w:val="1"/>
      <w:marLeft w:val="0"/>
      <w:marRight w:val="0"/>
      <w:marTop w:val="0"/>
      <w:marBottom w:val="0"/>
      <w:divBdr>
        <w:top w:val="none" w:sz="0" w:space="0" w:color="auto"/>
        <w:left w:val="none" w:sz="0" w:space="0" w:color="auto"/>
        <w:bottom w:val="none" w:sz="0" w:space="0" w:color="auto"/>
        <w:right w:val="none" w:sz="0" w:space="0" w:color="auto"/>
      </w:divBdr>
    </w:div>
    <w:div w:id="1981575080">
      <w:bodyDiv w:val="1"/>
      <w:marLeft w:val="0"/>
      <w:marRight w:val="0"/>
      <w:marTop w:val="0"/>
      <w:marBottom w:val="0"/>
      <w:divBdr>
        <w:top w:val="none" w:sz="0" w:space="0" w:color="auto"/>
        <w:left w:val="none" w:sz="0" w:space="0" w:color="auto"/>
        <w:bottom w:val="none" w:sz="0" w:space="0" w:color="auto"/>
        <w:right w:val="none" w:sz="0" w:space="0" w:color="auto"/>
      </w:divBdr>
    </w:div>
    <w:div w:id="1996181582">
      <w:bodyDiv w:val="1"/>
      <w:marLeft w:val="0"/>
      <w:marRight w:val="0"/>
      <w:marTop w:val="0"/>
      <w:marBottom w:val="0"/>
      <w:divBdr>
        <w:top w:val="none" w:sz="0" w:space="0" w:color="auto"/>
        <w:left w:val="none" w:sz="0" w:space="0" w:color="auto"/>
        <w:bottom w:val="none" w:sz="0" w:space="0" w:color="auto"/>
        <w:right w:val="none" w:sz="0" w:space="0" w:color="auto"/>
      </w:divBdr>
    </w:div>
    <w:div w:id="1997417173">
      <w:bodyDiv w:val="1"/>
      <w:marLeft w:val="0"/>
      <w:marRight w:val="0"/>
      <w:marTop w:val="0"/>
      <w:marBottom w:val="0"/>
      <w:divBdr>
        <w:top w:val="none" w:sz="0" w:space="0" w:color="auto"/>
        <w:left w:val="none" w:sz="0" w:space="0" w:color="auto"/>
        <w:bottom w:val="none" w:sz="0" w:space="0" w:color="auto"/>
        <w:right w:val="none" w:sz="0" w:space="0" w:color="auto"/>
      </w:divBdr>
    </w:div>
    <w:div w:id="2000310476">
      <w:bodyDiv w:val="1"/>
      <w:marLeft w:val="0"/>
      <w:marRight w:val="0"/>
      <w:marTop w:val="0"/>
      <w:marBottom w:val="0"/>
      <w:divBdr>
        <w:top w:val="none" w:sz="0" w:space="0" w:color="auto"/>
        <w:left w:val="none" w:sz="0" w:space="0" w:color="auto"/>
        <w:bottom w:val="none" w:sz="0" w:space="0" w:color="auto"/>
        <w:right w:val="none" w:sz="0" w:space="0" w:color="auto"/>
      </w:divBdr>
    </w:div>
    <w:div w:id="2002078932">
      <w:bodyDiv w:val="1"/>
      <w:marLeft w:val="0"/>
      <w:marRight w:val="0"/>
      <w:marTop w:val="0"/>
      <w:marBottom w:val="0"/>
      <w:divBdr>
        <w:top w:val="none" w:sz="0" w:space="0" w:color="auto"/>
        <w:left w:val="none" w:sz="0" w:space="0" w:color="auto"/>
        <w:bottom w:val="none" w:sz="0" w:space="0" w:color="auto"/>
        <w:right w:val="none" w:sz="0" w:space="0" w:color="auto"/>
      </w:divBdr>
    </w:div>
    <w:div w:id="2003853306">
      <w:bodyDiv w:val="1"/>
      <w:marLeft w:val="0"/>
      <w:marRight w:val="0"/>
      <w:marTop w:val="0"/>
      <w:marBottom w:val="0"/>
      <w:divBdr>
        <w:top w:val="none" w:sz="0" w:space="0" w:color="auto"/>
        <w:left w:val="none" w:sz="0" w:space="0" w:color="auto"/>
        <w:bottom w:val="none" w:sz="0" w:space="0" w:color="auto"/>
        <w:right w:val="none" w:sz="0" w:space="0" w:color="auto"/>
      </w:divBdr>
    </w:div>
    <w:div w:id="2007437259">
      <w:bodyDiv w:val="1"/>
      <w:marLeft w:val="0"/>
      <w:marRight w:val="0"/>
      <w:marTop w:val="0"/>
      <w:marBottom w:val="0"/>
      <w:divBdr>
        <w:top w:val="none" w:sz="0" w:space="0" w:color="auto"/>
        <w:left w:val="none" w:sz="0" w:space="0" w:color="auto"/>
        <w:bottom w:val="none" w:sz="0" w:space="0" w:color="auto"/>
        <w:right w:val="none" w:sz="0" w:space="0" w:color="auto"/>
      </w:divBdr>
    </w:div>
    <w:div w:id="2007590569">
      <w:bodyDiv w:val="1"/>
      <w:marLeft w:val="0"/>
      <w:marRight w:val="0"/>
      <w:marTop w:val="0"/>
      <w:marBottom w:val="0"/>
      <w:divBdr>
        <w:top w:val="none" w:sz="0" w:space="0" w:color="auto"/>
        <w:left w:val="none" w:sz="0" w:space="0" w:color="auto"/>
        <w:bottom w:val="none" w:sz="0" w:space="0" w:color="auto"/>
        <w:right w:val="none" w:sz="0" w:space="0" w:color="auto"/>
      </w:divBdr>
    </w:div>
    <w:div w:id="2008944650">
      <w:bodyDiv w:val="1"/>
      <w:marLeft w:val="0"/>
      <w:marRight w:val="0"/>
      <w:marTop w:val="0"/>
      <w:marBottom w:val="0"/>
      <w:divBdr>
        <w:top w:val="none" w:sz="0" w:space="0" w:color="auto"/>
        <w:left w:val="none" w:sz="0" w:space="0" w:color="auto"/>
        <w:bottom w:val="none" w:sz="0" w:space="0" w:color="auto"/>
        <w:right w:val="none" w:sz="0" w:space="0" w:color="auto"/>
      </w:divBdr>
    </w:div>
    <w:div w:id="2012633069">
      <w:bodyDiv w:val="1"/>
      <w:marLeft w:val="0"/>
      <w:marRight w:val="0"/>
      <w:marTop w:val="0"/>
      <w:marBottom w:val="0"/>
      <w:divBdr>
        <w:top w:val="none" w:sz="0" w:space="0" w:color="auto"/>
        <w:left w:val="none" w:sz="0" w:space="0" w:color="auto"/>
        <w:bottom w:val="none" w:sz="0" w:space="0" w:color="auto"/>
        <w:right w:val="none" w:sz="0" w:space="0" w:color="auto"/>
      </w:divBdr>
    </w:div>
    <w:div w:id="2018000318">
      <w:bodyDiv w:val="1"/>
      <w:marLeft w:val="0"/>
      <w:marRight w:val="0"/>
      <w:marTop w:val="0"/>
      <w:marBottom w:val="0"/>
      <w:divBdr>
        <w:top w:val="none" w:sz="0" w:space="0" w:color="auto"/>
        <w:left w:val="none" w:sz="0" w:space="0" w:color="auto"/>
        <w:bottom w:val="none" w:sz="0" w:space="0" w:color="auto"/>
        <w:right w:val="none" w:sz="0" w:space="0" w:color="auto"/>
      </w:divBdr>
    </w:div>
    <w:div w:id="2032029017">
      <w:bodyDiv w:val="1"/>
      <w:marLeft w:val="0"/>
      <w:marRight w:val="0"/>
      <w:marTop w:val="0"/>
      <w:marBottom w:val="0"/>
      <w:divBdr>
        <w:top w:val="none" w:sz="0" w:space="0" w:color="auto"/>
        <w:left w:val="none" w:sz="0" w:space="0" w:color="auto"/>
        <w:bottom w:val="none" w:sz="0" w:space="0" w:color="auto"/>
        <w:right w:val="none" w:sz="0" w:space="0" w:color="auto"/>
      </w:divBdr>
    </w:div>
    <w:div w:id="2035423685">
      <w:bodyDiv w:val="1"/>
      <w:marLeft w:val="0"/>
      <w:marRight w:val="0"/>
      <w:marTop w:val="0"/>
      <w:marBottom w:val="0"/>
      <w:divBdr>
        <w:top w:val="none" w:sz="0" w:space="0" w:color="auto"/>
        <w:left w:val="none" w:sz="0" w:space="0" w:color="auto"/>
        <w:bottom w:val="none" w:sz="0" w:space="0" w:color="auto"/>
        <w:right w:val="none" w:sz="0" w:space="0" w:color="auto"/>
      </w:divBdr>
    </w:div>
    <w:div w:id="2035811914">
      <w:bodyDiv w:val="1"/>
      <w:marLeft w:val="0"/>
      <w:marRight w:val="0"/>
      <w:marTop w:val="0"/>
      <w:marBottom w:val="0"/>
      <w:divBdr>
        <w:top w:val="none" w:sz="0" w:space="0" w:color="auto"/>
        <w:left w:val="none" w:sz="0" w:space="0" w:color="auto"/>
        <w:bottom w:val="none" w:sz="0" w:space="0" w:color="auto"/>
        <w:right w:val="none" w:sz="0" w:space="0" w:color="auto"/>
      </w:divBdr>
    </w:div>
    <w:div w:id="2036421295">
      <w:bodyDiv w:val="1"/>
      <w:marLeft w:val="0"/>
      <w:marRight w:val="0"/>
      <w:marTop w:val="0"/>
      <w:marBottom w:val="0"/>
      <w:divBdr>
        <w:top w:val="none" w:sz="0" w:space="0" w:color="auto"/>
        <w:left w:val="none" w:sz="0" w:space="0" w:color="auto"/>
        <w:bottom w:val="none" w:sz="0" w:space="0" w:color="auto"/>
        <w:right w:val="none" w:sz="0" w:space="0" w:color="auto"/>
      </w:divBdr>
    </w:div>
    <w:div w:id="2040816255">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45866652">
      <w:bodyDiv w:val="1"/>
      <w:marLeft w:val="0"/>
      <w:marRight w:val="0"/>
      <w:marTop w:val="0"/>
      <w:marBottom w:val="0"/>
      <w:divBdr>
        <w:top w:val="none" w:sz="0" w:space="0" w:color="auto"/>
        <w:left w:val="none" w:sz="0" w:space="0" w:color="auto"/>
        <w:bottom w:val="none" w:sz="0" w:space="0" w:color="auto"/>
        <w:right w:val="none" w:sz="0" w:space="0" w:color="auto"/>
      </w:divBdr>
    </w:div>
    <w:div w:id="2053650235">
      <w:bodyDiv w:val="1"/>
      <w:marLeft w:val="0"/>
      <w:marRight w:val="0"/>
      <w:marTop w:val="0"/>
      <w:marBottom w:val="0"/>
      <w:divBdr>
        <w:top w:val="none" w:sz="0" w:space="0" w:color="auto"/>
        <w:left w:val="none" w:sz="0" w:space="0" w:color="auto"/>
        <w:bottom w:val="none" w:sz="0" w:space="0" w:color="auto"/>
        <w:right w:val="none" w:sz="0" w:space="0" w:color="auto"/>
      </w:divBdr>
    </w:div>
    <w:div w:id="2058894300">
      <w:bodyDiv w:val="1"/>
      <w:marLeft w:val="0"/>
      <w:marRight w:val="0"/>
      <w:marTop w:val="0"/>
      <w:marBottom w:val="0"/>
      <w:divBdr>
        <w:top w:val="none" w:sz="0" w:space="0" w:color="auto"/>
        <w:left w:val="none" w:sz="0" w:space="0" w:color="auto"/>
        <w:bottom w:val="none" w:sz="0" w:space="0" w:color="auto"/>
        <w:right w:val="none" w:sz="0" w:space="0" w:color="auto"/>
      </w:divBdr>
    </w:div>
    <w:div w:id="2061711627">
      <w:bodyDiv w:val="1"/>
      <w:marLeft w:val="0"/>
      <w:marRight w:val="0"/>
      <w:marTop w:val="0"/>
      <w:marBottom w:val="0"/>
      <w:divBdr>
        <w:top w:val="none" w:sz="0" w:space="0" w:color="auto"/>
        <w:left w:val="none" w:sz="0" w:space="0" w:color="auto"/>
        <w:bottom w:val="none" w:sz="0" w:space="0" w:color="auto"/>
        <w:right w:val="none" w:sz="0" w:space="0" w:color="auto"/>
      </w:divBdr>
    </w:div>
    <w:div w:id="2064060441">
      <w:bodyDiv w:val="1"/>
      <w:marLeft w:val="0"/>
      <w:marRight w:val="0"/>
      <w:marTop w:val="0"/>
      <w:marBottom w:val="0"/>
      <w:divBdr>
        <w:top w:val="none" w:sz="0" w:space="0" w:color="auto"/>
        <w:left w:val="none" w:sz="0" w:space="0" w:color="auto"/>
        <w:bottom w:val="none" w:sz="0" w:space="0" w:color="auto"/>
        <w:right w:val="none" w:sz="0" w:space="0" w:color="auto"/>
      </w:divBdr>
    </w:div>
    <w:div w:id="2070103777">
      <w:bodyDiv w:val="1"/>
      <w:marLeft w:val="0"/>
      <w:marRight w:val="0"/>
      <w:marTop w:val="0"/>
      <w:marBottom w:val="0"/>
      <w:divBdr>
        <w:top w:val="none" w:sz="0" w:space="0" w:color="auto"/>
        <w:left w:val="none" w:sz="0" w:space="0" w:color="auto"/>
        <w:bottom w:val="none" w:sz="0" w:space="0" w:color="auto"/>
        <w:right w:val="none" w:sz="0" w:space="0" w:color="auto"/>
      </w:divBdr>
    </w:div>
    <w:div w:id="2076198675">
      <w:bodyDiv w:val="1"/>
      <w:marLeft w:val="0"/>
      <w:marRight w:val="0"/>
      <w:marTop w:val="0"/>
      <w:marBottom w:val="0"/>
      <w:divBdr>
        <w:top w:val="none" w:sz="0" w:space="0" w:color="auto"/>
        <w:left w:val="none" w:sz="0" w:space="0" w:color="auto"/>
        <w:bottom w:val="none" w:sz="0" w:space="0" w:color="auto"/>
        <w:right w:val="none" w:sz="0" w:space="0" w:color="auto"/>
      </w:divBdr>
    </w:div>
    <w:div w:id="2080784505">
      <w:bodyDiv w:val="1"/>
      <w:marLeft w:val="0"/>
      <w:marRight w:val="0"/>
      <w:marTop w:val="0"/>
      <w:marBottom w:val="0"/>
      <w:divBdr>
        <w:top w:val="none" w:sz="0" w:space="0" w:color="auto"/>
        <w:left w:val="none" w:sz="0" w:space="0" w:color="auto"/>
        <w:bottom w:val="none" w:sz="0" w:space="0" w:color="auto"/>
        <w:right w:val="none" w:sz="0" w:space="0" w:color="auto"/>
      </w:divBdr>
    </w:div>
    <w:div w:id="2081974117">
      <w:bodyDiv w:val="1"/>
      <w:marLeft w:val="0"/>
      <w:marRight w:val="0"/>
      <w:marTop w:val="0"/>
      <w:marBottom w:val="0"/>
      <w:divBdr>
        <w:top w:val="none" w:sz="0" w:space="0" w:color="auto"/>
        <w:left w:val="none" w:sz="0" w:space="0" w:color="auto"/>
        <w:bottom w:val="none" w:sz="0" w:space="0" w:color="auto"/>
        <w:right w:val="none" w:sz="0" w:space="0" w:color="auto"/>
      </w:divBdr>
    </w:div>
    <w:div w:id="2084066648">
      <w:bodyDiv w:val="1"/>
      <w:marLeft w:val="0"/>
      <w:marRight w:val="0"/>
      <w:marTop w:val="0"/>
      <w:marBottom w:val="0"/>
      <w:divBdr>
        <w:top w:val="none" w:sz="0" w:space="0" w:color="auto"/>
        <w:left w:val="none" w:sz="0" w:space="0" w:color="auto"/>
        <w:bottom w:val="none" w:sz="0" w:space="0" w:color="auto"/>
        <w:right w:val="none" w:sz="0" w:space="0" w:color="auto"/>
      </w:divBdr>
    </w:div>
    <w:div w:id="2087266700">
      <w:bodyDiv w:val="1"/>
      <w:marLeft w:val="0"/>
      <w:marRight w:val="0"/>
      <w:marTop w:val="0"/>
      <w:marBottom w:val="0"/>
      <w:divBdr>
        <w:top w:val="none" w:sz="0" w:space="0" w:color="auto"/>
        <w:left w:val="none" w:sz="0" w:space="0" w:color="auto"/>
        <w:bottom w:val="none" w:sz="0" w:space="0" w:color="auto"/>
        <w:right w:val="none" w:sz="0" w:space="0" w:color="auto"/>
      </w:divBdr>
    </w:div>
    <w:div w:id="2092505995">
      <w:bodyDiv w:val="1"/>
      <w:marLeft w:val="0"/>
      <w:marRight w:val="0"/>
      <w:marTop w:val="0"/>
      <w:marBottom w:val="0"/>
      <w:divBdr>
        <w:top w:val="none" w:sz="0" w:space="0" w:color="auto"/>
        <w:left w:val="none" w:sz="0" w:space="0" w:color="auto"/>
        <w:bottom w:val="none" w:sz="0" w:space="0" w:color="auto"/>
        <w:right w:val="none" w:sz="0" w:space="0" w:color="auto"/>
      </w:divBdr>
    </w:div>
    <w:div w:id="2094475565">
      <w:bodyDiv w:val="1"/>
      <w:marLeft w:val="0"/>
      <w:marRight w:val="0"/>
      <w:marTop w:val="0"/>
      <w:marBottom w:val="0"/>
      <w:divBdr>
        <w:top w:val="none" w:sz="0" w:space="0" w:color="auto"/>
        <w:left w:val="none" w:sz="0" w:space="0" w:color="auto"/>
        <w:bottom w:val="none" w:sz="0" w:space="0" w:color="auto"/>
        <w:right w:val="none" w:sz="0" w:space="0" w:color="auto"/>
      </w:divBdr>
    </w:div>
    <w:div w:id="2094667869">
      <w:bodyDiv w:val="1"/>
      <w:marLeft w:val="0"/>
      <w:marRight w:val="0"/>
      <w:marTop w:val="0"/>
      <w:marBottom w:val="0"/>
      <w:divBdr>
        <w:top w:val="none" w:sz="0" w:space="0" w:color="auto"/>
        <w:left w:val="none" w:sz="0" w:space="0" w:color="auto"/>
        <w:bottom w:val="none" w:sz="0" w:space="0" w:color="auto"/>
        <w:right w:val="none" w:sz="0" w:space="0" w:color="auto"/>
      </w:divBdr>
    </w:div>
    <w:div w:id="2095545088">
      <w:bodyDiv w:val="1"/>
      <w:marLeft w:val="0"/>
      <w:marRight w:val="0"/>
      <w:marTop w:val="0"/>
      <w:marBottom w:val="0"/>
      <w:divBdr>
        <w:top w:val="none" w:sz="0" w:space="0" w:color="auto"/>
        <w:left w:val="none" w:sz="0" w:space="0" w:color="auto"/>
        <w:bottom w:val="none" w:sz="0" w:space="0" w:color="auto"/>
        <w:right w:val="none" w:sz="0" w:space="0" w:color="auto"/>
      </w:divBdr>
    </w:div>
    <w:div w:id="2100367667">
      <w:bodyDiv w:val="1"/>
      <w:marLeft w:val="0"/>
      <w:marRight w:val="0"/>
      <w:marTop w:val="0"/>
      <w:marBottom w:val="0"/>
      <w:divBdr>
        <w:top w:val="none" w:sz="0" w:space="0" w:color="auto"/>
        <w:left w:val="none" w:sz="0" w:space="0" w:color="auto"/>
        <w:bottom w:val="none" w:sz="0" w:space="0" w:color="auto"/>
        <w:right w:val="none" w:sz="0" w:space="0" w:color="auto"/>
      </w:divBdr>
    </w:div>
    <w:div w:id="2105298892">
      <w:bodyDiv w:val="1"/>
      <w:marLeft w:val="0"/>
      <w:marRight w:val="0"/>
      <w:marTop w:val="0"/>
      <w:marBottom w:val="0"/>
      <w:divBdr>
        <w:top w:val="none" w:sz="0" w:space="0" w:color="auto"/>
        <w:left w:val="none" w:sz="0" w:space="0" w:color="auto"/>
        <w:bottom w:val="none" w:sz="0" w:space="0" w:color="auto"/>
        <w:right w:val="none" w:sz="0" w:space="0" w:color="auto"/>
      </w:divBdr>
    </w:div>
    <w:div w:id="2106414883">
      <w:bodyDiv w:val="1"/>
      <w:marLeft w:val="0"/>
      <w:marRight w:val="0"/>
      <w:marTop w:val="0"/>
      <w:marBottom w:val="0"/>
      <w:divBdr>
        <w:top w:val="none" w:sz="0" w:space="0" w:color="auto"/>
        <w:left w:val="none" w:sz="0" w:space="0" w:color="auto"/>
        <w:bottom w:val="none" w:sz="0" w:space="0" w:color="auto"/>
        <w:right w:val="none" w:sz="0" w:space="0" w:color="auto"/>
      </w:divBdr>
    </w:div>
    <w:div w:id="2107192803">
      <w:bodyDiv w:val="1"/>
      <w:marLeft w:val="0"/>
      <w:marRight w:val="0"/>
      <w:marTop w:val="0"/>
      <w:marBottom w:val="0"/>
      <w:divBdr>
        <w:top w:val="none" w:sz="0" w:space="0" w:color="auto"/>
        <w:left w:val="none" w:sz="0" w:space="0" w:color="auto"/>
        <w:bottom w:val="none" w:sz="0" w:space="0" w:color="auto"/>
        <w:right w:val="none" w:sz="0" w:space="0" w:color="auto"/>
      </w:divBdr>
    </w:div>
    <w:div w:id="2107454699">
      <w:bodyDiv w:val="1"/>
      <w:marLeft w:val="0"/>
      <w:marRight w:val="0"/>
      <w:marTop w:val="0"/>
      <w:marBottom w:val="0"/>
      <w:divBdr>
        <w:top w:val="none" w:sz="0" w:space="0" w:color="auto"/>
        <w:left w:val="none" w:sz="0" w:space="0" w:color="auto"/>
        <w:bottom w:val="none" w:sz="0" w:space="0" w:color="auto"/>
        <w:right w:val="none" w:sz="0" w:space="0" w:color="auto"/>
      </w:divBdr>
    </w:div>
    <w:div w:id="2110618398">
      <w:bodyDiv w:val="1"/>
      <w:marLeft w:val="0"/>
      <w:marRight w:val="0"/>
      <w:marTop w:val="0"/>
      <w:marBottom w:val="0"/>
      <w:divBdr>
        <w:top w:val="none" w:sz="0" w:space="0" w:color="auto"/>
        <w:left w:val="none" w:sz="0" w:space="0" w:color="auto"/>
        <w:bottom w:val="none" w:sz="0" w:space="0" w:color="auto"/>
        <w:right w:val="none" w:sz="0" w:space="0" w:color="auto"/>
      </w:divBdr>
    </w:div>
    <w:div w:id="2114934305">
      <w:bodyDiv w:val="1"/>
      <w:marLeft w:val="0"/>
      <w:marRight w:val="0"/>
      <w:marTop w:val="0"/>
      <w:marBottom w:val="0"/>
      <w:divBdr>
        <w:top w:val="none" w:sz="0" w:space="0" w:color="auto"/>
        <w:left w:val="none" w:sz="0" w:space="0" w:color="auto"/>
        <w:bottom w:val="none" w:sz="0" w:space="0" w:color="auto"/>
        <w:right w:val="none" w:sz="0" w:space="0" w:color="auto"/>
      </w:divBdr>
    </w:div>
    <w:div w:id="2116510534">
      <w:bodyDiv w:val="1"/>
      <w:marLeft w:val="0"/>
      <w:marRight w:val="0"/>
      <w:marTop w:val="0"/>
      <w:marBottom w:val="0"/>
      <w:divBdr>
        <w:top w:val="none" w:sz="0" w:space="0" w:color="auto"/>
        <w:left w:val="none" w:sz="0" w:space="0" w:color="auto"/>
        <w:bottom w:val="none" w:sz="0" w:space="0" w:color="auto"/>
        <w:right w:val="none" w:sz="0" w:space="0" w:color="auto"/>
      </w:divBdr>
    </w:div>
    <w:div w:id="2128041232">
      <w:bodyDiv w:val="1"/>
      <w:marLeft w:val="0"/>
      <w:marRight w:val="0"/>
      <w:marTop w:val="0"/>
      <w:marBottom w:val="0"/>
      <w:divBdr>
        <w:top w:val="none" w:sz="0" w:space="0" w:color="auto"/>
        <w:left w:val="none" w:sz="0" w:space="0" w:color="auto"/>
        <w:bottom w:val="none" w:sz="0" w:space="0" w:color="auto"/>
        <w:right w:val="none" w:sz="0" w:space="0" w:color="auto"/>
      </w:divBdr>
    </w:div>
    <w:div w:id="2128965141">
      <w:bodyDiv w:val="1"/>
      <w:marLeft w:val="0"/>
      <w:marRight w:val="0"/>
      <w:marTop w:val="0"/>
      <w:marBottom w:val="0"/>
      <w:divBdr>
        <w:top w:val="none" w:sz="0" w:space="0" w:color="auto"/>
        <w:left w:val="none" w:sz="0" w:space="0" w:color="auto"/>
        <w:bottom w:val="none" w:sz="0" w:space="0" w:color="auto"/>
        <w:right w:val="none" w:sz="0" w:space="0" w:color="auto"/>
      </w:divBdr>
    </w:div>
    <w:div w:id="2132362352">
      <w:bodyDiv w:val="1"/>
      <w:marLeft w:val="0"/>
      <w:marRight w:val="0"/>
      <w:marTop w:val="0"/>
      <w:marBottom w:val="0"/>
      <w:divBdr>
        <w:top w:val="none" w:sz="0" w:space="0" w:color="auto"/>
        <w:left w:val="none" w:sz="0" w:space="0" w:color="auto"/>
        <w:bottom w:val="none" w:sz="0" w:space="0" w:color="auto"/>
        <w:right w:val="none" w:sz="0" w:space="0" w:color="auto"/>
      </w:divBdr>
    </w:div>
    <w:div w:id="2134054474">
      <w:bodyDiv w:val="1"/>
      <w:marLeft w:val="0"/>
      <w:marRight w:val="0"/>
      <w:marTop w:val="0"/>
      <w:marBottom w:val="0"/>
      <w:divBdr>
        <w:top w:val="none" w:sz="0" w:space="0" w:color="auto"/>
        <w:left w:val="none" w:sz="0" w:space="0" w:color="auto"/>
        <w:bottom w:val="none" w:sz="0" w:space="0" w:color="auto"/>
        <w:right w:val="none" w:sz="0" w:space="0" w:color="auto"/>
      </w:divBdr>
    </w:div>
    <w:div w:id="2134713151">
      <w:bodyDiv w:val="1"/>
      <w:marLeft w:val="0"/>
      <w:marRight w:val="0"/>
      <w:marTop w:val="0"/>
      <w:marBottom w:val="0"/>
      <w:divBdr>
        <w:top w:val="none" w:sz="0" w:space="0" w:color="auto"/>
        <w:left w:val="none" w:sz="0" w:space="0" w:color="auto"/>
        <w:bottom w:val="none" w:sz="0" w:space="0" w:color="auto"/>
        <w:right w:val="none" w:sz="0" w:space="0" w:color="auto"/>
      </w:divBdr>
    </w:div>
    <w:div w:id="2135437056">
      <w:bodyDiv w:val="1"/>
      <w:marLeft w:val="0"/>
      <w:marRight w:val="0"/>
      <w:marTop w:val="0"/>
      <w:marBottom w:val="0"/>
      <w:divBdr>
        <w:top w:val="none" w:sz="0" w:space="0" w:color="auto"/>
        <w:left w:val="none" w:sz="0" w:space="0" w:color="auto"/>
        <w:bottom w:val="none" w:sz="0" w:space="0" w:color="auto"/>
        <w:right w:val="none" w:sz="0" w:space="0" w:color="auto"/>
      </w:divBdr>
    </w:div>
    <w:div w:id="2135781591">
      <w:bodyDiv w:val="1"/>
      <w:marLeft w:val="0"/>
      <w:marRight w:val="0"/>
      <w:marTop w:val="0"/>
      <w:marBottom w:val="0"/>
      <w:divBdr>
        <w:top w:val="none" w:sz="0" w:space="0" w:color="auto"/>
        <w:left w:val="none" w:sz="0" w:space="0" w:color="auto"/>
        <w:bottom w:val="none" w:sz="0" w:space="0" w:color="auto"/>
        <w:right w:val="none" w:sz="0" w:space="0" w:color="auto"/>
      </w:divBdr>
    </w:div>
    <w:div w:id="2137985265">
      <w:bodyDiv w:val="1"/>
      <w:marLeft w:val="0"/>
      <w:marRight w:val="0"/>
      <w:marTop w:val="0"/>
      <w:marBottom w:val="0"/>
      <w:divBdr>
        <w:top w:val="none" w:sz="0" w:space="0" w:color="auto"/>
        <w:left w:val="none" w:sz="0" w:space="0" w:color="auto"/>
        <w:bottom w:val="none" w:sz="0" w:space="0" w:color="auto"/>
        <w:right w:val="none" w:sz="0" w:space="0" w:color="auto"/>
      </w:divBdr>
    </w:div>
    <w:div w:id="21381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hyperlink" Target="http://www.maroondah.vic.gov.au" TargetMode="External"/><Relationship Id="rId30"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ggs\AppData\Local\Micro%20Focus\Content%20Manager\Offline%20Records%20(MP)\Budget%20Document%20~%20Finance%20%20%20Financial%20-%20Budgeting\Section%203%20Post%20COVID%20Summary%20of%20Financial%20Pos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76077364427538"/>
          <c:y val="8.2949495404070525E-2"/>
          <c:w val="0.85623270485684699"/>
          <c:h val="0.74193715333640864"/>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682B-4786-8F6C-1AF9D1D107CB}"/>
              </c:ext>
            </c:extLst>
          </c:dPt>
          <c:dPt>
            <c:idx val="1"/>
            <c:invertIfNegative val="0"/>
            <c:bubble3D val="0"/>
            <c:spPr>
              <a:solidFill>
                <a:srgbClr val="FFFF00"/>
              </a:solidFill>
              <a:ln w="25400">
                <a:noFill/>
              </a:ln>
            </c:spPr>
            <c:extLst>
              <c:ext xmlns:c16="http://schemas.microsoft.com/office/drawing/2014/chart" uri="{C3380CC4-5D6E-409C-BE32-E72D297353CC}">
                <c16:uniqueId val="{00000003-682B-4786-8F6C-1AF9D1D107CB}"/>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682B-4786-8F6C-1AF9D1D107CB}"/>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682B-4786-8F6C-1AF9D1D107CB}"/>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682B-4786-8F6C-1AF9D1D107CB}"/>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682B-4786-8F6C-1AF9D1D107CB}"/>
              </c:ext>
            </c:extLst>
          </c:dPt>
          <c:dLbls>
            <c:numFmt formatCode="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'!$L$5:$Q$5</c:f>
              <c:strCache>
                <c:ptCount val="6"/>
                <c:pt idx="0">
                  <c:v>A2018/19</c:v>
                </c:pt>
                <c:pt idx="1">
                  <c:v>F2019/20</c:v>
                </c:pt>
                <c:pt idx="2">
                  <c:v>B2020/21</c:v>
                </c:pt>
                <c:pt idx="3">
                  <c:v>LTFS2021/22</c:v>
                </c:pt>
                <c:pt idx="4">
                  <c:v>LTFS2022/23</c:v>
                </c:pt>
                <c:pt idx="5">
                  <c:v>LTFS2023/24</c:v>
                </c:pt>
              </c:strCache>
            </c:strRef>
          </c:cat>
          <c:val>
            <c:numRef>
              <c:f>'Proposed Budget '!$L$6:$Q$6</c:f>
              <c:numCache>
                <c:formatCode>0.0</c:formatCode>
                <c:ptCount val="6"/>
                <c:pt idx="0">
                  <c:v>90.054000000000002</c:v>
                </c:pt>
                <c:pt idx="1">
                  <c:v>92.750096999999997</c:v>
                </c:pt>
                <c:pt idx="2" formatCode="0.00">
                  <c:v>96.240304000000009</c:v>
                </c:pt>
                <c:pt idx="3">
                  <c:v>99.956489523866011</c:v>
                </c:pt>
                <c:pt idx="4">
                  <c:v>103.96228568025475</c:v>
                </c:pt>
                <c:pt idx="5">
                  <c:v>108.82574450868202</c:v>
                </c:pt>
              </c:numCache>
            </c:numRef>
          </c:val>
          <c:extLst>
            <c:ext xmlns:c16="http://schemas.microsoft.com/office/drawing/2014/chart" uri="{C3380CC4-5D6E-409C-BE32-E72D297353CC}">
              <c16:uniqueId val="{0000000C-682B-4786-8F6C-1AF9D1D107CB}"/>
            </c:ext>
          </c:extLst>
        </c:ser>
        <c:dLbls>
          <c:showLegendKey val="0"/>
          <c:showVal val="1"/>
          <c:showCatName val="0"/>
          <c:showSerName val="0"/>
          <c:showPercent val="0"/>
          <c:showBubbleSize val="0"/>
        </c:dLbls>
        <c:gapWidth val="150"/>
        <c:axId val="95140480"/>
        <c:axId val="95142656"/>
      </c:barChart>
      <c:catAx>
        <c:axId val="9514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2656"/>
        <c:crosses val="autoZero"/>
        <c:auto val="1"/>
        <c:lblAlgn val="ctr"/>
        <c:lblOffset val="100"/>
        <c:tickLblSkip val="1"/>
        <c:tickMarkSkip val="1"/>
        <c:noMultiLvlLbl val="0"/>
      </c:catAx>
      <c:valAx>
        <c:axId val="95142656"/>
        <c:scaling>
          <c:orientation val="minMax"/>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 million</a:t>
                </a:r>
              </a:p>
            </c:rich>
          </c:tx>
          <c:layout>
            <c:manualLayout>
              <c:xMode val="edge"/>
              <c:yMode val="edge"/>
              <c:x val="1.2170385395537673E-2"/>
              <c:y val="0.2903230644556562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0480"/>
        <c:crosses val="autoZero"/>
        <c:crossBetween val="between"/>
        <c:majorUnit val="20"/>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9524442717405"/>
          <c:y val="8.0357142857143224E-2"/>
          <c:w val="0.81441023575756732"/>
          <c:h val="0.75000000000000488"/>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873C-43E4-ADB9-53964C662B17}"/>
              </c:ext>
            </c:extLst>
          </c:dPt>
          <c:dPt>
            <c:idx val="1"/>
            <c:invertIfNegative val="0"/>
            <c:bubble3D val="0"/>
            <c:spPr>
              <a:solidFill>
                <a:srgbClr val="FFFF00"/>
              </a:solidFill>
              <a:ln w="25400">
                <a:noFill/>
              </a:ln>
            </c:spPr>
            <c:extLst>
              <c:ext xmlns:c16="http://schemas.microsoft.com/office/drawing/2014/chart" uri="{C3380CC4-5D6E-409C-BE32-E72D297353CC}">
                <c16:uniqueId val="{00000003-873C-43E4-ADB9-53964C662B17}"/>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873C-43E4-ADB9-53964C662B17}"/>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873C-43E4-ADB9-53964C662B17}"/>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873C-43E4-ADB9-53964C662B17}"/>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873C-43E4-ADB9-53964C662B17}"/>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'!$L$19:$Q$19</c:f>
              <c:strCache>
                <c:ptCount val="6"/>
                <c:pt idx="0">
                  <c:v>A2018/19</c:v>
                </c:pt>
                <c:pt idx="1">
                  <c:v>F2019/20</c:v>
                </c:pt>
                <c:pt idx="2">
                  <c:v>B2020/21</c:v>
                </c:pt>
                <c:pt idx="3">
                  <c:v>LTFS2021/22</c:v>
                </c:pt>
                <c:pt idx="4">
                  <c:v>LTFS2022/23</c:v>
                </c:pt>
                <c:pt idx="5">
                  <c:v>LTFS2023/24</c:v>
                </c:pt>
              </c:strCache>
            </c:strRef>
          </c:cat>
          <c:val>
            <c:numRef>
              <c:f>'Proposed Budget '!$L$20:$Q$20</c:f>
              <c:numCache>
                <c:formatCode>0.0</c:formatCode>
                <c:ptCount val="6"/>
                <c:pt idx="0">
                  <c:v>25.545999999999999</c:v>
                </c:pt>
                <c:pt idx="1">
                  <c:v>9.4674987099999566</c:v>
                </c:pt>
                <c:pt idx="2">
                  <c:v>40.148470340000003</c:v>
                </c:pt>
                <c:pt idx="3">
                  <c:v>29.867276304935832</c:v>
                </c:pt>
                <c:pt idx="4">
                  <c:v>9.8221813717465558</c:v>
                </c:pt>
                <c:pt idx="5">
                  <c:v>9.6119044335235966</c:v>
                </c:pt>
              </c:numCache>
            </c:numRef>
          </c:val>
          <c:extLst>
            <c:ext xmlns:c16="http://schemas.microsoft.com/office/drawing/2014/chart" uri="{C3380CC4-5D6E-409C-BE32-E72D297353CC}">
              <c16:uniqueId val="{0000000C-873C-43E4-ADB9-53964C662B17}"/>
            </c:ext>
          </c:extLst>
        </c:ser>
        <c:dLbls>
          <c:showLegendKey val="0"/>
          <c:showVal val="1"/>
          <c:showCatName val="0"/>
          <c:showSerName val="0"/>
          <c:showPercent val="0"/>
          <c:showBubbleSize val="0"/>
        </c:dLbls>
        <c:gapWidth val="150"/>
        <c:axId val="107337600"/>
        <c:axId val="107339136"/>
      </c:barChart>
      <c:catAx>
        <c:axId val="107337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339136"/>
        <c:crosses val="autoZero"/>
        <c:auto val="1"/>
        <c:lblAlgn val="ctr"/>
        <c:lblOffset val="100"/>
        <c:tickLblSkip val="1"/>
        <c:tickMarkSkip val="1"/>
        <c:noMultiLvlLbl val="0"/>
      </c:catAx>
      <c:valAx>
        <c:axId val="107339136"/>
        <c:scaling>
          <c:orientation val="minMax"/>
          <c:max val="50"/>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surplus / -deficit $M</a:t>
                </a:r>
              </a:p>
            </c:rich>
          </c:tx>
          <c:layout>
            <c:manualLayout>
              <c:xMode val="edge"/>
              <c:yMode val="edge"/>
              <c:x val="2.2222222222222251E-2"/>
              <c:y val="0.26339285714286143"/>
            </c:manualLayout>
          </c:layout>
          <c:overlay val="0"/>
          <c:spPr>
            <a:noFill/>
            <a:ln w="25400">
              <a:noFill/>
            </a:ln>
          </c:spPr>
        </c:title>
        <c:numFmt formatCode="0.0" sourceLinked="1"/>
        <c:majorTickMark val="out"/>
        <c:minorTickMark val="none"/>
        <c:tickLblPos val="nextTo"/>
        <c:txPr>
          <a:bodyPr rot="0" vert="horz"/>
          <a:lstStyle/>
          <a:p>
            <a:pPr>
              <a:defRPr/>
            </a:pPr>
            <a:endParaRPr lang="en-US"/>
          </a:p>
        </c:txPr>
        <c:crossAx val="107337600"/>
        <c:crosses val="autoZero"/>
        <c:crossBetween val="between"/>
        <c:majorUnit val="10"/>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3256635212752"/>
          <c:y val="8.2192147332278004E-2"/>
          <c:w val="0.84144684446089812"/>
          <c:h val="0.74429555639785672"/>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1D70-4D3D-87C6-7A2D33FAC515}"/>
              </c:ext>
            </c:extLst>
          </c:dPt>
          <c:dPt>
            <c:idx val="1"/>
            <c:invertIfNegative val="0"/>
            <c:bubble3D val="0"/>
            <c:spPr>
              <a:solidFill>
                <a:srgbClr val="FFFF00"/>
              </a:solidFill>
              <a:ln w="25400">
                <a:noFill/>
              </a:ln>
            </c:spPr>
            <c:extLst>
              <c:ext xmlns:c16="http://schemas.microsoft.com/office/drawing/2014/chart" uri="{C3380CC4-5D6E-409C-BE32-E72D297353CC}">
                <c16:uniqueId val="{00000003-1D70-4D3D-87C6-7A2D33FAC515}"/>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1D70-4D3D-87C6-7A2D33FAC515}"/>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1D70-4D3D-87C6-7A2D33FAC515}"/>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1D70-4D3D-87C6-7A2D33FAC515}"/>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1D70-4D3D-87C6-7A2D33FAC515}"/>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'!$L$35:$Q$35</c:f>
              <c:strCache>
                <c:ptCount val="6"/>
                <c:pt idx="0">
                  <c:v>A2018/19</c:v>
                </c:pt>
                <c:pt idx="1">
                  <c:v>F2019/20</c:v>
                </c:pt>
                <c:pt idx="2">
                  <c:v>B2020/21</c:v>
                </c:pt>
                <c:pt idx="3">
                  <c:v>LTFS2021/22</c:v>
                </c:pt>
                <c:pt idx="4">
                  <c:v>LTFS2022/23</c:v>
                </c:pt>
                <c:pt idx="5">
                  <c:v>LTFS2023/24</c:v>
                </c:pt>
              </c:strCache>
            </c:strRef>
          </c:cat>
          <c:val>
            <c:numRef>
              <c:f>'Proposed Budget '!$L$36:$Q$36</c:f>
              <c:numCache>
                <c:formatCode>0.00</c:formatCode>
                <c:ptCount val="6"/>
                <c:pt idx="0">
                  <c:v>54.323</c:v>
                </c:pt>
                <c:pt idx="1">
                  <c:v>41.643471069736329</c:v>
                </c:pt>
                <c:pt idx="2">
                  <c:v>33.09973123739988</c:v>
                </c:pt>
                <c:pt idx="3">
                  <c:v>29.11119190316958</c:v>
                </c:pt>
                <c:pt idx="4">
                  <c:v>26.41753283011505</c:v>
                </c:pt>
                <c:pt idx="5">
                  <c:v>23.848284591512652</c:v>
                </c:pt>
              </c:numCache>
            </c:numRef>
          </c:val>
          <c:extLst>
            <c:ext xmlns:c16="http://schemas.microsoft.com/office/drawing/2014/chart" uri="{C3380CC4-5D6E-409C-BE32-E72D297353CC}">
              <c16:uniqueId val="{0000000C-1D70-4D3D-87C6-7A2D33FAC515}"/>
            </c:ext>
          </c:extLst>
        </c:ser>
        <c:dLbls>
          <c:showLegendKey val="0"/>
          <c:showVal val="1"/>
          <c:showCatName val="0"/>
          <c:showSerName val="0"/>
          <c:showPercent val="0"/>
          <c:showBubbleSize val="0"/>
        </c:dLbls>
        <c:gapWidth val="150"/>
        <c:axId val="97761536"/>
        <c:axId val="98189312"/>
      </c:barChart>
      <c:catAx>
        <c:axId val="9776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8189312"/>
        <c:crosses val="autoZero"/>
        <c:auto val="1"/>
        <c:lblAlgn val="ctr"/>
        <c:lblOffset val="100"/>
        <c:tickLblSkip val="1"/>
        <c:tickMarkSkip val="1"/>
        <c:noMultiLvlLbl val="0"/>
      </c:catAx>
      <c:valAx>
        <c:axId val="98189312"/>
        <c:scaling>
          <c:orientation val="minMax"/>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cash &amp; investments $M</a:t>
                </a:r>
              </a:p>
            </c:rich>
          </c:tx>
          <c:layout>
            <c:manualLayout>
              <c:xMode val="edge"/>
              <c:yMode val="edge"/>
              <c:x val="1.0101010101010105E-2"/>
              <c:y val="0.2739740409161182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776153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98399203785758"/>
          <c:y val="8.1818363410785272E-2"/>
          <c:w val="0.8369587917033835"/>
          <c:h val="0.74545619996492629"/>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9020-4DEF-9F6A-C15482FE973C}"/>
              </c:ext>
            </c:extLst>
          </c:dPt>
          <c:dPt>
            <c:idx val="1"/>
            <c:invertIfNegative val="0"/>
            <c:bubble3D val="0"/>
            <c:spPr>
              <a:solidFill>
                <a:srgbClr val="FFFF00"/>
              </a:solidFill>
              <a:ln w="25400">
                <a:noFill/>
              </a:ln>
            </c:spPr>
            <c:extLst>
              <c:ext xmlns:c16="http://schemas.microsoft.com/office/drawing/2014/chart" uri="{C3380CC4-5D6E-409C-BE32-E72D297353CC}">
                <c16:uniqueId val="{00000003-9020-4DEF-9F6A-C15482FE973C}"/>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9020-4DEF-9F6A-C15482FE973C}"/>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9020-4DEF-9F6A-C15482FE973C}"/>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9020-4DEF-9F6A-C15482FE973C}"/>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9020-4DEF-9F6A-C15482FE973C}"/>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'!$L$50:$Q$50</c:f>
              <c:strCache>
                <c:ptCount val="6"/>
                <c:pt idx="0">
                  <c:v>A2018/19</c:v>
                </c:pt>
                <c:pt idx="1">
                  <c:v>F2019/20</c:v>
                </c:pt>
                <c:pt idx="2">
                  <c:v>B2020/21</c:v>
                </c:pt>
                <c:pt idx="3">
                  <c:v>LTFS2021/22</c:v>
                </c:pt>
                <c:pt idx="4">
                  <c:v>LTFS2022/23</c:v>
                </c:pt>
                <c:pt idx="5">
                  <c:v>LTFS2023/24</c:v>
                </c:pt>
              </c:strCache>
            </c:strRef>
          </c:cat>
          <c:val>
            <c:numRef>
              <c:f>'Proposed Budget '!$L$51:$Q$51</c:f>
              <c:numCache>
                <c:formatCode>0.00</c:formatCode>
                <c:ptCount val="6"/>
                <c:pt idx="0">
                  <c:v>47.704999999999998</c:v>
                </c:pt>
                <c:pt idx="1">
                  <c:v>47.805954</c:v>
                </c:pt>
                <c:pt idx="2">
                  <c:v>85.465736000000007</c:v>
                </c:pt>
                <c:pt idx="3">
                  <c:v>65.539000000000001</c:v>
                </c:pt>
                <c:pt idx="4">
                  <c:v>34.069000000000003</c:v>
                </c:pt>
                <c:pt idx="5">
                  <c:v>39.773000000000003</c:v>
                </c:pt>
              </c:numCache>
            </c:numRef>
          </c:val>
          <c:extLst>
            <c:ext xmlns:c16="http://schemas.microsoft.com/office/drawing/2014/chart" uri="{C3380CC4-5D6E-409C-BE32-E72D297353CC}">
              <c16:uniqueId val="{0000000C-9020-4DEF-9F6A-C15482FE973C}"/>
            </c:ext>
          </c:extLst>
        </c:ser>
        <c:dLbls>
          <c:showLegendKey val="0"/>
          <c:showVal val="1"/>
          <c:showCatName val="0"/>
          <c:showSerName val="0"/>
          <c:showPercent val="0"/>
          <c:showBubbleSize val="0"/>
        </c:dLbls>
        <c:gapWidth val="150"/>
        <c:axId val="105728256"/>
        <c:axId val="105746432"/>
      </c:barChart>
      <c:catAx>
        <c:axId val="10572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46432"/>
        <c:crosses val="autoZero"/>
        <c:auto val="1"/>
        <c:lblAlgn val="ctr"/>
        <c:lblOffset val="100"/>
        <c:tickLblSkip val="1"/>
        <c:tickMarkSkip val="1"/>
        <c:noMultiLvlLbl val="0"/>
      </c:catAx>
      <c:valAx>
        <c:axId val="105746432"/>
        <c:scaling>
          <c:orientation val="minMax"/>
          <c:max val="90"/>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capital works $M</a:t>
                </a:r>
              </a:p>
            </c:rich>
          </c:tx>
          <c:layout>
            <c:manualLayout>
              <c:xMode val="edge"/>
              <c:yMode val="edge"/>
              <c:x val="1.0080645161290319E-2"/>
              <c:y val="0.2772732044858028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2825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1"/>
          <c:y val="8.1447963800904979E-2"/>
          <c:w val="0.84858371945384081"/>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76F6-4386-8251-CD97DC4C85FA}"/>
              </c:ext>
            </c:extLst>
          </c:dPt>
          <c:dPt>
            <c:idx val="1"/>
            <c:invertIfNegative val="0"/>
            <c:bubble3D val="0"/>
            <c:spPr>
              <a:solidFill>
                <a:srgbClr val="FFFF00"/>
              </a:solidFill>
              <a:ln w="25400">
                <a:noFill/>
              </a:ln>
            </c:spPr>
            <c:extLst>
              <c:ext xmlns:c16="http://schemas.microsoft.com/office/drawing/2014/chart" uri="{C3380CC4-5D6E-409C-BE32-E72D297353CC}">
                <c16:uniqueId val="{00000003-76F6-4386-8251-CD97DC4C85FA}"/>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76F6-4386-8251-CD97DC4C85FA}"/>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76F6-4386-8251-CD97DC4C85FA}"/>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76F6-4386-8251-CD97DC4C85FA}"/>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76F6-4386-8251-CD97DC4C85FA}"/>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'!$L$66:$Q$66</c:f>
              <c:strCache>
                <c:ptCount val="6"/>
                <c:pt idx="0">
                  <c:v>A2018/19</c:v>
                </c:pt>
                <c:pt idx="1">
                  <c:v>F2019/20</c:v>
                </c:pt>
                <c:pt idx="2">
                  <c:v>B2020/21</c:v>
                </c:pt>
                <c:pt idx="3">
                  <c:v>LTFS2021/22</c:v>
                </c:pt>
                <c:pt idx="4">
                  <c:v>LTFS2022/23</c:v>
                </c:pt>
                <c:pt idx="5">
                  <c:v>LTFS2023/24</c:v>
                </c:pt>
              </c:strCache>
            </c:strRef>
          </c:cat>
          <c:val>
            <c:numRef>
              <c:f>'Proposed Budget '!$L$67:$Q$67</c:f>
              <c:numCache>
                <c:formatCode>0.00</c:formatCode>
                <c:ptCount val="6"/>
                <c:pt idx="0">
                  <c:v>2.029933211900425</c:v>
                </c:pt>
                <c:pt idx="1">
                  <c:v>1.5922372599013068</c:v>
                </c:pt>
                <c:pt idx="2">
                  <c:v>1.1342286801260097</c:v>
                </c:pt>
                <c:pt idx="3">
                  <c:v>1.1013110271375519</c:v>
                </c:pt>
                <c:pt idx="4">
                  <c:v>1.125763749399481</c:v>
                </c:pt>
                <c:pt idx="5">
                  <c:v>1.0039558783527716</c:v>
                </c:pt>
              </c:numCache>
            </c:numRef>
          </c:val>
          <c:extLst>
            <c:ext xmlns:c16="http://schemas.microsoft.com/office/drawing/2014/chart" uri="{C3380CC4-5D6E-409C-BE32-E72D297353CC}">
              <c16:uniqueId val="{0000000C-76F6-4386-8251-CD97DC4C85FA}"/>
            </c:ext>
          </c:extLst>
        </c:ser>
        <c:dLbls>
          <c:showLegendKey val="0"/>
          <c:showVal val="1"/>
          <c:showCatName val="0"/>
          <c:showSerName val="0"/>
          <c:showPercent val="0"/>
          <c:showBubbleSize val="0"/>
        </c:dLbls>
        <c:gapWidth val="150"/>
        <c:axId val="105971072"/>
        <c:axId val="107299968"/>
      </c:barChart>
      <c:catAx>
        <c:axId val="10597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299968"/>
        <c:crosses val="autoZero"/>
        <c:auto val="1"/>
        <c:lblAlgn val="ctr"/>
        <c:lblOffset val="100"/>
        <c:tickLblSkip val="1"/>
        <c:tickMarkSkip val="1"/>
        <c:noMultiLvlLbl val="0"/>
      </c:catAx>
      <c:valAx>
        <c:axId val="107299968"/>
        <c:scaling>
          <c:orientation val="minMax"/>
          <c:max val="3"/>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Working Capital Ratio (:1)</a:t>
                </a:r>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971072"/>
        <c:crosses val="autoZero"/>
        <c:crossBetween val="between"/>
        <c:majorUnit val="1"/>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5"/>
          <c:y val="8.1447963800904979E-2"/>
          <c:w val="0.82650369923271783"/>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9262-4E93-B113-567F16C250A8}"/>
              </c:ext>
            </c:extLst>
          </c:dPt>
          <c:dPt>
            <c:idx val="1"/>
            <c:invertIfNegative val="0"/>
            <c:bubble3D val="0"/>
            <c:spPr>
              <a:solidFill>
                <a:srgbClr val="FFFF00"/>
              </a:solidFill>
              <a:ln w="25400">
                <a:noFill/>
              </a:ln>
            </c:spPr>
            <c:extLst>
              <c:ext xmlns:c16="http://schemas.microsoft.com/office/drawing/2014/chart" uri="{C3380CC4-5D6E-409C-BE32-E72D297353CC}">
                <c16:uniqueId val="{00000003-9262-4E93-B113-567F16C250A8}"/>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9262-4E93-B113-567F16C250A8}"/>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9262-4E93-B113-567F16C250A8}"/>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9262-4E93-B113-567F16C250A8}"/>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9262-4E93-B113-567F16C250A8}"/>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'!$L$84:$Q$84</c:f>
              <c:strCache>
                <c:ptCount val="6"/>
                <c:pt idx="0">
                  <c:v>A2018/19</c:v>
                </c:pt>
                <c:pt idx="1">
                  <c:v>F2019/20</c:v>
                </c:pt>
                <c:pt idx="2">
                  <c:v>B2020/21</c:v>
                </c:pt>
                <c:pt idx="3">
                  <c:v>LTFS2021/22</c:v>
                </c:pt>
                <c:pt idx="4">
                  <c:v>LTFS2022/23</c:v>
                </c:pt>
                <c:pt idx="5">
                  <c:v>LTFS2023/24</c:v>
                </c:pt>
              </c:strCache>
            </c:strRef>
          </c:cat>
          <c:val>
            <c:numRef>
              <c:f>'Proposed Budget '!$L$85:$Q$85</c:f>
              <c:numCache>
                <c:formatCode>0.00</c:formatCode>
                <c:ptCount val="6"/>
                <c:pt idx="0">
                  <c:v>8.5990000000000002</c:v>
                </c:pt>
                <c:pt idx="1">
                  <c:v>1.098793599999961</c:v>
                </c:pt>
                <c:pt idx="2">
                  <c:v>13.402470340000001</c:v>
                </c:pt>
                <c:pt idx="3">
                  <c:v>6.1527143049358273</c:v>
                </c:pt>
                <c:pt idx="4">
                  <c:v>9.2066193717465499</c:v>
                </c:pt>
                <c:pt idx="5">
                  <c:v>8.9873424335235317</c:v>
                </c:pt>
              </c:numCache>
            </c:numRef>
          </c:val>
          <c:extLst>
            <c:ext xmlns:c16="http://schemas.microsoft.com/office/drawing/2014/chart" uri="{C3380CC4-5D6E-409C-BE32-E72D297353CC}">
              <c16:uniqueId val="{0000000C-9262-4E93-B113-567F16C250A8}"/>
            </c:ext>
          </c:extLst>
        </c:ser>
        <c:dLbls>
          <c:showLegendKey val="0"/>
          <c:showVal val="1"/>
          <c:showCatName val="0"/>
          <c:showSerName val="0"/>
          <c:showPercent val="0"/>
          <c:showBubbleSize val="0"/>
        </c:dLbls>
        <c:gapWidth val="150"/>
        <c:axId val="108297216"/>
        <c:axId val="108307200"/>
      </c:barChart>
      <c:catAx>
        <c:axId val="10829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307200"/>
        <c:crosses val="autoZero"/>
        <c:auto val="1"/>
        <c:lblAlgn val="ctr"/>
        <c:lblOffset val="400"/>
        <c:tickLblSkip val="1"/>
        <c:tickMarkSkip val="1"/>
        <c:noMultiLvlLbl val="0"/>
      </c:catAx>
      <c:valAx>
        <c:axId val="108307200"/>
        <c:scaling>
          <c:orientation val="minMax"/>
          <c:min val="0"/>
        </c:scaling>
        <c:delete val="0"/>
        <c:axPos val="l"/>
        <c:majorGridlines>
          <c:spPr>
            <a:ln w="3175">
              <a:solidFill>
                <a:srgbClr val="000000"/>
              </a:solidFill>
              <a:prstDash val="solid"/>
            </a:ln>
          </c:spPr>
        </c:majorGridlines>
        <c:title>
          <c:tx>
            <c:rich>
              <a:bodyPr rot="-5400000" vert="horz"/>
              <a:lstStyle/>
              <a:p>
                <a:pPr>
                  <a:defRPr sz="900" b="0" i="0" u="none" strike="noStrike" baseline="0">
                    <a:solidFill>
                      <a:srgbClr val="000000"/>
                    </a:solidFill>
                    <a:latin typeface="Arial Narrow"/>
                    <a:ea typeface="Arial Narrow"/>
                    <a:cs typeface="Arial Narrow"/>
                  </a:defRPr>
                </a:pPr>
                <a:r>
                  <a:rPr lang="en-US"/>
                  <a:t>Adjusted underlying surplus / -deficit</a:t>
                </a:r>
                <a:r>
                  <a:rPr lang="en-US" baseline="0"/>
                  <a:t> $M</a:t>
                </a:r>
                <a:endParaRPr lang="en-US"/>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297216"/>
        <c:crosses val="autoZero"/>
        <c:crossBetween val="between"/>
        <c:majorUnit val="3"/>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19862528600917"/>
          <c:y val="0.1714096590639349"/>
          <c:w val="0.78036812145642998"/>
          <c:h val="0.59207661057871663"/>
        </c:manualLayout>
      </c:layout>
      <c:barChart>
        <c:barDir val="col"/>
        <c:grouping val="clustered"/>
        <c:varyColors val="0"/>
        <c:ser>
          <c:idx val="0"/>
          <c:order val="0"/>
          <c:tx>
            <c:strRef>
              <c:f>'Proposed Budget '!$K$101</c:f>
              <c:strCache>
                <c:ptCount val="1"/>
                <c:pt idx="0">
                  <c:v>2019/20</c:v>
                </c:pt>
              </c:strCache>
            </c:strRef>
          </c:tx>
          <c:spPr>
            <a:solidFill>
              <a:srgbClr val="FFFF00"/>
            </a:solidFill>
          </c:spPr>
          <c:invertIfNegative val="0"/>
          <c:dLbls>
            <c:numFmt formatCode="0.00" sourceLinked="0"/>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'!$L$101:$S$101</c:f>
              <c:numCache>
                <c:formatCode>0.00</c:formatCode>
                <c:ptCount val="8"/>
                <c:pt idx="0">
                  <c:v>7.7</c:v>
                </c:pt>
                <c:pt idx="1">
                  <c:v>4.2785000000000002</c:v>
                </c:pt>
                <c:pt idx="2">
                  <c:v>1.2350000000000001</c:v>
                </c:pt>
                <c:pt idx="3">
                  <c:v>23.783999999999999</c:v>
                </c:pt>
                <c:pt idx="4">
                  <c:v>2.738</c:v>
                </c:pt>
                <c:pt idx="5">
                  <c:v>7.9180000000000001</c:v>
                </c:pt>
                <c:pt idx="6">
                  <c:v>1.6719999999999999</c:v>
                </c:pt>
                <c:pt idx="7">
                  <c:v>21.622</c:v>
                </c:pt>
              </c:numCache>
            </c:numRef>
          </c:val>
          <c:extLst>
            <c:ext xmlns:c16="http://schemas.microsoft.com/office/drawing/2014/chart" uri="{C3380CC4-5D6E-409C-BE32-E72D297353CC}">
              <c16:uniqueId val="{00000000-32C9-45CC-BE37-76FD71C69E3C}"/>
            </c:ext>
          </c:extLst>
        </c:ser>
        <c:ser>
          <c:idx val="1"/>
          <c:order val="1"/>
          <c:tx>
            <c:strRef>
              <c:f>'Proposed Budget '!$K$102</c:f>
              <c:strCache>
                <c:ptCount val="1"/>
                <c:pt idx="0">
                  <c:v>2020/21</c:v>
                </c:pt>
              </c:strCache>
            </c:strRef>
          </c:tx>
          <c:invertIfNegative val="0"/>
          <c:dLbls>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'!$L$102:$S$102</c:f>
              <c:numCache>
                <c:formatCode>0.00</c:formatCode>
                <c:ptCount val="8"/>
                <c:pt idx="0">
                  <c:v>9.8962912047041716</c:v>
                </c:pt>
                <c:pt idx="1">
                  <c:v>4.3887939910374172</c:v>
                </c:pt>
                <c:pt idx="2">
                  <c:v>2.3253415032737932</c:v>
                </c:pt>
                <c:pt idx="3">
                  <c:v>24.998979196113424</c:v>
                </c:pt>
                <c:pt idx="4">
                  <c:v>2.7073744984990138</c:v>
                </c:pt>
                <c:pt idx="5">
                  <c:v>8.3139842074274846</c:v>
                </c:pt>
                <c:pt idx="6">
                  <c:v>1.4417611884159267</c:v>
                </c:pt>
                <c:pt idx="7">
                  <c:v>22.034207907755189</c:v>
                </c:pt>
              </c:numCache>
            </c:numRef>
          </c:val>
          <c:extLst>
            <c:ext xmlns:c16="http://schemas.microsoft.com/office/drawing/2014/chart" uri="{C3380CC4-5D6E-409C-BE32-E72D297353CC}">
              <c16:uniqueId val="{00000001-32C9-45CC-BE37-76FD71C69E3C}"/>
            </c:ext>
          </c:extLst>
        </c:ser>
        <c:dLbls>
          <c:showLegendKey val="0"/>
          <c:showVal val="1"/>
          <c:showCatName val="0"/>
          <c:showSerName val="0"/>
          <c:showPercent val="0"/>
          <c:showBubbleSize val="0"/>
        </c:dLbls>
        <c:gapWidth val="150"/>
        <c:axId val="110716416"/>
        <c:axId val="110717952"/>
      </c:barChart>
      <c:catAx>
        <c:axId val="110716416"/>
        <c:scaling>
          <c:orientation val="minMax"/>
        </c:scaling>
        <c:delete val="0"/>
        <c:axPos val="b"/>
        <c:numFmt formatCode="General" sourceLinked="1"/>
        <c:majorTickMark val="out"/>
        <c:minorTickMark val="none"/>
        <c:tickLblPos val="nextTo"/>
        <c:txPr>
          <a:bodyPr rot="0" vert="horz"/>
          <a:lstStyle/>
          <a:p>
            <a:pPr>
              <a:defRPr sz="900">
                <a:latin typeface="Arial Narrow" pitchFamily="34" charset="0"/>
              </a:defRPr>
            </a:pPr>
            <a:endParaRPr lang="en-US"/>
          </a:p>
        </c:txPr>
        <c:crossAx val="110717952"/>
        <c:crosses val="autoZero"/>
        <c:auto val="1"/>
        <c:lblAlgn val="ctr"/>
        <c:lblOffset val="100"/>
        <c:tickLblSkip val="1"/>
        <c:tickMarkSkip val="1"/>
        <c:noMultiLvlLbl val="0"/>
      </c:catAx>
      <c:valAx>
        <c:axId val="110717952"/>
        <c:scaling>
          <c:orientation val="minMax"/>
          <c:max val="26"/>
          <c:min val="0"/>
        </c:scaling>
        <c:delete val="0"/>
        <c:axPos val="l"/>
        <c:majorGridlines/>
        <c:title>
          <c:tx>
            <c:rich>
              <a:bodyPr rot="-5400000" vert="horz"/>
              <a:lstStyle/>
              <a:p>
                <a:pPr>
                  <a:defRPr sz="900">
                    <a:latin typeface="Arial Narrow" pitchFamily="34" charset="0"/>
                  </a:defRPr>
                </a:pPr>
                <a:r>
                  <a:rPr lang="en-US" sz="900">
                    <a:latin typeface="Arial Narrow" pitchFamily="34" charset="0"/>
                  </a:rPr>
                  <a:t>Net Cost $M</a:t>
                </a:r>
              </a:p>
            </c:rich>
          </c:tx>
          <c:layout>
            <c:manualLayout>
              <c:xMode val="edge"/>
              <c:yMode val="edge"/>
              <c:x val="1.8763597070180466E-2"/>
              <c:y val="0.32452664347189197"/>
            </c:manualLayout>
          </c:layout>
          <c:overlay val="0"/>
        </c:title>
        <c:numFmt formatCode="0.00" sourceLinked="1"/>
        <c:majorTickMark val="out"/>
        <c:minorTickMark val="none"/>
        <c:tickLblPos val="nextTo"/>
        <c:txPr>
          <a:bodyPr rot="0" vert="horz"/>
          <a:lstStyle/>
          <a:p>
            <a:pPr>
              <a:defRPr sz="900">
                <a:latin typeface="Arial Narrow" pitchFamily="34" charset="0"/>
                <a:cs typeface="Arial" pitchFamily="34" charset="0"/>
              </a:defRPr>
            </a:pPr>
            <a:endParaRPr lang="en-US"/>
          </a:p>
        </c:txPr>
        <c:crossAx val="110716416"/>
        <c:crosses val="autoZero"/>
        <c:crossBetween val="between"/>
        <c:majorUnit val="5"/>
        <c:minorUnit val="0.5"/>
      </c:valAx>
    </c:plotArea>
    <c:legend>
      <c:legendPos val="b"/>
      <c:overlay val="0"/>
      <c:txPr>
        <a:bodyPr/>
        <a:lstStyle/>
        <a:p>
          <a:pPr>
            <a:defRPr sz="90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858790123146"/>
          <c:y val="0.18101837270341209"/>
          <c:w val="0.6119794400699915"/>
          <c:h val="0.65277806940799077"/>
        </c:manualLayout>
      </c:layout>
      <c:pieChart>
        <c:varyColors val="1"/>
        <c:ser>
          <c:idx val="0"/>
          <c:order val="0"/>
          <c:dLbls>
            <c:numFmt formatCode="\$#,##0.00" sourceLinked="0"/>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'Proposed Budget '!$L$130:$Q$130</c:f>
              <c:strCache>
                <c:ptCount val="6"/>
                <c:pt idx="0">
                  <c:v>Transport &amp; Access</c:v>
                </c:pt>
                <c:pt idx="1">
                  <c:v>Environment</c:v>
                </c:pt>
                <c:pt idx="2">
                  <c:v>Community Support</c:v>
                </c:pt>
                <c:pt idx="3">
                  <c:v>Leisure &amp; Culture</c:v>
                </c:pt>
                <c:pt idx="4">
                  <c:v>City Development</c:v>
                </c:pt>
                <c:pt idx="5">
                  <c:v>Capital Works</c:v>
                </c:pt>
              </c:strCache>
            </c:strRef>
          </c:cat>
          <c:val>
            <c:numRef>
              <c:f>'Proposed Budget '!$L$131:$Q$131</c:f>
              <c:numCache>
                <c:formatCode>_(* #,##0.00_);_(* \(#,##0.00\);_(* "-"??_);_(@_)</c:formatCode>
                <c:ptCount val="6"/>
                <c:pt idx="0">
                  <c:v>8.406606863695373</c:v>
                </c:pt>
                <c:pt idx="1">
                  <c:v>19.419408537429021</c:v>
                </c:pt>
                <c:pt idx="2">
                  <c:v>8.8991432335086404</c:v>
                </c:pt>
                <c:pt idx="3">
                  <c:v>17.698529579803893</c:v>
                </c:pt>
                <c:pt idx="4">
                  <c:v>6.7215520407744522</c:v>
                </c:pt>
                <c:pt idx="5">
                  <c:v>38.854759744788616</c:v>
                </c:pt>
              </c:numCache>
            </c:numRef>
          </c:val>
          <c:extLst>
            <c:ext xmlns:c16="http://schemas.microsoft.com/office/drawing/2014/chart" uri="{C3380CC4-5D6E-409C-BE32-E72D297353CC}">
              <c16:uniqueId val="{00000000-A3FB-4D98-8B71-A3D04EF7BD8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9C230-46AF-4C74-B54B-03FA11DE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7E0B6E96.dotm</Template>
  <TotalTime>123</TotalTime>
  <Pages>106</Pages>
  <Words>33037</Words>
  <Characters>188313</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220909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Brenda Biggs</cp:lastModifiedBy>
  <cp:revision>25</cp:revision>
  <cp:lastPrinted>2020-03-16T04:46:00Z</cp:lastPrinted>
  <dcterms:created xsi:type="dcterms:W3CDTF">2020-06-19T02:29:00Z</dcterms:created>
  <dcterms:modified xsi:type="dcterms:W3CDTF">2020-07-26T04:23:00Z</dcterms:modified>
</cp:coreProperties>
</file>