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C0" w:rsidRPr="003F5A77" w:rsidRDefault="007572C0" w:rsidP="000044F0">
      <w:pPr>
        <w:ind w:left="-851"/>
        <w:rPr>
          <w:rFonts w:asciiTheme="minorHAnsi" w:hAnsiTheme="minorHAnsi" w:cs="Arial"/>
          <w:b/>
          <w:sz w:val="22"/>
          <w:szCs w:val="22"/>
        </w:rPr>
      </w:pPr>
      <w:bookmarkStart w:id="0" w:name="_GoBack"/>
      <w:bookmarkEnd w:id="0"/>
    </w:p>
    <w:p w:rsidR="007572C0" w:rsidRPr="003F5A77" w:rsidRDefault="007572C0" w:rsidP="000044F0">
      <w:pPr>
        <w:ind w:left="-851"/>
        <w:rPr>
          <w:rFonts w:asciiTheme="minorHAnsi" w:hAnsiTheme="minorHAnsi" w:cs="Arial"/>
          <w:b/>
          <w:sz w:val="22"/>
          <w:szCs w:val="22"/>
        </w:rPr>
      </w:pPr>
    </w:p>
    <w:p w:rsidR="00F31E9A" w:rsidRPr="003F5A77" w:rsidRDefault="00F31E9A" w:rsidP="000044F0">
      <w:pPr>
        <w:ind w:left="-851"/>
        <w:rPr>
          <w:rFonts w:asciiTheme="minorHAnsi" w:hAnsiTheme="minorHAnsi" w:cs="Arial"/>
          <w:b/>
          <w:sz w:val="22"/>
          <w:szCs w:val="22"/>
        </w:rPr>
      </w:pPr>
    </w:p>
    <w:p w:rsidR="000044F0" w:rsidRPr="003F5A77" w:rsidRDefault="000044F0" w:rsidP="000044F0">
      <w:pPr>
        <w:ind w:left="-851"/>
        <w:rPr>
          <w:rFonts w:asciiTheme="minorHAnsi" w:hAnsiTheme="minorHAnsi" w:cs="Arial"/>
          <w:b/>
          <w:sz w:val="22"/>
          <w:szCs w:val="22"/>
        </w:rPr>
      </w:pPr>
    </w:p>
    <w:p w:rsidR="00F31E9A" w:rsidRPr="003F5A77" w:rsidRDefault="00F31E9A" w:rsidP="000044F0">
      <w:pPr>
        <w:ind w:left="-851"/>
        <w:rPr>
          <w:rFonts w:asciiTheme="minorHAnsi" w:hAnsiTheme="minorHAnsi" w:cs="Arial"/>
          <w:b/>
          <w:sz w:val="22"/>
          <w:szCs w:val="22"/>
        </w:rPr>
      </w:pPr>
    </w:p>
    <w:p w:rsidR="005042B3" w:rsidRPr="003F5A77" w:rsidRDefault="005042B3" w:rsidP="000044F0">
      <w:pPr>
        <w:ind w:left="-851"/>
        <w:rPr>
          <w:rFonts w:asciiTheme="minorHAnsi" w:hAnsiTheme="minorHAnsi" w:cs="Arial"/>
          <w:color w:val="FF0000"/>
          <w:sz w:val="22"/>
          <w:szCs w:val="22"/>
        </w:rPr>
      </w:pPr>
    </w:p>
    <w:p w:rsidR="00834A35" w:rsidRPr="003F5A77" w:rsidRDefault="00834A35" w:rsidP="000044F0">
      <w:pPr>
        <w:ind w:left="-851"/>
        <w:rPr>
          <w:rFonts w:ascii="Calibri" w:eastAsiaTheme="majorEastAsia" w:hAnsi="Calibri" w:cstheme="majorBidi"/>
          <w:color w:val="1F497D" w:themeColor="text2"/>
          <w:sz w:val="22"/>
          <w:szCs w:val="22"/>
          <w:lang w:val="en-US" w:eastAsia="en-US"/>
        </w:rPr>
      </w:pPr>
    </w:p>
    <w:p w:rsidR="005042B3" w:rsidRPr="003F5A77" w:rsidRDefault="005042B3" w:rsidP="000044F0">
      <w:pPr>
        <w:ind w:left="-851"/>
        <w:rPr>
          <w:rFonts w:asciiTheme="minorHAnsi" w:hAnsiTheme="minorHAnsi" w:cs="Arial"/>
          <w:b/>
          <w:color w:val="000000" w:themeColor="text1"/>
          <w:sz w:val="40"/>
          <w:szCs w:val="40"/>
        </w:rPr>
      </w:pPr>
      <w:r w:rsidRPr="003F5A77">
        <w:rPr>
          <w:rFonts w:ascii="Calibri" w:eastAsiaTheme="majorEastAsia" w:hAnsi="Calibri" w:cstheme="majorBidi"/>
          <w:color w:val="1F497D" w:themeColor="text2"/>
          <w:sz w:val="40"/>
          <w:szCs w:val="40"/>
          <w:lang w:val="en-US" w:eastAsia="en-US"/>
        </w:rPr>
        <w:t>Executive</w:t>
      </w:r>
      <w:r w:rsidRPr="003F5A77">
        <w:rPr>
          <w:rFonts w:asciiTheme="minorHAnsi" w:hAnsiTheme="minorHAnsi" w:cs="Arial"/>
          <w:b/>
          <w:color w:val="000000" w:themeColor="text1"/>
          <w:sz w:val="40"/>
          <w:szCs w:val="40"/>
        </w:rPr>
        <w:t xml:space="preserve"> </w:t>
      </w:r>
      <w:r w:rsidRPr="003F5A77">
        <w:rPr>
          <w:rFonts w:ascii="Calibri" w:eastAsiaTheme="majorEastAsia" w:hAnsi="Calibri" w:cstheme="majorBidi"/>
          <w:color w:val="1F497D" w:themeColor="text2"/>
          <w:sz w:val="40"/>
          <w:szCs w:val="40"/>
          <w:lang w:val="en-US" w:eastAsia="en-US"/>
        </w:rPr>
        <w:t>Summary</w:t>
      </w:r>
    </w:p>
    <w:p w:rsidR="005042B3" w:rsidRPr="003F5A77" w:rsidRDefault="005042B3" w:rsidP="000044F0">
      <w:pPr>
        <w:ind w:left="-851"/>
        <w:rPr>
          <w:rFonts w:asciiTheme="minorHAnsi" w:hAnsiTheme="minorHAnsi" w:cs="Arial"/>
          <w:b/>
          <w:color w:val="000000" w:themeColor="text1"/>
          <w:sz w:val="22"/>
          <w:szCs w:val="22"/>
        </w:rPr>
      </w:pPr>
    </w:p>
    <w:p w:rsidR="005042B3" w:rsidRPr="003F5A77" w:rsidRDefault="005042B3" w:rsidP="000044F0">
      <w:pPr>
        <w:ind w:left="-851"/>
        <w:rPr>
          <w:rFonts w:asciiTheme="minorHAnsi" w:hAnsiTheme="minorHAnsi" w:cs="Arial"/>
          <w:sz w:val="22"/>
          <w:szCs w:val="22"/>
        </w:rPr>
      </w:pPr>
      <w:r w:rsidRPr="003F5A77">
        <w:rPr>
          <w:rFonts w:asciiTheme="minorHAnsi" w:hAnsiTheme="minorHAnsi" w:cs="Arial"/>
          <w:sz w:val="22"/>
          <w:szCs w:val="22"/>
        </w:rPr>
        <w:t>The Eastern Affordabl</w:t>
      </w:r>
      <w:r w:rsidR="00910C5A" w:rsidRPr="003F5A77">
        <w:rPr>
          <w:rFonts w:asciiTheme="minorHAnsi" w:hAnsiTheme="minorHAnsi" w:cs="Arial"/>
          <w:sz w:val="22"/>
          <w:szCs w:val="22"/>
        </w:rPr>
        <w:t>e Housing Alliance</w:t>
      </w:r>
      <w:r w:rsidR="002A250C" w:rsidRPr="003F5A77">
        <w:rPr>
          <w:rFonts w:asciiTheme="minorHAnsi" w:hAnsiTheme="minorHAnsi" w:cs="Arial"/>
          <w:sz w:val="22"/>
          <w:szCs w:val="22"/>
        </w:rPr>
        <w:t xml:space="preserve"> (EAHA)</w:t>
      </w:r>
      <w:r w:rsidRPr="003F5A77">
        <w:rPr>
          <w:rFonts w:asciiTheme="minorHAnsi" w:hAnsiTheme="minorHAnsi" w:cs="Arial"/>
          <w:sz w:val="22"/>
          <w:szCs w:val="22"/>
        </w:rPr>
        <w:t xml:space="preserve"> includes Knox, Manningham, Maroondah, Monash, </w:t>
      </w:r>
      <w:proofErr w:type="gramStart"/>
      <w:r w:rsidRPr="003F5A77">
        <w:rPr>
          <w:rFonts w:asciiTheme="minorHAnsi" w:hAnsiTheme="minorHAnsi" w:cs="Arial"/>
          <w:sz w:val="22"/>
          <w:szCs w:val="22"/>
        </w:rPr>
        <w:t>Whitehorse</w:t>
      </w:r>
      <w:proofErr w:type="gramEnd"/>
      <w:r w:rsidRPr="003F5A77">
        <w:rPr>
          <w:rFonts w:asciiTheme="minorHAnsi" w:hAnsiTheme="minorHAnsi" w:cs="Arial"/>
          <w:sz w:val="22"/>
          <w:szCs w:val="22"/>
        </w:rPr>
        <w:t xml:space="preserve"> and Yarra Ranges.</w:t>
      </w:r>
      <w:r w:rsidR="00E1534F" w:rsidRPr="003F5A77">
        <w:rPr>
          <w:rFonts w:asciiTheme="minorHAnsi" w:hAnsiTheme="minorHAnsi" w:cs="Arial"/>
          <w:sz w:val="22"/>
          <w:szCs w:val="22"/>
        </w:rPr>
        <w:t xml:space="preserve"> T</w:t>
      </w:r>
      <w:r w:rsidR="00CC685A" w:rsidRPr="003F5A77">
        <w:rPr>
          <w:rFonts w:asciiTheme="minorHAnsi" w:hAnsiTheme="minorHAnsi" w:cs="Arial"/>
          <w:sz w:val="22"/>
          <w:szCs w:val="22"/>
        </w:rPr>
        <w:t xml:space="preserve">hese local government areas also form the </w:t>
      </w:r>
      <w:r w:rsidR="002A250C" w:rsidRPr="003F5A77">
        <w:rPr>
          <w:rFonts w:asciiTheme="minorHAnsi" w:hAnsiTheme="minorHAnsi" w:cs="Arial"/>
          <w:sz w:val="22"/>
          <w:szCs w:val="22"/>
        </w:rPr>
        <w:t xml:space="preserve">Eastern Metropolitan Region of </w:t>
      </w:r>
      <w:r w:rsidR="00CC685A" w:rsidRPr="003F5A77">
        <w:rPr>
          <w:rFonts w:asciiTheme="minorHAnsi" w:hAnsiTheme="minorHAnsi" w:cs="Arial"/>
          <w:sz w:val="22"/>
          <w:szCs w:val="22"/>
        </w:rPr>
        <w:t>Melbourne.</w:t>
      </w:r>
    </w:p>
    <w:p w:rsidR="00DE3081" w:rsidRPr="003F5A77" w:rsidRDefault="00DE3081" w:rsidP="000044F0">
      <w:pPr>
        <w:ind w:left="-851"/>
        <w:rPr>
          <w:rFonts w:asciiTheme="minorHAnsi" w:hAnsiTheme="minorHAnsi" w:cs="Arial"/>
          <w:b/>
          <w:sz w:val="22"/>
          <w:szCs w:val="22"/>
        </w:rPr>
      </w:pPr>
    </w:p>
    <w:p w:rsidR="005042B3" w:rsidRPr="003F5A77" w:rsidRDefault="00DE3081"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following data highlights considerable d</w:t>
      </w:r>
      <w:r w:rsidR="00910C5A" w:rsidRPr="003F5A77">
        <w:rPr>
          <w:rFonts w:asciiTheme="minorHAnsi" w:hAnsiTheme="minorHAnsi" w:cs="Arial"/>
          <w:color w:val="000000" w:themeColor="text1"/>
          <w:sz w:val="22"/>
          <w:szCs w:val="22"/>
        </w:rPr>
        <w:t>ifferences in local conditions between member</w:t>
      </w:r>
      <w:r w:rsidRPr="003F5A77">
        <w:rPr>
          <w:rFonts w:asciiTheme="minorHAnsi" w:hAnsiTheme="minorHAnsi" w:cs="Arial"/>
          <w:color w:val="000000" w:themeColor="text1"/>
          <w:sz w:val="22"/>
          <w:szCs w:val="22"/>
        </w:rPr>
        <w:t xml:space="preserve"> councils in terms of the number of households in ‘need’; the size of the existing social housing supply; and the availability of affordable private rentals in each. Each of these factors work in concert to affect the local</w:t>
      </w:r>
      <w:r w:rsidR="005042B3" w:rsidRPr="003F5A77">
        <w:rPr>
          <w:rFonts w:asciiTheme="minorHAnsi" w:hAnsiTheme="minorHAnsi" w:cs="Arial"/>
          <w:color w:val="000000" w:themeColor="text1"/>
          <w:sz w:val="22"/>
          <w:szCs w:val="22"/>
        </w:rPr>
        <w:t xml:space="preserve"> and regional</w:t>
      </w:r>
      <w:r w:rsidRPr="003F5A77">
        <w:rPr>
          <w:rFonts w:asciiTheme="minorHAnsi" w:hAnsiTheme="minorHAnsi" w:cs="Arial"/>
          <w:color w:val="000000" w:themeColor="text1"/>
          <w:sz w:val="22"/>
          <w:szCs w:val="22"/>
        </w:rPr>
        <w:t xml:space="preserve"> social housing shortfall.</w:t>
      </w:r>
    </w:p>
    <w:p w:rsidR="00CC685A" w:rsidRPr="003F5A77" w:rsidRDefault="00CC685A" w:rsidP="000044F0">
      <w:pPr>
        <w:ind w:left="-851"/>
        <w:rPr>
          <w:rFonts w:asciiTheme="minorHAnsi" w:hAnsiTheme="minorHAnsi" w:cs="Arial"/>
          <w:b/>
          <w:color w:val="000000" w:themeColor="text1"/>
          <w:sz w:val="22"/>
          <w:szCs w:val="22"/>
        </w:rPr>
      </w:pPr>
    </w:p>
    <w:p w:rsidR="00DE3081" w:rsidRPr="003F5A77" w:rsidRDefault="00DE3081" w:rsidP="000044F0">
      <w:pPr>
        <w:ind w:left="-851"/>
        <w:rPr>
          <w:rFonts w:ascii="Calibri" w:eastAsiaTheme="majorEastAsia" w:hAnsi="Calibri" w:cstheme="majorBidi"/>
          <w:color w:val="1F497D" w:themeColor="text2"/>
          <w:lang w:val="en-US" w:eastAsia="en-US"/>
        </w:rPr>
      </w:pPr>
      <w:r w:rsidRPr="003F5A77">
        <w:rPr>
          <w:rFonts w:ascii="Calibri" w:eastAsiaTheme="majorEastAsia" w:hAnsi="Calibri" w:cstheme="majorBidi"/>
          <w:color w:val="1F497D" w:themeColor="text2"/>
          <w:lang w:val="en-US" w:eastAsia="en-US"/>
        </w:rPr>
        <w:t>Features of the 2017 review include:</w:t>
      </w:r>
    </w:p>
    <w:p w:rsidR="00DE3081" w:rsidRPr="003F5A77" w:rsidRDefault="00DE3081" w:rsidP="000044F0">
      <w:pPr>
        <w:ind w:left="-851"/>
        <w:rPr>
          <w:rFonts w:asciiTheme="minorHAnsi" w:hAnsiTheme="minorHAnsi" w:cs="Arial"/>
          <w:b/>
          <w:color w:val="000000" w:themeColor="text1"/>
          <w:sz w:val="22"/>
          <w:szCs w:val="22"/>
        </w:rPr>
      </w:pPr>
    </w:p>
    <w:p w:rsidR="00DE3081" w:rsidRPr="003F5A77" w:rsidRDefault="00CC685A" w:rsidP="00834A35">
      <w:pPr>
        <w:pStyle w:val="ListParagraph"/>
        <w:numPr>
          <w:ilvl w:val="0"/>
          <w:numId w:val="2"/>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A</w:t>
      </w:r>
      <w:r w:rsidR="002A250C" w:rsidRPr="003F5A77">
        <w:rPr>
          <w:rFonts w:asciiTheme="minorHAnsi" w:hAnsiTheme="minorHAnsi" w:cs="Arial"/>
          <w:b/>
          <w:color w:val="000000" w:themeColor="text1"/>
          <w:sz w:val="22"/>
          <w:szCs w:val="22"/>
        </w:rPr>
        <w:t>n EAHA</w:t>
      </w:r>
      <w:r w:rsidRPr="003F5A77">
        <w:rPr>
          <w:rFonts w:asciiTheme="minorHAnsi" w:hAnsiTheme="minorHAnsi" w:cs="Arial"/>
          <w:b/>
          <w:color w:val="000000" w:themeColor="text1"/>
          <w:sz w:val="22"/>
          <w:szCs w:val="22"/>
        </w:rPr>
        <w:t xml:space="preserve"> </w:t>
      </w:r>
      <w:r w:rsidR="00DE3081" w:rsidRPr="003F5A77">
        <w:rPr>
          <w:rFonts w:asciiTheme="minorHAnsi" w:hAnsiTheme="minorHAnsi" w:cs="Arial"/>
          <w:b/>
          <w:color w:val="000000" w:themeColor="text1"/>
          <w:sz w:val="22"/>
          <w:szCs w:val="22"/>
        </w:rPr>
        <w:t xml:space="preserve">‘target market’ </w:t>
      </w:r>
      <w:r w:rsidR="00DE3081" w:rsidRPr="003F5A77">
        <w:rPr>
          <w:rFonts w:asciiTheme="minorHAnsi" w:hAnsiTheme="minorHAnsi" w:cs="Arial"/>
          <w:color w:val="000000" w:themeColor="text1"/>
          <w:sz w:val="22"/>
          <w:szCs w:val="22"/>
        </w:rPr>
        <w:t>of very low-income households that do not own-their-own home, currently (2016)</w:t>
      </w:r>
      <w:r w:rsidR="002A250C" w:rsidRPr="003F5A77">
        <w:rPr>
          <w:rFonts w:asciiTheme="minorHAnsi" w:hAnsiTheme="minorHAnsi" w:cs="Arial"/>
          <w:color w:val="000000" w:themeColor="text1"/>
          <w:sz w:val="22"/>
          <w:szCs w:val="22"/>
        </w:rPr>
        <w:t xml:space="preserve"> </w:t>
      </w:r>
      <w:r w:rsidR="00DE3081" w:rsidRPr="003F5A77">
        <w:rPr>
          <w:rFonts w:asciiTheme="minorHAnsi" w:hAnsiTheme="minorHAnsi" w:cs="Arial"/>
          <w:b/>
          <w:color w:val="000000" w:themeColor="text1"/>
          <w:sz w:val="22"/>
          <w:szCs w:val="22"/>
        </w:rPr>
        <w:t>estimated at 17,270 households.</w:t>
      </w:r>
    </w:p>
    <w:p w:rsidR="00DE3081" w:rsidRPr="003F5A77" w:rsidRDefault="00DE3081" w:rsidP="00834A35">
      <w:pPr>
        <w:pStyle w:val="ListParagraph"/>
        <w:numPr>
          <w:ilvl w:val="0"/>
          <w:numId w:val="2"/>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 xml:space="preserve">Higher than average ‘need’ (size of target market) in Monash and Whitehorse, </w:t>
      </w:r>
      <w:r w:rsidRPr="003F5A77">
        <w:rPr>
          <w:rFonts w:asciiTheme="minorHAnsi" w:hAnsiTheme="minorHAnsi" w:cs="Arial"/>
          <w:color w:val="000000" w:themeColor="text1"/>
          <w:sz w:val="22"/>
          <w:szCs w:val="22"/>
        </w:rPr>
        <w:t>at 7.3% and 6.6% of total households respectively. Th</w:t>
      </w:r>
      <w:r w:rsidR="002A250C" w:rsidRPr="003F5A77">
        <w:rPr>
          <w:rFonts w:asciiTheme="minorHAnsi" w:hAnsiTheme="minorHAnsi" w:cs="Arial"/>
          <w:color w:val="000000" w:themeColor="text1"/>
          <w:sz w:val="22"/>
          <w:szCs w:val="22"/>
        </w:rPr>
        <w:t>is compares with the EAHA</w:t>
      </w:r>
      <w:r w:rsidR="00164711" w:rsidRPr="003F5A77">
        <w:rPr>
          <w:rFonts w:asciiTheme="minorHAnsi" w:hAnsiTheme="minorHAnsi" w:cs="Arial"/>
          <w:color w:val="000000" w:themeColor="text1"/>
          <w:sz w:val="22"/>
          <w:szCs w:val="22"/>
        </w:rPr>
        <w:t xml:space="preserve"> average of 5.</w:t>
      </w:r>
      <w:r w:rsidRPr="003F5A77">
        <w:rPr>
          <w:rFonts w:asciiTheme="minorHAnsi" w:hAnsiTheme="minorHAnsi" w:cs="Arial"/>
          <w:color w:val="000000" w:themeColor="text1"/>
          <w:sz w:val="22"/>
          <w:szCs w:val="22"/>
        </w:rPr>
        <w:t>1%</w:t>
      </w:r>
      <w:r w:rsidR="005042B3" w:rsidRPr="003F5A77">
        <w:rPr>
          <w:rFonts w:asciiTheme="minorHAnsi" w:hAnsiTheme="minorHAnsi" w:cs="Arial"/>
          <w:color w:val="000000" w:themeColor="text1"/>
          <w:sz w:val="22"/>
          <w:szCs w:val="22"/>
        </w:rPr>
        <w:t xml:space="preserve">, </w:t>
      </w:r>
      <w:r w:rsidRPr="003F5A77">
        <w:rPr>
          <w:rFonts w:asciiTheme="minorHAnsi" w:hAnsiTheme="minorHAnsi" w:cs="Arial"/>
          <w:color w:val="000000" w:themeColor="text1"/>
          <w:sz w:val="22"/>
          <w:szCs w:val="22"/>
        </w:rPr>
        <w:t>and the average for Greater Melbourne of 5.9%</w:t>
      </w:r>
      <w:r w:rsidR="005042B3" w:rsidRPr="003F5A77">
        <w:rPr>
          <w:rFonts w:asciiTheme="minorHAnsi" w:hAnsiTheme="minorHAnsi" w:cs="Arial"/>
          <w:color w:val="000000" w:themeColor="text1"/>
          <w:sz w:val="22"/>
          <w:szCs w:val="22"/>
        </w:rPr>
        <w:t>.</w:t>
      </w:r>
    </w:p>
    <w:p w:rsidR="00DE3081" w:rsidRPr="003F5A77" w:rsidRDefault="00DE3081" w:rsidP="005153DA">
      <w:pPr>
        <w:pStyle w:val="ListParagraph"/>
        <w:spacing w:after="120"/>
        <w:ind w:left="-425"/>
        <w:contextualSpacing w:val="0"/>
        <w:rPr>
          <w:rFonts w:asciiTheme="minorHAnsi" w:hAnsiTheme="minorHAnsi" w:cs="Arial"/>
          <w:b/>
          <w:color w:val="000000" w:themeColor="text1"/>
          <w:sz w:val="22"/>
          <w:szCs w:val="22"/>
        </w:rPr>
      </w:pPr>
      <w:r w:rsidRPr="003F5A77">
        <w:rPr>
          <w:rFonts w:asciiTheme="minorHAnsi" w:hAnsiTheme="minorHAnsi" w:cs="Arial"/>
          <w:color w:val="000000" w:themeColor="text1"/>
          <w:sz w:val="22"/>
          <w:szCs w:val="22"/>
        </w:rPr>
        <w:t>This is possibly associated with large (low income) student populations in these areas.</w:t>
      </w:r>
    </w:p>
    <w:p w:rsidR="00DE3081" w:rsidRPr="003F5A77" w:rsidRDefault="002A250C" w:rsidP="00834A35">
      <w:pPr>
        <w:pStyle w:val="ListParagraph"/>
        <w:numPr>
          <w:ilvl w:val="0"/>
          <w:numId w:val="2"/>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An EAHA</w:t>
      </w:r>
      <w:r w:rsidR="00DE3081" w:rsidRPr="003F5A77">
        <w:rPr>
          <w:rFonts w:asciiTheme="minorHAnsi" w:hAnsiTheme="minorHAnsi" w:cs="Arial"/>
          <w:b/>
          <w:color w:val="000000" w:themeColor="text1"/>
          <w:sz w:val="22"/>
          <w:szCs w:val="22"/>
        </w:rPr>
        <w:t xml:space="preserve"> supply of 7,272 social housing dwellings</w:t>
      </w:r>
      <w:r w:rsidR="00DE3081" w:rsidRPr="003F5A77">
        <w:rPr>
          <w:rStyle w:val="FootnoteReference"/>
          <w:rFonts w:asciiTheme="minorHAnsi" w:hAnsiTheme="minorHAnsi" w:cs="Arial"/>
          <w:b/>
          <w:color w:val="000000" w:themeColor="text1"/>
          <w:sz w:val="22"/>
          <w:szCs w:val="22"/>
        </w:rPr>
        <w:footnoteReference w:id="1"/>
      </w:r>
      <w:r w:rsidR="00DE3081" w:rsidRPr="003F5A77">
        <w:rPr>
          <w:rFonts w:asciiTheme="minorHAnsi" w:hAnsiTheme="minorHAnsi" w:cs="Arial"/>
          <w:b/>
          <w:color w:val="000000" w:themeColor="text1"/>
          <w:sz w:val="22"/>
          <w:szCs w:val="22"/>
        </w:rPr>
        <w:t xml:space="preserve"> </w:t>
      </w:r>
      <w:r w:rsidR="00DE3081" w:rsidRPr="003F5A77">
        <w:rPr>
          <w:rFonts w:asciiTheme="minorHAnsi" w:hAnsiTheme="minorHAnsi" w:cs="Arial"/>
          <w:color w:val="000000" w:themeColor="text1"/>
          <w:sz w:val="22"/>
          <w:szCs w:val="22"/>
        </w:rPr>
        <w:t>(June, 2015), ranging by location from as low as 333 dwellings in Manningham, to 1500+ in Monash (1808) and Whitehorse (1577)</w:t>
      </w:r>
      <w:r w:rsidR="00834A35" w:rsidRPr="003F5A77">
        <w:rPr>
          <w:rFonts w:asciiTheme="minorHAnsi" w:hAnsiTheme="minorHAnsi" w:cs="Arial"/>
          <w:color w:val="000000" w:themeColor="text1"/>
          <w:sz w:val="22"/>
          <w:szCs w:val="22"/>
        </w:rPr>
        <w:t>.</w:t>
      </w:r>
    </w:p>
    <w:p w:rsidR="00DE3081" w:rsidRPr="003F5A77" w:rsidRDefault="00F8514B" w:rsidP="00834A35">
      <w:pPr>
        <w:pStyle w:val="ListParagraph"/>
        <w:numPr>
          <w:ilvl w:val="0"/>
          <w:numId w:val="2"/>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color w:val="000000" w:themeColor="text1"/>
          <w:sz w:val="22"/>
          <w:szCs w:val="22"/>
        </w:rPr>
        <w:t xml:space="preserve">Based on the latest (2016) Census data a </w:t>
      </w:r>
      <w:r w:rsidRPr="003F5A77">
        <w:rPr>
          <w:rFonts w:asciiTheme="minorHAnsi" w:hAnsiTheme="minorHAnsi" w:cs="Arial"/>
          <w:b/>
          <w:color w:val="000000" w:themeColor="text1"/>
          <w:sz w:val="22"/>
          <w:szCs w:val="22"/>
        </w:rPr>
        <w:t>b</w:t>
      </w:r>
      <w:r w:rsidR="00DE3081" w:rsidRPr="003F5A77">
        <w:rPr>
          <w:rFonts w:asciiTheme="minorHAnsi" w:hAnsiTheme="minorHAnsi" w:cs="Arial"/>
          <w:b/>
          <w:color w:val="000000" w:themeColor="text1"/>
          <w:sz w:val="22"/>
          <w:szCs w:val="22"/>
        </w:rPr>
        <w:t xml:space="preserve">elow (Greater Melbourne) average rate of social housing supply in </w:t>
      </w:r>
      <w:r w:rsidR="003E5D94" w:rsidRPr="003F5A77">
        <w:rPr>
          <w:rFonts w:asciiTheme="minorHAnsi" w:hAnsiTheme="minorHAnsi" w:cs="Arial"/>
          <w:b/>
          <w:i/>
          <w:color w:val="000000" w:themeColor="text1"/>
          <w:sz w:val="22"/>
          <w:szCs w:val="22"/>
        </w:rPr>
        <w:t xml:space="preserve">every </w:t>
      </w:r>
      <w:r w:rsidR="003E5D94" w:rsidRPr="003F5A77">
        <w:rPr>
          <w:rFonts w:asciiTheme="minorHAnsi" w:hAnsiTheme="minorHAnsi" w:cs="Arial"/>
          <w:b/>
          <w:color w:val="000000" w:themeColor="text1"/>
          <w:sz w:val="22"/>
          <w:szCs w:val="22"/>
        </w:rPr>
        <w:t>Council in the EAHA</w:t>
      </w:r>
      <w:r w:rsidR="00DE3081" w:rsidRPr="003F5A77">
        <w:rPr>
          <w:rFonts w:asciiTheme="minorHAnsi" w:hAnsiTheme="minorHAnsi" w:cs="Arial"/>
          <w:b/>
          <w:color w:val="000000" w:themeColor="text1"/>
          <w:sz w:val="22"/>
          <w:szCs w:val="22"/>
        </w:rPr>
        <w:t xml:space="preserve">, </w:t>
      </w:r>
      <w:r w:rsidR="00DE3081" w:rsidRPr="003F5A77">
        <w:rPr>
          <w:rFonts w:asciiTheme="minorHAnsi" w:hAnsiTheme="minorHAnsi" w:cs="Arial"/>
          <w:color w:val="000000" w:themeColor="text1"/>
          <w:sz w:val="22"/>
          <w:szCs w:val="22"/>
        </w:rPr>
        <w:t>particularly Manningham (0.6% of total households) and Yarra Ranges (1.1%). This compares to the EAH</w:t>
      </w:r>
      <w:r w:rsidR="003E5D94" w:rsidRPr="003F5A77">
        <w:rPr>
          <w:rFonts w:asciiTheme="minorHAnsi" w:hAnsiTheme="minorHAnsi" w:cs="Arial"/>
          <w:color w:val="000000" w:themeColor="text1"/>
          <w:sz w:val="22"/>
          <w:szCs w:val="22"/>
        </w:rPr>
        <w:t>A</w:t>
      </w:r>
      <w:r w:rsidR="00DE3081" w:rsidRPr="003F5A77">
        <w:rPr>
          <w:rFonts w:asciiTheme="minorHAnsi" w:hAnsiTheme="minorHAnsi" w:cs="Arial"/>
          <w:color w:val="000000" w:themeColor="text1"/>
          <w:sz w:val="22"/>
          <w:szCs w:val="22"/>
        </w:rPr>
        <w:t xml:space="preserve"> regional average of 1.9%, and the Greater Melbourne average of 2.6%</w:t>
      </w:r>
      <w:r w:rsidR="009314F4" w:rsidRPr="003F5A77">
        <w:rPr>
          <w:rStyle w:val="FootnoteReference"/>
          <w:rFonts w:asciiTheme="minorHAnsi" w:hAnsiTheme="minorHAnsi" w:cs="Arial"/>
          <w:color w:val="000000" w:themeColor="text1"/>
          <w:sz w:val="22"/>
          <w:szCs w:val="22"/>
        </w:rPr>
        <w:footnoteReference w:id="2"/>
      </w:r>
      <w:r w:rsidR="00DE3081" w:rsidRPr="003F5A77">
        <w:rPr>
          <w:rFonts w:asciiTheme="minorHAnsi" w:hAnsiTheme="minorHAnsi" w:cs="Arial"/>
          <w:color w:val="000000" w:themeColor="text1"/>
          <w:sz w:val="22"/>
          <w:szCs w:val="22"/>
        </w:rPr>
        <w:t>.</w:t>
      </w:r>
    </w:p>
    <w:p w:rsidR="00DE3081" w:rsidRPr="003F5A77" w:rsidRDefault="00DE3081" w:rsidP="00834A35">
      <w:pPr>
        <w:pStyle w:val="ListParagraph"/>
        <w:numPr>
          <w:ilvl w:val="0"/>
          <w:numId w:val="2"/>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An EAH</w:t>
      </w:r>
      <w:r w:rsidR="00E84DE6" w:rsidRPr="003F5A77">
        <w:rPr>
          <w:rFonts w:asciiTheme="minorHAnsi" w:hAnsiTheme="minorHAnsi" w:cs="Arial"/>
          <w:b/>
          <w:color w:val="000000" w:themeColor="text1"/>
          <w:sz w:val="22"/>
          <w:szCs w:val="22"/>
        </w:rPr>
        <w:t>A</w:t>
      </w:r>
      <w:r w:rsidRPr="003F5A77">
        <w:rPr>
          <w:rFonts w:asciiTheme="minorHAnsi" w:hAnsiTheme="minorHAnsi" w:cs="Arial"/>
          <w:b/>
          <w:color w:val="000000" w:themeColor="text1"/>
          <w:sz w:val="22"/>
          <w:szCs w:val="22"/>
        </w:rPr>
        <w:t xml:space="preserve"> regional supply of affordable private rentals </w:t>
      </w:r>
      <w:r w:rsidR="00461BFA" w:rsidRPr="003F5A77">
        <w:rPr>
          <w:rFonts w:asciiTheme="minorHAnsi" w:hAnsiTheme="minorHAnsi" w:cs="Arial"/>
          <w:color w:val="000000" w:themeColor="text1"/>
          <w:sz w:val="22"/>
          <w:szCs w:val="22"/>
        </w:rPr>
        <w:t>currently (2017</w:t>
      </w:r>
      <w:r w:rsidRPr="003F5A77">
        <w:rPr>
          <w:rFonts w:asciiTheme="minorHAnsi" w:hAnsiTheme="minorHAnsi" w:cs="Arial"/>
          <w:color w:val="000000" w:themeColor="text1"/>
          <w:sz w:val="22"/>
          <w:szCs w:val="22"/>
        </w:rPr>
        <w:t xml:space="preserve">) estimated at </w:t>
      </w:r>
      <w:r w:rsidRPr="003F5A77">
        <w:rPr>
          <w:rFonts w:asciiTheme="minorHAnsi" w:hAnsiTheme="minorHAnsi" w:cs="Arial"/>
          <w:b/>
          <w:color w:val="000000" w:themeColor="text1"/>
          <w:sz w:val="22"/>
          <w:szCs w:val="22"/>
        </w:rPr>
        <w:t>approximately 2040 dwellings.</w:t>
      </w:r>
    </w:p>
    <w:p w:rsidR="00DE3081" w:rsidRPr="003F5A77" w:rsidRDefault="00DE3081" w:rsidP="00170B62">
      <w:pPr>
        <w:pStyle w:val="ListParagraph"/>
        <w:spacing w:after="120"/>
        <w:ind w:left="-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availability of affordable private rentals</w:t>
      </w:r>
      <w:r w:rsidR="004435D1" w:rsidRPr="003F5A77">
        <w:rPr>
          <w:rFonts w:asciiTheme="minorHAnsi" w:hAnsiTheme="minorHAnsi" w:cs="Arial"/>
          <w:color w:val="000000" w:themeColor="text1"/>
          <w:sz w:val="22"/>
          <w:szCs w:val="22"/>
        </w:rPr>
        <w:t xml:space="preserve"> varies from as low as 1.4% of private rental properties in Manningham</w:t>
      </w:r>
      <w:r w:rsidR="00970F6D" w:rsidRPr="003F5A77">
        <w:rPr>
          <w:rFonts w:asciiTheme="minorHAnsi" w:hAnsiTheme="minorHAnsi" w:cs="Arial"/>
          <w:color w:val="000000" w:themeColor="text1"/>
          <w:sz w:val="22"/>
          <w:szCs w:val="22"/>
        </w:rPr>
        <w:t xml:space="preserve">; between 2-4% of rentals in </w:t>
      </w:r>
      <w:r w:rsidR="001249C6" w:rsidRPr="003F5A77">
        <w:rPr>
          <w:rFonts w:asciiTheme="minorHAnsi" w:hAnsiTheme="minorHAnsi" w:cs="Arial"/>
          <w:color w:val="000000" w:themeColor="text1"/>
          <w:sz w:val="22"/>
          <w:szCs w:val="22"/>
        </w:rPr>
        <w:t>Whitehorse (2%), Monash (2.3%); Maroondah (3.2%) and Knox (3.8%); to as high as 7.5% of private rental properties in Yarra Ranges.</w:t>
      </w:r>
    </w:p>
    <w:p w:rsidR="001249C6" w:rsidRPr="003F5A77" w:rsidRDefault="001249C6" w:rsidP="00170B62">
      <w:pPr>
        <w:pStyle w:val="ListParagraph"/>
        <w:spacing w:after="120"/>
        <w:ind w:left="-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lastRenderedPageBreak/>
        <w:t xml:space="preserve">This is consistent with the Real Estate Institute of </w:t>
      </w:r>
      <w:r w:rsidR="00970F6D" w:rsidRPr="003F5A77">
        <w:rPr>
          <w:rFonts w:asciiTheme="minorHAnsi" w:hAnsiTheme="minorHAnsi" w:cs="Arial"/>
          <w:color w:val="000000" w:themeColor="text1"/>
          <w:sz w:val="22"/>
          <w:szCs w:val="22"/>
        </w:rPr>
        <w:t>Victoria (REIV) commentary that ‘the highest availability of affordable rental homes is now in regional Victoria and what little affordable rental homes were available in Melbourne’s middle suburbs, has all but disappeared.’</w:t>
      </w:r>
    </w:p>
    <w:p w:rsidR="00970F6D" w:rsidRPr="003F5A77" w:rsidRDefault="001077D6" w:rsidP="00170B62">
      <w:pPr>
        <w:pStyle w:val="ListParagraph"/>
        <w:numPr>
          <w:ilvl w:val="0"/>
          <w:numId w:val="2"/>
        </w:numPr>
        <w:spacing w:after="120"/>
        <w:ind w:left="-425" w:hanging="425"/>
        <w:contextualSpacing w:val="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A c</w:t>
      </w:r>
      <w:r w:rsidR="00970F6D" w:rsidRPr="003F5A77">
        <w:rPr>
          <w:rFonts w:asciiTheme="minorHAnsi" w:hAnsiTheme="minorHAnsi" w:cs="Arial"/>
          <w:b/>
          <w:color w:val="000000" w:themeColor="text1"/>
          <w:sz w:val="22"/>
          <w:szCs w:val="22"/>
        </w:rPr>
        <w:t xml:space="preserve">urrent </w:t>
      </w:r>
      <w:r w:rsidR="00970F6D" w:rsidRPr="003F5A77">
        <w:rPr>
          <w:rFonts w:asciiTheme="minorHAnsi" w:hAnsiTheme="minorHAnsi" w:cs="Arial"/>
          <w:color w:val="000000" w:themeColor="text1"/>
          <w:sz w:val="22"/>
          <w:szCs w:val="22"/>
        </w:rPr>
        <w:t>(2016)</w:t>
      </w:r>
      <w:r w:rsidR="00970F6D" w:rsidRPr="003F5A77">
        <w:rPr>
          <w:rFonts w:asciiTheme="minorHAnsi" w:hAnsiTheme="minorHAnsi" w:cs="Arial"/>
          <w:b/>
          <w:color w:val="000000" w:themeColor="text1"/>
          <w:sz w:val="22"/>
          <w:szCs w:val="22"/>
        </w:rPr>
        <w:t xml:space="preserve"> proportion of ‘n</w:t>
      </w:r>
      <w:r w:rsidR="002C2161" w:rsidRPr="003F5A77">
        <w:rPr>
          <w:rFonts w:asciiTheme="minorHAnsi" w:hAnsiTheme="minorHAnsi" w:cs="Arial"/>
          <w:b/>
          <w:color w:val="000000" w:themeColor="text1"/>
          <w:sz w:val="22"/>
          <w:szCs w:val="22"/>
        </w:rPr>
        <w:t>e</w:t>
      </w:r>
      <w:r w:rsidR="00970F6D" w:rsidRPr="003F5A77">
        <w:rPr>
          <w:rFonts w:asciiTheme="minorHAnsi" w:hAnsiTheme="minorHAnsi" w:cs="Arial"/>
          <w:b/>
          <w:color w:val="000000" w:themeColor="text1"/>
          <w:sz w:val="22"/>
          <w:szCs w:val="22"/>
        </w:rPr>
        <w:t>ed’ that can be met by existing social housing together with the (estimated) supply of affordable private ren</w:t>
      </w:r>
      <w:r w:rsidR="00684BB3" w:rsidRPr="003F5A77">
        <w:rPr>
          <w:rFonts w:asciiTheme="minorHAnsi" w:hAnsiTheme="minorHAnsi" w:cs="Arial"/>
          <w:b/>
          <w:color w:val="000000" w:themeColor="text1"/>
          <w:sz w:val="22"/>
          <w:szCs w:val="22"/>
        </w:rPr>
        <w:t>tals within the EAHA</w:t>
      </w:r>
      <w:r w:rsidR="002C2161" w:rsidRPr="003F5A77">
        <w:rPr>
          <w:rFonts w:asciiTheme="minorHAnsi" w:hAnsiTheme="minorHAnsi" w:cs="Arial"/>
          <w:b/>
          <w:color w:val="000000" w:themeColor="text1"/>
          <w:sz w:val="22"/>
          <w:szCs w:val="22"/>
        </w:rPr>
        <w:t xml:space="preserve"> approximated</w:t>
      </w:r>
      <w:r w:rsidR="00970F6D" w:rsidRPr="003F5A77">
        <w:rPr>
          <w:rFonts w:asciiTheme="minorHAnsi" w:hAnsiTheme="minorHAnsi" w:cs="Arial"/>
          <w:b/>
          <w:color w:val="000000" w:themeColor="text1"/>
          <w:sz w:val="22"/>
          <w:szCs w:val="22"/>
        </w:rPr>
        <w:t xml:space="preserve"> at </w:t>
      </w:r>
      <w:r w:rsidR="002C2161" w:rsidRPr="003F5A77">
        <w:rPr>
          <w:rFonts w:asciiTheme="minorHAnsi" w:hAnsiTheme="minorHAnsi" w:cs="Arial"/>
          <w:b/>
          <w:color w:val="000000" w:themeColor="text1"/>
          <w:sz w:val="22"/>
          <w:szCs w:val="22"/>
        </w:rPr>
        <w:t xml:space="preserve">54% </w:t>
      </w:r>
      <w:r w:rsidR="002C2161" w:rsidRPr="003F5A77">
        <w:rPr>
          <w:rFonts w:asciiTheme="minorHAnsi" w:hAnsiTheme="minorHAnsi" w:cs="Arial"/>
          <w:color w:val="000000" w:themeColor="text1"/>
          <w:sz w:val="22"/>
          <w:szCs w:val="22"/>
        </w:rPr>
        <w:t>(7272 social housing units plus an estimated 2040 affordable rentals</w:t>
      </w:r>
      <w:r w:rsidR="000D4497" w:rsidRPr="003F5A77">
        <w:rPr>
          <w:rFonts w:asciiTheme="minorHAnsi" w:hAnsiTheme="minorHAnsi" w:cs="Arial"/>
          <w:color w:val="000000" w:themeColor="text1"/>
          <w:sz w:val="22"/>
          <w:szCs w:val="22"/>
        </w:rPr>
        <w:t>, to service a target market within the region of 17,270</w:t>
      </w:r>
      <w:r w:rsidR="00312E7A" w:rsidRPr="003F5A77">
        <w:rPr>
          <w:rFonts w:asciiTheme="minorHAnsi" w:hAnsiTheme="minorHAnsi" w:cs="Arial"/>
          <w:color w:val="000000" w:themeColor="text1"/>
          <w:sz w:val="22"/>
          <w:szCs w:val="22"/>
        </w:rPr>
        <w:t>)</w:t>
      </w:r>
      <w:r w:rsidRPr="003F5A77">
        <w:rPr>
          <w:rFonts w:asciiTheme="minorHAnsi" w:hAnsiTheme="minorHAnsi" w:cs="Arial"/>
          <w:color w:val="000000" w:themeColor="text1"/>
          <w:sz w:val="22"/>
          <w:szCs w:val="22"/>
        </w:rPr>
        <w:t>.</w:t>
      </w:r>
    </w:p>
    <w:p w:rsidR="001077D6" w:rsidRPr="003F5A77" w:rsidRDefault="001077D6" w:rsidP="00170B62">
      <w:pPr>
        <w:pStyle w:val="ListParagraph"/>
        <w:numPr>
          <w:ilvl w:val="0"/>
          <w:numId w:val="2"/>
        </w:numPr>
        <w:spacing w:after="120"/>
        <w:ind w:left="-425" w:hanging="425"/>
        <w:contextualSpacing w:val="0"/>
        <w:rPr>
          <w:rFonts w:asciiTheme="minorHAnsi" w:hAnsiTheme="minorHAnsi" w:cs="Arial"/>
          <w:b/>
          <w:color w:val="000000" w:themeColor="text1"/>
          <w:sz w:val="22"/>
          <w:szCs w:val="22"/>
        </w:rPr>
      </w:pPr>
      <w:r w:rsidRPr="003F5A77">
        <w:rPr>
          <w:rFonts w:asciiTheme="minorHAnsi" w:hAnsiTheme="minorHAnsi" w:cs="Arial"/>
          <w:color w:val="000000" w:themeColor="text1"/>
          <w:sz w:val="22"/>
          <w:szCs w:val="22"/>
        </w:rPr>
        <w:t>Capacity to meet low-cost housing need varies con</w:t>
      </w:r>
      <w:r w:rsidR="00684BB3" w:rsidRPr="003F5A77">
        <w:rPr>
          <w:rFonts w:asciiTheme="minorHAnsi" w:hAnsiTheme="minorHAnsi" w:cs="Arial"/>
          <w:color w:val="000000" w:themeColor="text1"/>
          <w:sz w:val="22"/>
          <w:szCs w:val="22"/>
        </w:rPr>
        <w:t xml:space="preserve">siderably within </w:t>
      </w:r>
      <w:proofErr w:type="gramStart"/>
      <w:r w:rsidR="00684BB3" w:rsidRPr="003F5A77">
        <w:rPr>
          <w:rFonts w:asciiTheme="minorHAnsi" w:hAnsiTheme="minorHAnsi" w:cs="Arial"/>
          <w:color w:val="000000" w:themeColor="text1"/>
          <w:sz w:val="22"/>
          <w:szCs w:val="22"/>
        </w:rPr>
        <w:t>the  EAHA</w:t>
      </w:r>
      <w:proofErr w:type="gramEnd"/>
      <w:r w:rsidR="00684BB3" w:rsidRPr="003F5A77">
        <w:rPr>
          <w:rFonts w:asciiTheme="minorHAnsi" w:hAnsiTheme="minorHAnsi" w:cs="Arial"/>
          <w:color w:val="000000" w:themeColor="text1"/>
          <w:sz w:val="22"/>
          <w:szCs w:val="22"/>
        </w:rPr>
        <w:t xml:space="preserve"> councils</w:t>
      </w:r>
      <w:r w:rsidRPr="003F5A77">
        <w:rPr>
          <w:rFonts w:asciiTheme="minorHAnsi" w:hAnsiTheme="minorHAnsi" w:cs="Arial"/>
          <w:color w:val="000000" w:themeColor="text1"/>
          <w:sz w:val="22"/>
          <w:szCs w:val="22"/>
        </w:rPr>
        <w:t xml:space="preserve">. Current levels of social and affordable rental housing can meet the low-cost housing needs of (at best) 93% of target households in Maroondah, to only one in five (21%) of relevant households in Manningham. </w:t>
      </w:r>
    </w:p>
    <w:p w:rsidR="001077D6" w:rsidRPr="003F5A77" w:rsidRDefault="007572C0" w:rsidP="00170B62">
      <w:pPr>
        <w:pStyle w:val="ListParagraph"/>
        <w:spacing w:after="120"/>
        <w:ind w:left="-425"/>
        <w:contextualSpacing w:val="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Without intervention, the capacity to meet low-cost housing needs will continue to </w:t>
      </w:r>
      <w:r w:rsidRPr="003F5A77">
        <w:rPr>
          <w:rFonts w:asciiTheme="minorHAnsi" w:hAnsiTheme="minorHAnsi" w:cs="Arial"/>
          <w:b/>
          <w:i/>
          <w:color w:val="000000" w:themeColor="text1"/>
          <w:sz w:val="22"/>
          <w:szCs w:val="22"/>
        </w:rPr>
        <w:t xml:space="preserve">decline </w:t>
      </w:r>
      <w:r w:rsidRPr="003F5A77">
        <w:rPr>
          <w:rFonts w:asciiTheme="minorHAnsi" w:hAnsiTheme="minorHAnsi" w:cs="Arial"/>
          <w:b/>
          <w:color w:val="000000" w:themeColor="text1"/>
          <w:sz w:val="22"/>
          <w:szCs w:val="22"/>
        </w:rPr>
        <w:t xml:space="preserve">in all local government areas in the </w:t>
      </w:r>
      <w:proofErr w:type="gramStart"/>
      <w:r w:rsidRPr="003F5A77">
        <w:rPr>
          <w:rFonts w:asciiTheme="minorHAnsi" w:hAnsiTheme="minorHAnsi" w:cs="Arial"/>
          <w:b/>
          <w:color w:val="000000" w:themeColor="text1"/>
          <w:sz w:val="22"/>
          <w:szCs w:val="22"/>
        </w:rPr>
        <w:t>EAH</w:t>
      </w:r>
      <w:r w:rsidR="00684BB3" w:rsidRPr="003F5A77">
        <w:rPr>
          <w:rFonts w:asciiTheme="minorHAnsi" w:hAnsiTheme="minorHAnsi" w:cs="Arial"/>
          <w:b/>
          <w:color w:val="000000" w:themeColor="text1"/>
          <w:sz w:val="22"/>
          <w:szCs w:val="22"/>
        </w:rPr>
        <w:t xml:space="preserve">A </w:t>
      </w:r>
      <w:r w:rsidRPr="003F5A77">
        <w:rPr>
          <w:rFonts w:asciiTheme="minorHAnsi" w:hAnsiTheme="minorHAnsi" w:cs="Arial"/>
          <w:b/>
          <w:color w:val="000000" w:themeColor="text1"/>
          <w:sz w:val="22"/>
          <w:szCs w:val="22"/>
        </w:rPr>
        <w:t xml:space="preserve"> </w:t>
      </w:r>
      <w:r w:rsidRPr="003F5A77">
        <w:rPr>
          <w:rFonts w:asciiTheme="minorHAnsi" w:hAnsiTheme="minorHAnsi" w:cs="Arial"/>
          <w:color w:val="000000" w:themeColor="text1"/>
          <w:sz w:val="22"/>
          <w:szCs w:val="22"/>
        </w:rPr>
        <w:t>(</w:t>
      </w:r>
      <w:proofErr w:type="gramEnd"/>
      <w:r w:rsidRPr="003F5A77">
        <w:rPr>
          <w:rFonts w:asciiTheme="minorHAnsi" w:hAnsiTheme="minorHAnsi" w:cs="Arial"/>
          <w:color w:val="000000" w:themeColor="text1"/>
          <w:sz w:val="22"/>
          <w:szCs w:val="22"/>
        </w:rPr>
        <w:t>Tables 2.2 to 2.7 below)</w:t>
      </w:r>
    </w:p>
    <w:p w:rsidR="007572C0" w:rsidRPr="003F5A77" w:rsidRDefault="007572C0" w:rsidP="00170B62">
      <w:pPr>
        <w:pStyle w:val="ListParagraph"/>
        <w:spacing w:after="120"/>
        <w:ind w:left="-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It can only be assumed that the lowest income households in the </w:t>
      </w:r>
      <w:proofErr w:type="gramStart"/>
      <w:r w:rsidRPr="003F5A77">
        <w:rPr>
          <w:rFonts w:asciiTheme="minorHAnsi" w:hAnsiTheme="minorHAnsi" w:cs="Arial"/>
          <w:color w:val="000000" w:themeColor="text1"/>
          <w:sz w:val="22"/>
          <w:szCs w:val="22"/>
        </w:rPr>
        <w:t>EAH</w:t>
      </w:r>
      <w:r w:rsidR="00684BB3" w:rsidRPr="003F5A77">
        <w:rPr>
          <w:rFonts w:asciiTheme="minorHAnsi" w:hAnsiTheme="minorHAnsi" w:cs="Arial"/>
          <w:color w:val="000000" w:themeColor="text1"/>
          <w:sz w:val="22"/>
          <w:szCs w:val="22"/>
        </w:rPr>
        <w:t xml:space="preserve">A </w:t>
      </w:r>
      <w:r w:rsidRPr="003F5A77">
        <w:rPr>
          <w:rFonts w:asciiTheme="minorHAnsi" w:hAnsiTheme="minorHAnsi" w:cs="Arial"/>
          <w:color w:val="000000" w:themeColor="text1"/>
          <w:sz w:val="22"/>
          <w:szCs w:val="22"/>
        </w:rPr>
        <w:t xml:space="preserve"> that</w:t>
      </w:r>
      <w:proofErr w:type="gramEnd"/>
      <w:r w:rsidRPr="003F5A77">
        <w:rPr>
          <w:rFonts w:asciiTheme="minorHAnsi" w:hAnsiTheme="minorHAnsi" w:cs="Arial"/>
          <w:color w:val="000000" w:themeColor="text1"/>
          <w:sz w:val="22"/>
          <w:szCs w:val="22"/>
        </w:rPr>
        <w:t xml:space="preserve"> fall outside this capacity level, are experiencing significant rental stress and financial hardship. The more money spent on rent, the less these households have for other </w:t>
      </w:r>
      <w:proofErr w:type="gramStart"/>
      <w:r w:rsidRPr="003F5A77">
        <w:rPr>
          <w:rFonts w:asciiTheme="minorHAnsi" w:hAnsiTheme="minorHAnsi" w:cs="Arial"/>
          <w:color w:val="000000" w:themeColor="text1"/>
          <w:sz w:val="22"/>
          <w:szCs w:val="22"/>
        </w:rPr>
        <w:t>basic necessities</w:t>
      </w:r>
      <w:proofErr w:type="gramEnd"/>
      <w:r w:rsidRPr="003F5A77">
        <w:rPr>
          <w:rFonts w:asciiTheme="minorHAnsi" w:hAnsiTheme="minorHAnsi" w:cs="Arial"/>
          <w:color w:val="000000" w:themeColor="text1"/>
          <w:sz w:val="22"/>
          <w:szCs w:val="22"/>
        </w:rPr>
        <w:t>.</w:t>
      </w:r>
    </w:p>
    <w:p w:rsidR="00AA2BCB" w:rsidRPr="003F5A77" w:rsidRDefault="00AA2BCB" w:rsidP="00170B62">
      <w:pPr>
        <w:pStyle w:val="ListParagraph"/>
        <w:numPr>
          <w:ilvl w:val="0"/>
          <w:numId w:val="2"/>
        </w:numPr>
        <w:spacing w:after="120"/>
        <w:ind w:left="-425" w:hanging="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Culmination of the abo</w:t>
      </w:r>
      <w:r w:rsidR="00967BAA" w:rsidRPr="003F5A77">
        <w:rPr>
          <w:rFonts w:asciiTheme="minorHAnsi" w:hAnsiTheme="minorHAnsi" w:cs="Arial"/>
          <w:color w:val="000000" w:themeColor="text1"/>
          <w:sz w:val="22"/>
          <w:szCs w:val="22"/>
        </w:rPr>
        <w:t xml:space="preserve">ve components to create a </w:t>
      </w:r>
      <w:r w:rsidR="00967BAA" w:rsidRPr="003F5A77">
        <w:rPr>
          <w:rFonts w:asciiTheme="minorHAnsi" w:hAnsiTheme="minorHAnsi" w:cs="Arial"/>
          <w:b/>
          <w:color w:val="000000" w:themeColor="text1"/>
          <w:sz w:val="22"/>
          <w:szCs w:val="22"/>
        </w:rPr>
        <w:t>social</w:t>
      </w:r>
      <w:r w:rsidR="00967BAA" w:rsidRPr="003F5A77">
        <w:rPr>
          <w:rFonts w:asciiTheme="minorHAnsi" w:hAnsiTheme="minorHAnsi" w:cs="Arial"/>
          <w:color w:val="000000" w:themeColor="text1"/>
          <w:sz w:val="22"/>
          <w:szCs w:val="22"/>
        </w:rPr>
        <w:t xml:space="preserve"> </w:t>
      </w:r>
      <w:r w:rsidR="00967BAA" w:rsidRPr="003F5A77">
        <w:rPr>
          <w:rFonts w:asciiTheme="minorHAnsi" w:hAnsiTheme="minorHAnsi" w:cs="Arial"/>
          <w:b/>
          <w:color w:val="000000" w:themeColor="text1"/>
          <w:sz w:val="22"/>
          <w:szCs w:val="22"/>
        </w:rPr>
        <w:t>housing shortfall of 7970</w:t>
      </w:r>
      <w:r w:rsidR="00967BAA" w:rsidRPr="003F5A77">
        <w:rPr>
          <w:rFonts w:asciiTheme="minorHAnsi" w:hAnsiTheme="minorHAnsi" w:cs="Arial"/>
          <w:color w:val="000000" w:themeColor="text1"/>
          <w:sz w:val="22"/>
          <w:szCs w:val="22"/>
        </w:rPr>
        <w:t xml:space="preserve"> </w:t>
      </w:r>
      <w:r w:rsidR="00684BB3" w:rsidRPr="003F5A77">
        <w:rPr>
          <w:rFonts w:asciiTheme="minorHAnsi" w:hAnsiTheme="minorHAnsi" w:cs="Arial"/>
          <w:b/>
          <w:color w:val="000000" w:themeColor="text1"/>
          <w:sz w:val="22"/>
          <w:szCs w:val="22"/>
        </w:rPr>
        <w:t>with</w:t>
      </w:r>
      <w:r w:rsidR="00967BAA" w:rsidRPr="003F5A77">
        <w:rPr>
          <w:rFonts w:asciiTheme="minorHAnsi" w:hAnsiTheme="minorHAnsi" w:cs="Arial"/>
          <w:b/>
          <w:color w:val="000000" w:themeColor="text1"/>
          <w:sz w:val="22"/>
          <w:szCs w:val="22"/>
        </w:rPr>
        <w:t>in</w:t>
      </w:r>
      <w:r w:rsidR="00684BB3" w:rsidRPr="003F5A77">
        <w:rPr>
          <w:rFonts w:asciiTheme="minorHAnsi" w:hAnsiTheme="minorHAnsi" w:cs="Arial"/>
          <w:b/>
          <w:color w:val="000000" w:themeColor="text1"/>
          <w:sz w:val="22"/>
          <w:szCs w:val="22"/>
        </w:rPr>
        <w:t xml:space="preserve"> the EAHA in </w:t>
      </w:r>
      <w:proofErr w:type="gramStart"/>
      <w:r w:rsidR="00967BAA" w:rsidRPr="003F5A77">
        <w:rPr>
          <w:rFonts w:asciiTheme="minorHAnsi" w:hAnsiTheme="minorHAnsi" w:cs="Arial"/>
          <w:b/>
          <w:color w:val="000000" w:themeColor="text1"/>
          <w:sz w:val="22"/>
          <w:szCs w:val="22"/>
        </w:rPr>
        <w:t>2016</w:t>
      </w:r>
      <w:r w:rsidR="00360F7D" w:rsidRPr="003F5A77">
        <w:rPr>
          <w:rFonts w:asciiTheme="minorHAnsi" w:hAnsiTheme="minorHAnsi" w:cs="Arial"/>
          <w:b/>
          <w:color w:val="000000" w:themeColor="text1"/>
          <w:sz w:val="22"/>
          <w:szCs w:val="22"/>
        </w:rPr>
        <w:t xml:space="preserve">, </w:t>
      </w:r>
      <w:r w:rsidR="00967BAA" w:rsidRPr="003F5A77">
        <w:rPr>
          <w:rFonts w:asciiTheme="minorHAnsi" w:hAnsiTheme="minorHAnsi" w:cs="Arial"/>
          <w:color w:val="000000" w:themeColor="text1"/>
          <w:sz w:val="22"/>
          <w:szCs w:val="22"/>
        </w:rPr>
        <w:t xml:space="preserve"> and</w:t>
      </w:r>
      <w:proofErr w:type="gramEnd"/>
      <w:r w:rsidR="00967BAA" w:rsidRPr="003F5A77">
        <w:rPr>
          <w:rFonts w:asciiTheme="minorHAnsi" w:hAnsiTheme="minorHAnsi" w:cs="Arial"/>
          <w:color w:val="000000" w:themeColor="text1"/>
          <w:sz w:val="22"/>
          <w:szCs w:val="22"/>
        </w:rPr>
        <w:t xml:space="preserve"> increasing to </w:t>
      </w:r>
      <w:r w:rsidR="00D25EA4" w:rsidRPr="003F5A77">
        <w:rPr>
          <w:rFonts w:asciiTheme="minorHAnsi" w:hAnsiTheme="minorHAnsi" w:cs="Arial"/>
          <w:b/>
          <w:sz w:val="22"/>
          <w:szCs w:val="22"/>
        </w:rPr>
        <w:t>11,420</w:t>
      </w:r>
      <w:r w:rsidR="00967BAA" w:rsidRPr="003F5A77">
        <w:rPr>
          <w:rFonts w:asciiTheme="minorHAnsi" w:hAnsiTheme="minorHAnsi" w:cs="Arial"/>
          <w:b/>
          <w:sz w:val="22"/>
          <w:szCs w:val="22"/>
        </w:rPr>
        <w:t xml:space="preserve"> </w:t>
      </w:r>
      <w:r w:rsidR="00967BAA" w:rsidRPr="003F5A77">
        <w:rPr>
          <w:rFonts w:asciiTheme="minorHAnsi" w:hAnsiTheme="minorHAnsi" w:cs="Arial"/>
          <w:b/>
          <w:color w:val="000000" w:themeColor="text1"/>
          <w:sz w:val="22"/>
          <w:szCs w:val="22"/>
        </w:rPr>
        <w:t>by 2036</w:t>
      </w:r>
      <w:r w:rsidR="00967BAA" w:rsidRPr="003F5A77">
        <w:rPr>
          <w:rFonts w:asciiTheme="minorHAnsi" w:hAnsiTheme="minorHAnsi" w:cs="Arial"/>
          <w:color w:val="000000" w:themeColor="text1"/>
          <w:sz w:val="22"/>
          <w:szCs w:val="22"/>
        </w:rPr>
        <w:t xml:space="preserve"> if action is not taken.</w:t>
      </w:r>
    </w:p>
    <w:p w:rsidR="00EE7834" w:rsidRPr="003F5A77" w:rsidRDefault="00EE7834" w:rsidP="000044F0">
      <w:pPr>
        <w:pStyle w:val="ListParagraph"/>
        <w:ind w:left="-851"/>
        <w:rPr>
          <w:rFonts w:asciiTheme="minorHAnsi" w:hAnsiTheme="minorHAnsi" w:cs="Arial"/>
          <w:color w:val="000000" w:themeColor="text1"/>
          <w:sz w:val="22"/>
          <w:szCs w:val="22"/>
        </w:rPr>
      </w:pPr>
    </w:p>
    <w:p w:rsidR="00EE7834" w:rsidRPr="003F5A77" w:rsidRDefault="00EE7834" w:rsidP="000044F0">
      <w:pPr>
        <w:ind w:left="-851"/>
        <w:rPr>
          <w:rFonts w:ascii="Calibri" w:eastAsiaTheme="majorEastAsia" w:hAnsi="Calibri" w:cstheme="majorBidi"/>
          <w:color w:val="1F497D" w:themeColor="text2"/>
          <w:lang w:val="en-US" w:eastAsia="en-US"/>
        </w:rPr>
      </w:pPr>
      <w:r w:rsidRPr="003F5A77">
        <w:rPr>
          <w:rFonts w:ascii="Calibri" w:eastAsiaTheme="majorEastAsia" w:hAnsi="Calibri" w:cstheme="majorBidi"/>
          <w:color w:val="1F497D" w:themeColor="text2"/>
          <w:lang w:val="en-US" w:eastAsia="en-US"/>
        </w:rPr>
        <w:t>Key changes since the last review</w:t>
      </w:r>
    </w:p>
    <w:p w:rsidR="00EE7834" w:rsidRPr="003F5A77" w:rsidRDefault="00EE7834" w:rsidP="000044F0">
      <w:pPr>
        <w:ind w:left="-851"/>
        <w:rPr>
          <w:rFonts w:asciiTheme="minorHAnsi" w:hAnsiTheme="minorHAnsi" w:cs="Arial"/>
          <w:color w:val="000000" w:themeColor="text1"/>
          <w:sz w:val="22"/>
          <w:szCs w:val="22"/>
        </w:rPr>
      </w:pPr>
    </w:p>
    <w:p w:rsidR="00360F7D" w:rsidRPr="003F5A77" w:rsidRDefault="00E61D2B"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S</w:t>
      </w:r>
      <w:r w:rsidR="00360F7D" w:rsidRPr="003F5A77">
        <w:rPr>
          <w:rFonts w:asciiTheme="minorHAnsi" w:hAnsiTheme="minorHAnsi" w:cs="Arial"/>
          <w:color w:val="000000" w:themeColor="text1"/>
          <w:sz w:val="22"/>
          <w:szCs w:val="22"/>
        </w:rPr>
        <w:t xml:space="preserve">ocial housing need in the EAHA </w:t>
      </w:r>
      <w:r w:rsidRPr="003F5A77">
        <w:rPr>
          <w:rFonts w:asciiTheme="minorHAnsi" w:hAnsiTheme="minorHAnsi" w:cs="Arial"/>
          <w:color w:val="000000" w:themeColor="text1"/>
          <w:sz w:val="22"/>
          <w:szCs w:val="22"/>
        </w:rPr>
        <w:t xml:space="preserve">was first assessed in 2010, with two reviews undertaken since, </w:t>
      </w:r>
      <w:r w:rsidR="00EE6681" w:rsidRPr="003F5A77">
        <w:rPr>
          <w:rFonts w:asciiTheme="minorHAnsi" w:hAnsiTheme="minorHAnsi" w:cs="Arial"/>
          <w:color w:val="000000" w:themeColor="text1"/>
          <w:sz w:val="22"/>
          <w:szCs w:val="22"/>
        </w:rPr>
        <w:t>in 201</w:t>
      </w:r>
      <w:r w:rsidR="003856D9" w:rsidRPr="003F5A77">
        <w:rPr>
          <w:rFonts w:asciiTheme="minorHAnsi" w:hAnsiTheme="minorHAnsi" w:cs="Arial"/>
          <w:color w:val="000000" w:themeColor="text1"/>
          <w:sz w:val="22"/>
          <w:szCs w:val="22"/>
        </w:rPr>
        <w:t>4,</w:t>
      </w:r>
      <w:r w:rsidRPr="003F5A77">
        <w:rPr>
          <w:rFonts w:asciiTheme="minorHAnsi" w:hAnsiTheme="minorHAnsi" w:cs="Arial"/>
          <w:color w:val="000000" w:themeColor="text1"/>
          <w:sz w:val="22"/>
          <w:szCs w:val="22"/>
        </w:rPr>
        <w:t xml:space="preserve"> and the present, 2017 update.</w:t>
      </w:r>
    </w:p>
    <w:p w:rsidR="00EE7834" w:rsidRPr="003F5A77" w:rsidRDefault="00EE7834" w:rsidP="000044F0">
      <w:pPr>
        <w:ind w:left="-851"/>
        <w:rPr>
          <w:rFonts w:asciiTheme="minorHAnsi" w:hAnsiTheme="minorHAnsi" w:cs="Arial"/>
          <w:color w:val="000000" w:themeColor="text1"/>
          <w:sz w:val="22"/>
          <w:szCs w:val="22"/>
        </w:rPr>
      </w:pPr>
    </w:p>
    <w:p w:rsidR="00EE7834" w:rsidRPr="003F5A77" w:rsidRDefault="00364DC3" w:rsidP="00170B62">
      <w:pPr>
        <w:pStyle w:val="ListParagraph"/>
        <w:numPr>
          <w:ilvl w:val="0"/>
          <w:numId w:val="2"/>
        </w:numPr>
        <w:spacing w:after="120"/>
        <w:ind w:left="-426" w:hanging="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There has been a </w:t>
      </w:r>
      <w:r w:rsidR="009B71E4" w:rsidRPr="003F5A77">
        <w:rPr>
          <w:rFonts w:asciiTheme="minorHAnsi" w:hAnsiTheme="minorHAnsi" w:cs="Arial"/>
          <w:b/>
          <w:color w:val="000000" w:themeColor="text1"/>
          <w:sz w:val="22"/>
          <w:szCs w:val="22"/>
        </w:rPr>
        <w:t>7% increase</w:t>
      </w:r>
      <w:r w:rsidR="009B71E4" w:rsidRPr="003F5A77">
        <w:rPr>
          <w:rFonts w:asciiTheme="minorHAnsi" w:hAnsiTheme="minorHAnsi" w:cs="Arial"/>
          <w:color w:val="000000" w:themeColor="text1"/>
          <w:sz w:val="22"/>
          <w:szCs w:val="22"/>
        </w:rPr>
        <w:t xml:space="preserve"> (119</w:t>
      </w:r>
      <w:r w:rsidR="00EE7834" w:rsidRPr="003F5A77">
        <w:rPr>
          <w:rFonts w:asciiTheme="minorHAnsi" w:hAnsiTheme="minorHAnsi" w:cs="Arial"/>
          <w:color w:val="000000" w:themeColor="text1"/>
          <w:sz w:val="22"/>
          <w:szCs w:val="22"/>
        </w:rPr>
        <w:t xml:space="preserve">0 households) </w:t>
      </w:r>
      <w:r w:rsidR="00EE7834" w:rsidRPr="003F5A77">
        <w:rPr>
          <w:rFonts w:asciiTheme="minorHAnsi" w:hAnsiTheme="minorHAnsi" w:cs="Arial"/>
          <w:b/>
          <w:color w:val="000000" w:themeColor="text1"/>
          <w:sz w:val="22"/>
          <w:szCs w:val="22"/>
        </w:rPr>
        <w:t>in number of households</w:t>
      </w:r>
      <w:r w:rsidR="00360F7D" w:rsidRPr="003F5A77">
        <w:rPr>
          <w:rFonts w:asciiTheme="minorHAnsi" w:hAnsiTheme="minorHAnsi" w:cs="Arial"/>
          <w:color w:val="000000" w:themeColor="text1"/>
          <w:sz w:val="22"/>
          <w:szCs w:val="22"/>
        </w:rPr>
        <w:t xml:space="preserve"> in the EAHA</w:t>
      </w:r>
      <w:r w:rsidR="00EE7834" w:rsidRPr="003F5A77">
        <w:rPr>
          <w:rFonts w:asciiTheme="minorHAnsi" w:hAnsiTheme="minorHAnsi" w:cs="Arial"/>
          <w:color w:val="000000" w:themeColor="text1"/>
          <w:sz w:val="22"/>
          <w:szCs w:val="22"/>
        </w:rPr>
        <w:t xml:space="preserve"> </w:t>
      </w:r>
      <w:r w:rsidR="00360F7D" w:rsidRPr="003F5A77">
        <w:rPr>
          <w:rFonts w:asciiTheme="minorHAnsi" w:hAnsiTheme="minorHAnsi" w:cs="Arial"/>
          <w:b/>
          <w:color w:val="000000" w:themeColor="text1"/>
          <w:sz w:val="22"/>
          <w:szCs w:val="22"/>
        </w:rPr>
        <w:t>with</w:t>
      </w:r>
      <w:r w:rsidR="00EE7834" w:rsidRPr="003F5A77">
        <w:rPr>
          <w:rFonts w:asciiTheme="minorHAnsi" w:hAnsiTheme="minorHAnsi" w:cs="Arial"/>
          <w:b/>
          <w:color w:val="000000" w:themeColor="text1"/>
          <w:sz w:val="22"/>
          <w:szCs w:val="22"/>
        </w:rPr>
        <w:t>in the ‘target</w:t>
      </w:r>
      <w:r w:rsidR="009B71E4" w:rsidRPr="003F5A77">
        <w:rPr>
          <w:rFonts w:asciiTheme="minorHAnsi" w:hAnsiTheme="minorHAnsi" w:cs="Arial"/>
          <w:b/>
          <w:color w:val="000000" w:themeColor="text1"/>
          <w:sz w:val="22"/>
          <w:szCs w:val="22"/>
        </w:rPr>
        <w:t>’ market</w:t>
      </w:r>
      <w:r w:rsidR="009B71E4" w:rsidRPr="003F5A77">
        <w:rPr>
          <w:rFonts w:asciiTheme="minorHAnsi" w:hAnsiTheme="minorHAnsi" w:cs="Arial"/>
          <w:color w:val="000000" w:themeColor="text1"/>
          <w:sz w:val="22"/>
          <w:szCs w:val="22"/>
        </w:rPr>
        <w:t>, increasing from an estimated 16,080 households in 2014, to 17,270 in 2017.</w:t>
      </w:r>
    </w:p>
    <w:p w:rsidR="00DE3081" w:rsidRPr="003F5A77" w:rsidRDefault="0054462B" w:rsidP="00170B62">
      <w:pPr>
        <w:pStyle w:val="ListParagraph"/>
        <w:numPr>
          <w:ilvl w:val="0"/>
          <w:numId w:val="2"/>
        </w:numPr>
        <w:spacing w:after="120"/>
        <w:ind w:left="-426" w:hanging="425"/>
        <w:contextualSpacing w:val="0"/>
        <w:rPr>
          <w:rFonts w:asciiTheme="minorHAnsi" w:hAnsiTheme="minorHAnsi" w:cs="Arial"/>
          <w:b/>
          <w:sz w:val="22"/>
          <w:szCs w:val="22"/>
        </w:rPr>
      </w:pPr>
      <w:r w:rsidRPr="003F5A77">
        <w:rPr>
          <w:rFonts w:asciiTheme="minorHAnsi" w:hAnsiTheme="minorHAnsi" w:cs="Arial"/>
          <w:sz w:val="22"/>
          <w:szCs w:val="22"/>
        </w:rPr>
        <w:t>Over</w:t>
      </w:r>
      <w:r w:rsidR="00BD6BF0" w:rsidRPr="003F5A77">
        <w:rPr>
          <w:rFonts w:asciiTheme="minorHAnsi" w:hAnsiTheme="minorHAnsi" w:cs="Arial"/>
          <w:sz w:val="22"/>
          <w:szCs w:val="22"/>
        </w:rPr>
        <w:t xml:space="preserve"> the same time</w:t>
      </w:r>
      <w:r w:rsidR="00EE6681" w:rsidRPr="003F5A77">
        <w:rPr>
          <w:rFonts w:asciiTheme="minorHAnsi" w:hAnsiTheme="minorHAnsi" w:cs="Arial"/>
          <w:sz w:val="22"/>
          <w:szCs w:val="22"/>
        </w:rPr>
        <w:t>,</w:t>
      </w:r>
      <w:r w:rsidR="00BD6BF0" w:rsidRPr="003F5A77">
        <w:rPr>
          <w:rFonts w:asciiTheme="minorHAnsi" w:hAnsiTheme="minorHAnsi" w:cs="Arial"/>
          <w:sz w:val="22"/>
          <w:szCs w:val="22"/>
        </w:rPr>
        <w:t xml:space="preserve"> </w:t>
      </w:r>
      <w:r w:rsidR="00BD6BF0" w:rsidRPr="003F5A77">
        <w:rPr>
          <w:rFonts w:asciiTheme="minorHAnsi" w:hAnsiTheme="minorHAnsi" w:cs="Arial"/>
          <w:b/>
          <w:sz w:val="22"/>
          <w:szCs w:val="22"/>
        </w:rPr>
        <w:t>growth in the amount of social</w:t>
      </w:r>
      <w:r w:rsidR="00360F7D" w:rsidRPr="003F5A77">
        <w:rPr>
          <w:rFonts w:asciiTheme="minorHAnsi" w:hAnsiTheme="minorHAnsi" w:cs="Arial"/>
          <w:b/>
          <w:sz w:val="22"/>
          <w:szCs w:val="22"/>
        </w:rPr>
        <w:t xml:space="preserve"> housing stock in the EAHA</w:t>
      </w:r>
      <w:r w:rsidR="00BD6BF0" w:rsidRPr="003F5A77">
        <w:rPr>
          <w:rFonts w:asciiTheme="minorHAnsi" w:hAnsiTheme="minorHAnsi" w:cs="Arial"/>
          <w:b/>
          <w:sz w:val="22"/>
          <w:szCs w:val="22"/>
        </w:rPr>
        <w:t xml:space="preserve"> has </w:t>
      </w:r>
      <w:r w:rsidR="00BD6BF0" w:rsidRPr="003F5A77">
        <w:rPr>
          <w:rFonts w:asciiTheme="minorHAnsi" w:hAnsiTheme="minorHAnsi" w:cs="Arial"/>
          <w:b/>
          <w:i/>
          <w:sz w:val="22"/>
          <w:szCs w:val="22"/>
        </w:rPr>
        <w:t>slowed</w:t>
      </w:r>
      <w:r w:rsidR="00BD6BF0" w:rsidRPr="003F5A77">
        <w:rPr>
          <w:rFonts w:asciiTheme="minorHAnsi" w:hAnsiTheme="minorHAnsi" w:cs="Arial"/>
          <w:b/>
          <w:sz w:val="22"/>
          <w:szCs w:val="22"/>
        </w:rPr>
        <w:t>.</w:t>
      </w:r>
      <w:r w:rsidR="00BD6BF0" w:rsidRPr="003F5A77">
        <w:rPr>
          <w:rFonts w:asciiTheme="minorHAnsi" w:hAnsiTheme="minorHAnsi" w:cs="Arial"/>
          <w:sz w:val="22"/>
          <w:szCs w:val="22"/>
        </w:rPr>
        <w:t xml:space="preserve"> The net number of social housing dwellings grew on average at 176 additional dwell</w:t>
      </w:r>
      <w:r w:rsidR="00EE6681" w:rsidRPr="003F5A77">
        <w:rPr>
          <w:rFonts w:asciiTheme="minorHAnsi" w:hAnsiTheme="minorHAnsi" w:cs="Arial"/>
          <w:sz w:val="22"/>
          <w:szCs w:val="22"/>
        </w:rPr>
        <w:t>ings per annum between the 2010 and 2014</w:t>
      </w:r>
      <w:r w:rsidR="00BD6BF0" w:rsidRPr="003F5A77">
        <w:rPr>
          <w:rFonts w:asciiTheme="minorHAnsi" w:hAnsiTheme="minorHAnsi" w:cs="Arial"/>
          <w:sz w:val="22"/>
          <w:szCs w:val="22"/>
        </w:rPr>
        <w:t xml:space="preserve"> data reviews</w:t>
      </w:r>
      <w:r w:rsidR="00EE6681" w:rsidRPr="003F5A77">
        <w:rPr>
          <w:rStyle w:val="FootnoteReference"/>
          <w:rFonts w:asciiTheme="minorHAnsi" w:hAnsiTheme="minorHAnsi" w:cs="Arial"/>
          <w:sz w:val="22"/>
          <w:szCs w:val="22"/>
        </w:rPr>
        <w:footnoteReference w:id="3"/>
      </w:r>
      <w:r w:rsidR="00BD6BF0" w:rsidRPr="003F5A77">
        <w:rPr>
          <w:rFonts w:asciiTheme="minorHAnsi" w:hAnsiTheme="minorHAnsi" w:cs="Arial"/>
          <w:sz w:val="22"/>
          <w:szCs w:val="22"/>
        </w:rPr>
        <w:t>; and by 74 per annum in more recent years</w:t>
      </w:r>
      <w:r w:rsidR="00EE6681" w:rsidRPr="003F5A77">
        <w:rPr>
          <w:rStyle w:val="FootnoteReference"/>
          <w:rFonts w:asciiTheme="minorHAnsi" w:hAnsiTheme="minorHAnsi" w:cs="Arial"/>
          <w:sz w:val="22"/>
          <w:szCs w:val="22"/>
        </w:rPr>
        <w:footnoteReference w:id="4"/>
      </w:r>
      <w:r w:rsidR="00BD6BF0" w:rsidRPr="003F5A77">
        <w:rPr>
          <w:rFonts w:asciiTheme="minorHAnsi" w:hAnsiTheme="minorHAnsi" w:cs="Arial"/>
          <w:sz w:val="22"/>
          <w:szCs w:val="22"/>
        </w:rPr>
        <w:t xml:space="preserve"> (</w:t>
      </w:r>
      <w:r w:rsidR="00EE6681" w:rsidRPr="003F5A77">
        <w:rPr>
          <w:rFonts w:asciiTheme="minorHAnsi" w:hAnsiTheme="minorHAnsi" w:cs="Arial"/>
          <w:sz w:val="22"/>
          <w:szCs w:val="22"/>
        </w:rPr>
        <w:t xml:space="preserve">based on </w:t>
      </w:r>
      <w:r w:rsidR="00BD6BF0" w:rsidRPr="003F5A77">
        <w:rPr>
          <w:rFonts w:asciiTheme="minorHAnsi" w:hAnsiTheme="minorHAnsi" w:cs="Arial"/>
          <w:sz w:val="22"/>
          <w:szCs w:val="22"/>
        </w:rPr>
        <w:t>2012-2015</w:t>
      </w:r>
      <w:r w:rsidR="00A93E56" w:rsidRPr="003F5A77">
        <w:rPr>
          <w:rFonts w:asciiTheme="minorHAnsi" w:hAnsiTheme="minorHAnsi" w:cs="Arial"/>
          <w:sz w:val="22"/>
          <w:szCs w:val="22"/>
        </w:rPr>
        <w:t xml:space="preserve"> DHHS housing stock data</w:t>
      </w:r>
      <w:r w:rsidR="00BD6BF0" w:rsidRPr="003F5A77">
        <w:rPr>
          <w:rFonts w:asciiTheme="minorHAnsi" w:hAnsiTheme="minorHAnsi" w:cs="Arial"/>
          <w:sz w:val="22"/>
          <w:szCs w:val="22"/>
        </w:rPr>
        <w:t>)</w:t>
      </w:r>
      <w:r w:rsidR="00EE6681" w:rsidRPr="003F5A77">
        <w:rPr>
          <w:rFonts w:asciiTheme="minorHAnsi" w:hAnsiTheme="minorHAnsi" w:cs="Arial"/>
          <w:sz w:val="22"/>
          <w:szCs w:val="22"/>
        </w:rPr>
        <w:t>. This equates to</w:t>
      </w:r>
      <w:r w:rsidR="005558B3" w:rsidRPr="003F5A77">
        <w:rPr>
          <w:rFonts w:asciiTheme="minorHAnsi" w:hAnsiTheme="minorHAnsi" w:cs="Arial"/>
          <w:sz w:val="22"/>
          <w:szCs w:val="22"/>
        </w:rPr>
        <w:t xml:space="preserve"> a total </w:t>
      </w:r>
      <w:r w:rsidR="00EE6681" w:rsidRPr="003F5A77">
        <w:rPr>
          <w:rFonts w:asciiTheme="minorHAnsi" w:hAnsiTheme="minorHAnsi" w:cs="Arial"/>
          <w:sz w:val="22"/>
          <w:szCs w:val="22"/>
        </w:rPr>
        <w:t xml:space="preserve">increase </w:t>
      </w:r>
      <w:r w:rsidR="005558B3" w:rsidRPr="003F5A77">
        <w:rPr>
          <w:rFonts w:asciiTheme="minorHAnsi" w:hAnsiTheme="minorHAnsi" w:cs="Arial"/>
          <w:sz w:val="22"/>
          <w:szCs w:val="22"/>
        </w:rPr>
        <w:t xml:space="preserve">of 222 </w:t>
      </w:r>
      <w:r w:rsidR="00EE6681" w:rsidRPr="003F5A77">
        <w:rPr>
          <w:rFonts w:asciiTheme="minorHAnsi" w:hAnsiTheme="minorHAnsi" w:cs="Arial"/>
          <w:sz w:val="22"/>
          <w:szCs w:val="22"/>
        </w:rPr>
        <w:t xml:space="preserve">social housing </w:t>
      </w:r>
      <w:r w:rsidR="005558B3" w:rsidRPr="003F5A77">
        <w:rPr>
          <w:rFonts w:asciiTheme="minorHAnsi" w:hAnsiTheme="minorHAnsi" w:cs="Arial"/>
          <w:sz w:val="22"/>
          <w:szCs w:val="22"/>
        </w:rPr>
        <w:t>dwellings since the 2014 review.</w:t>
      </w:r>
    </w:p>
    <w:p w:rsidR="00A93E56" w:rsidRPr="003F5A77" w:rsidRDefault="00A93E56" w:rsidP="00170B62">
      <w:pPr>
        <w:pStyle w:val="ListParagraph"/>
        <w:numPr>
          <w:ilvl w:val="0"/>
          <w:numId w:val="2"/>
        </w:numPr>
        <w:spacing w:after="120"/>
        <w:ind w:left="-426" w:hanging="425"/>
        <w:contextualSpacing w:val="0"/>
        <w:rPr>
          <w:rFonts w:asciiTheme="minorHAnsi" w:hAnsiTheme="minorHAnsi" w:cs="Arial"/>
          <w:sz w:val="22"/>
          <w:szCs w:val="22"/>
        </w:rPr>
      </w:pPr>
      <w:proofErr w:type="gramStart"/>
      <w:r w:rsidRPr="003F5A77">
        <w:rPr>
          <w:rFonts w:asciiTheme="minorHAnsi" w:hAnsiTheme="minorHAnsi" w:cs="Arial"/>
          <w:sz w:val="22"/>
          <w:szCs w:val="22"/>
        </w:rPr>
        <w:t>According to</w:t>
      </w:r>
      <w:proofErr w:type="gramEnd"/>
      <w:r w:rsidRPr="003F5A77">
        <w:rPr>
          <w:rFonts w:asciiTheme="minorHAnsi" w:hAnsiTheme="minorHAnsi" w:cs="Arial"/>
          <w:sz w:val="22"/>
          <w:szCs w:val="22"/>
        </w:rPr>
        <w:t xml:space="preserve"> Census data </w:t>
      </w:r>
      <w:r w:rsidRPr="003F5A77">
        <w:rPr>
          <w:rFonts w:asciiTheme="minorHAnsi" w:hAnsiTheme="minorHAnsi" w:cs="Arial"/>
          <w:b/>
          <w:sz w:val="22"/>
          <w:szCs w:val="22"/>
        </w:rPr>
        <w:t>the supply of social housing stock in every EAH</w:t>
      </w:r>
      <w:r w:rsidR="0017431A" w:rsidRPr="003F5A77">
        <w:rPr>
          <w:rFonts w:asciiTheme="minorHAnsi" w:hAnsiTheme="minorHAnsi" w:cs="Arial"/>
          <w:b/>
          <w:sz w:val="22"/>
          <w:szCs w:val="22"/>
        </w:rPr>
        <w:t>A</w:t>
      </w:r>
      <w:r w:rsidRPr="003F5A77">
        <w:rPr>
          <w:rFonts w:asciiTheme="minorHAnsi" w:hAnsiTheme="minorHAnsi" w:cs="Arial"/>
          <w:b/>
          <w:sz w:val="22"/>
          <w:szCs w:val="22"/>
        </w:rPr>
        <w:t xml:space="preserve"> municipality continues to be below the met</w:t>
      </w:r>
      <w:r w:rsidR="005558B3" w:rsidRPr="003F5A77">
        <w:rPr>
          <w:rFonts w:asciiTheme="minorHAnsi" w:hAnsiTheme="minorHAnsi" w:cs="Arial"/>
          <w:b/>
          <w:sz w:val="22"/>
          <w:szCs w:val="22"/>
        </w:rPr>
        <w:t>ropolitan average</w:t>
      </w:r>
      <w:r w:rsidRPr="003F5A77">
        <w:rPr>
          <w:rFonts w:asciiTheme="minorHAnsi" w:hAnsiTheme="minorHAnsi" w:cs="Arial"/>
          <w:sz w:val="22"/>
          <w:szCs w:val="22"/>
        </w:rPr>
        <w:t>.</w:t>
      </w:r>
    </w:p>
    <w:p w:rsidR="00A93E56" w:rsidRPr="003F5A77" w:rsidRDefault="00170B62" w:rsidP="00DF5EDB">
      <w:pPr>
        <w:pStyle w:val="ListParagraph"/>
        <w:spacing w:after="120"/>
        <w:ind w:left="-425" w:hanging="425"/>
        <w:contextualSpacing w:val="0"/>
        <w:rPr>
          <w:rFonts w:asciiTheme="minorHAnsi" w:hAnsiTheme="minorHAnsi" w:cs="Arial"/>
          <w:sz w:val="22"/>
          <w:szCs w:val="22"/>
        </w:rPr>
      </w:pPr>
      <w:r w:rsidRPr="003F5A77">
        <w:rPr>
          <w:rFonts w:asciiTheme="minorHAnsi" w:hAnsiTheme="minorHAnsi" w:cs="Arial"/>
          <w:sz w:val="22"/>
          <w:szCs w:val="22"/>
        </w:rPr>
        <w:tab/>
      </w:r>
      <w:r w:rsidR="00A93E56" w:rsidRPr="003F5A77">
        <w:rPr>
          <w:rFonts w:asciiTheme="minorHAnsi" w:hAnsiTheme="minorHAnsi" w:cs="Arial"/>
          <w:sz w:val="22"/>
          <w:szCs w:val="22"/>
        </w:rPr>
        <w:t>Regional supply has remained at 1.9% ov</w:t>
      </w:r>
      <w:r w:rsidR="005558B3" w:rsidRPr="003F5A77">
        <w:rPr>
          <w:rFonts w:asciiTheme="minorHAnsi" w:hAnsiTheme="minorHAnsi" w:cs="Arial"/>
          <w:sz w:val="22"/>
          <w:szCs w:val="22"/>
        </w:rPr>
        <w:t>er the past three Censuses. This compares</w:t>
      </w:r>
      <w:r w:rsidR="00A93E56" w:rsidRPr="003F5A77">
        <w:rPr>
          <w:rFonts w:asciiTheme="minorHAnsi" w:hAnsiTheme="minorHAnsi" w:cs="Arial"/>
          <w:sz w:val="22"/>
          <w:szCs w:val="22"/>
        </w:rPr>
        <w:t xml:space="preserve"> with a Greater Melbourne supply that has steadily contracted –</w:t>
      </w:r>
      <w:r w:rsidR="005558B3" w:rsidRPr="003F5A77">
        <w:rPr>
          <w:rFonts w:asciiTheme="minorHAnsi" w:hAnsiTheme="minorHAnsi" w:cs="Arial"/>
          <w:sz w:val="22"/>
          <w:szCs w:val="22"/>
        </w:rPr>
        <w:t xml:space="preserve"> from</w:t>
      </w:r>
      <w:r w:rsidR="00A93E56" w:rsidRPr="003F5A77">
        <w:rPr>
          <w:rFonts w:asciiTheme="minorHAnsi" w:hAnsiTheme="minorHAnsi" w:cs="Arial"/>
          <w:sz w:val="22"/>
          <w:szCs w:val="22"/>
        </w:rPr>
        <w:t xml:space="preserve"> 3%</w:t>
      </w:r>
      <w:r w:rsidR="005558B3" w:rsidRPr="003F5A77">
        <w:rPr>
          <w:rFonts w:asciiTheme="minorHAnsi" w:hAnsiTheme="minorHAnsi" w:cs="Arial"/>
          <w:sz w:val="22"/>
          <w:szCs w:val="22"/>
        </w:rPr>
        <w:t xml:space="preserve"> of total households in</w:t>
      </w:r>
      <w:r w:rsidR="00A93E56" w:rsidRPr="003F5A77">
        <w:rPr>
          <w:rFonts w:asciiTheme="minorHAnsi" w:hAnsiTheme="minorHAnsi" w:cs="Arial"/>
          <w:sz w:val="22"/>
          <w:szCs w:val="22"/>
        </w:rPr>
        <w:t xml:space="preserve"> (2006); </w:t>
      </w:r>
      <w:r w:rsidR="005558B3" w:rsidRPr="003F5A77">
        <w:rPr>
          <w:rFonts w:asciiTheme="minorHAnsi" w:hAnsiTheme="minorHAnsi" w:cs="Arial"/>
          <w:sz w:val="22"/>
          <w:szCs w:val="22"/>
        </w:rPr>
        <w:t xml:space="preserve">to </w:t>
      </w:r>
      <w:r w:rsidR="00A93E56" w:rsidRPr="003F5A77">
        <w:rPr>
          <w:rFonts w:asciiTheme="minorHAnsi" w:hAnsiTheme="minorHAnsi" w:cs="Arial"/>
          <w:sz w:val="22"/>
          <w:szCs w:val="22"/>
        </w:rPr>
        <w:t xml:space="preserve">2.9% (2011); </w:t>
      </w:r>
      <w:r w:rsidR="005558B3" w:rsidRPr="003F5A77">
        <w:rPr>
          <w:rFonts w:asciiTheme="minorHAnsi" w:hAnsiTheme="minorHAnsi" w:cs="Arial"/>
          <w:sz w:val="22"/>
          <w:szCs w:val="22"/>
        </w:rPr>
        <w:t xml:space="preserve">and </w:t>
      </w:r>
      <w:r w:rsidR="00A93E56" w:rsidRPr="003F5A77">
        <w:rPr>
          <w:rFonts w:asciiTheme="minorHAnsi" w:hAnsiTheme="minorHAnsi" w:cs="Arial"/>
          <w:sz w:val="22"/>
          <w:szCs w:val="22"/>
        </w:rPr>
        <w:t>2.6% (2016)</w:t>
      </w:r>
      <w:r w:rsidR="00DF5EDB" w:rsidRPr="003F5A77">
        <w:rPr>
          <w:rFonts w:asciiTheme="minorHAnsi" w:hAnsiTheme="minorHAnsi" w:cs="Arial"/>
          <w:sz w:val="22"/>
          <w:szCs w:val="22"/>
        </w:rPr>
        <w:t>.</w:t>
      </w:r>
    </w:p>
    <w:p w:rsidR="00E57E03" w:rsidRPr="003F5A77" w:rsidRDefault="005558B3" w:rsidP="00DF5EDB">
      <w:pPr>
        <w:pStyle w:val="ListParagraph"/>
        <w:numPr>
          <w:ilvl w:val="0"/>
          <w:numId w:val="12"/>
        </w:numPr>
        <w:spacing w:after="120"/>
        <w:ind w:left="-425" w:hanging="425"/>
        <w:contextualSpacing w:val="0"/>
        <w:rPr>
          <w:rFonts w:asciiTheme="minorHAnsi" w:hAnsiTheme="minorHAnsi" w:cs="Arial"/>
          <w:sz w:val="22"/>
          <w:szCs w:val="22"/>
        </w:rPr>
      </w:pPr>
      <w:r w:rsidRPr="003F5A77">
        <w:rPr>
          <w:rFonts w:asciiTheme="minorHAnsi" w:hAnsiTheme="minorHAnsi" w:cs="Arial"/>
          <w:sz w:val="22"/>
          <w:szCs w:val="22"/>
        </w:rPr>
        <w:t>Since the review in 2014 there</w:t>
      </w:r>
      <w:r w:rsidRPr="003F5A77">
        <w:rPr>
          <w:rFonts w:asciiTheme="minorHAnsi" w:hAnsiTheme="minorHAnsi" w:cs="Arial"/>
          <w:b/>
          <w:sz w:val="22"/>
          <w:szCs w:val="22"/>
        </w:rPr>
        <w:t xml:space="preserve"> has been a reduction in </w:t>
      </w:r>
      <w:r w:rsidRPr="003F5A77">
        <w:rPr>
          <w:rFonts w:asciiTheme="minorHAnsi" w:hAnsiTheme="minorHAnsi" w:cs="Arial"/>
          <w:b/>
          <w:i/>
          <w:sz w:val="22"/>
          <w:szCs w:val="22"/>
        </w:rPr>
        <w:t>affordable rentals</w:t>
      </w:r>
      <w:r w:rsidRPr="003F5A77">
        <w:rPr>
          <w:rFonts w:asciiTheme="minorHAnsi" w:hAnsiTheme="minorHAnsi" w:cs="Arial"/>
          <w:b/>
          <w:sz w:val="22"/>
          <w:szCs w:val="22"/>
        </w:rPr>
        <w:t xml:space="preserve"> in </w:t>
      </w:r>
      <w:r w:rsidRPr="003F5A77">
        <w:rPr>
          <w:rFonts w:asciiTheme="minorHAnsi" w:hAnsiTheme="minorHAnsi" w:cs="Arial"/>
          <w:b/>
          <w:i/>
          <w:sz w:val="22"/>
          <w:szCs w:val="22"/>
        </w:rPr>
        <w:t xml:space="preserve">all </w:t>
      </w:r>
      <w:r w:rsidRPr="003F5A77">
        <w:rPr>
          <w:rFonts w:asciiTheme="minorHAnsi" w:hAnsiTheme="minorHAnsi" w:cs="Arial"/>
          <w:b/>
          <w:sz w:val="22"/>
          <w:szCs w:val="22"/>
        </w:rPr>
        <w:t>EAH</w:t>
      </w:r>
      <w:r w:rsidR="0017431A" w:rsidRPr="003F5A77">
        <w:rPr>
          <w:rFonts w:asciiTheme="minorHAnsi" w:hAnsiTheme="minorHAnsi" w:cs="Arial"/>
          <w:b/>
          <w:sz w:val="22"/>
          <w:szCs w:val="22"/>
        </w:rPr>
        <w:t>A</w:t>
      </w:r>
      <w:r w:rsidRPr="003F5A77">
        <w:rPr>
          <w:rFonts w:asciiTheme="minorHAnsi" w:hAnsiTheme="minorHAnsi" w:cs="Arial"/>
          <w:b/>
          <w:sz w:val="22"/>
          <w:szCs w:val="22"/>
        </w:rPr>
        <w:t xml:space="preserve"> municipalities</w:t>
      </w:r>
      <w:r w:rsidR="00E57E03" w:rsidRPr="003F5A77">
        <w:rPr>
          <w:rFonts w:asciiTheme="minorHAnsi" w:hAnsiTheme="minorHAnsi" w:cs="Arial"/>
          <w:b/>
          <w:sz w:val="22"/>
          <w:szCs w:val="22"/>
        </w:rPr>
        <w:t>.</w:t>
      </w:r>
      <w:r w:rsidR="0084735F" w:rsidRPr="003F5A77">
        <w:rPr>
          <w:rFonts w:asciiTheme="minorHAnsi" w:hAnsiTheme="minorHAnsi" w:cs="Arial"/>
          <w:b/>
          <w:sz w:val="22"/>
          <w:szCs w:val="22"/>
        </w:rPr>
        <w:t xml:space="preserve"> </w:t>
      </w:r>
      <w:r w:rsidR="0017431A" w:rsidRPr="003F5A77">
        <w:rPr>
          <w:rFonts w:asciiTheme="minorHAnsi" w:hAnsiTheme="minorHAnsi" w:cs="Arial"/>
          <w:sz w:val="22"/>
          <w:szCs w:val="22"/>
        </w:rPr>
        <w:t>This has been</w:t>
      </w:r>
      <w:r w:rsidR="0084735F" w:rsidRPr="003F5A77">
        <w:rPr>
          <w:rFonts w:asciiTheme="minorHAnsi" w:hAnsiTheme="minorHAnsi" w:cs="Arial"/>
          <w:sz w:val="22"/>
          <w:szCs w:val="22"/>
        </w:rPr>
        <w:t xml:space="preserve"> most marked among outer su</w:t>
      </w:r>
      <w:r w:rsidR="0017431A" w:rsidRPr="003F5A77">
        <w:rPr>
          <w:rFonts w:asciiTheme="minorHAnsi" w:hAnsiTheme="minorHAnsi" w:cs="Arial"/>
          <w:sz w:val="22"/>
          <w:szCs w:val="22"/>
        </w:rPr>
        <w:t>burban members of the EAHA</w:t>
      </w:r>
      <w:r w:rsidR="0084735F" w:rsidRPr="003F5A77">
        <w:rPr>
          <w:rFonts w:asciiTheme="minorHAnsi" w:hAnsiTheme="minorHAnsi" w:cs="Arial"/>
          <w:sz w:val="22"/>
          <w:szCs w:val="22"/>
        </w:rPr>
        <w:t xml:space="preserve"> (Knox, </w:t>
      </w:r>
      <w:proofErr w:type="gramStart"/>
      <w:r w:rsidR="0084735F" w:rsidRPr="003F5A77">
        <w:rPr>
          <w:rFonts w:asciiTheme="minorHAnsi" w:hAnsiTheme="minorHAnsi" w:cs="Arial"/>
          <w:sz w:val="22"/>
          <w:szCs w:val="22"/>
        </w:rPr>
        <w:t>Maroondah</w:t>
      </w:r>
      <w:proofErr w:type="gramEnd"/>
      <w:r w:rsidR="0084735F" w:rsidRPr="003F5A77">
        <w:rPr>
          <w:rFonts w:asciiTheme="minorHAnsi" w:hAnsiTheme="minorHAnsi" w:cs="Arial"/>
          <w:sz w:val="22"/>
          <w:szCs w:val="22"/>
        </w:rPr>
        <w:t xml:space="preserve"> and Yarra Ranges)</w:t>
      </w:r>
      <w:r w:rsidR="0017431A" w:rsidRPr="003F5A77">
        <w:rPr>
          <w:rFonts w:asciiTheme="minorHAnsi" w:hAnsiTheme="minorHAnsi" w:cs="Arial"/>
          <w:sz w:val="22"/>
          <w:szCs w:val="22"/>
        </w:rPr>
        <w:t>,</w:t>
      </w:r>
      <w:r w:rsidR="0084735F" w:rsidRPr="003F5A77">
        <w:rPr>
          <w:rFonts w:asciiTheme="minorHAnsi" w:hAnsiTheme="minorHAnsi" w:cs="Arial"/>
          <w:sz w:val="22"/>
          <w:szCs w:val="22"/>
        </w:rPr>
        <w:t xml:space="preserve"> as even those areas at greater distance from the Melbourne CBD</w:t>
      </w:r>
      <w:r w:rsidR="0017431A" w:rsidRPr="003F5A77">
        <w:rPr>
          <w:rFonts w:asciiTheme="minorHAnsi" w:hAnsiTheme="minorHAnsi" w:cs="Arial"/>
          <w:sz w:val="22"/>
          <w:szCs w:val="22"/>
        </w:rPr>
        <w:t>,</w:t>
      </w:r>
      <w:r w:rsidR="0084735F" w:rsidRPr="003F5A77">
        <w:rPr>
          <w:rFonts w:asciiTheme="minorHAnsi" w:hAnsiTheme="minorHAnsi" w:cs="Arial"/>
          <w:sz w:val="22"/>
          <w:szCs w:val="22"/>
        </w:rPr>
        <w:t xml:space="preserve"> become less affordable.</w:t>
      </w:r>
    </w:p>
    <w:p w:rsidR="00E57E03" w:rsidRPr="003F5A77" w:rsidRDefault="00E57E03" w:rsidP="00DF5EDB">
      <w:pPr>
        <w:pStyle w:val="ListParagraph"/>
        <w:numPr>
          <w:ilvl w:val="0"/>
          <w:numId w:val="12"/>
        </w:numPr>
        <w:spacing w:after="120"/>
        <w:ind w:left="-425" w:hanging="425"/>
        <w:contextualSpacing w:val="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Capacity to meet low-cost housing need for the region as a whole continues to </w:t>
      </w:r>
      <w:r w:rsidRPr="003F5A77">
        <w:rPr>
          <w:rFonts w:asciiTheme="minorHAnsi" w:hAnsiTheme="minorHAnsi" w:cs="Arial"/>
          <w:b/>
          <w:i/>
          <w:color w:val="000000" w:themeColor="text1"/>
          <w:sz w:val="22"/>
          <w:szCs w:val="22"/>
        </w:rPr>
        <w:t xml:space="preserve">contract </w:t>
      </w:r>
      <w:r w:rsidRPr="003F5A77">
        <w:rPr>
          <w:rFonts w:asciiTheme="minorHAnsi" w:hAnsiTheme="minorHAnsi" w:cs="Arial"/>
          <w:color w:val="000000" w:themeColor="text1"/>
          <w:sz w:val="22"/>
          <w:szCs w:val="22"/>
        </w:rPr>
        <w:t>from the bench</w:t>
      </w:r>
      <w:r w:rsidR="0017431A" w:rsidRPr="003F5A77">
        <w:rPr>
          <w:rFonts w:asciiTheme="minorHAnsi" w:hAnsiTheme="minorHAnsi" w:cs="Arial"/>
          <w:color w:val="000000" w:themeColor="text1"/>
          <w:sz w:val="22"/>
          <w:szCs w:val="22"/>
        </w:rPr>
        <w:t>mark for the EAHA</w:t>
      </w:r>
      <w:r w:rsidRPr="003F5A77">
        <w:rPr>
          <w:rFonts w:asciiTheme="minorHAnsi" w:hAnsiTheme="minorHAnsi" w:cs="Arial"/>
          <w:color w:val="000000" w:themeColor="text1"/>
          <w:sz w:val="22"/>
          <w:szCs w:val="22"/>
        </w:rPr>
        <w:t xml:space="preserve"> in 2010 (65%)</w:t>
      </w:r>
      <w:r w:rsidR="0017431A" w:rsidRPr="003F5A77">
        <w:rPr>
          <w:rFonts w:asciiTheme="minorHAnsi" w:hAnsiTheme="minorHAnsi" w:cs="Arial"/>
          <w:color w:val="000000" w:themeColor="text1"/>
          <w:sz w:val="22"/>
          <w:szCs w:val="22"/>
        </w:rPr>
        <w:t>,</w:t>
      </w:r>
      <w:r w:rsidRPr="003F5A77">
        <w:rPr>
          <w:rFonts w:asciiTheme="minorHAnsi" w:hAnsiTheme="minorHAnsi" w:cs="Arial"/>
          <w:color w:val="000000" w:themeColor="text1"/>
          <w:sz w:val="22"/>
          <w:szCs w:val="22"/>
        </w:rPr>
        <w:t xml:space="preserve"> to 59% by review in </w:t>
      </w:r>
      <w:proofErr w:type="gramStart"/>
      <w:r w:rsidRPr="003F5A77">
        <w:rPr>
          <w:rFonts w:asciiTheme="minorHAnsi" w:hAnsiTheme="minorHAnsi" w:cs="Arial"/>
          <w:color w:val="000000" w:themeColor="text1"/>
          <w:sz w:val="22"/>
          <w:szCs w:val="22"/>
        </w:rPr>
        <w:t>2014</w:t>
      </w:r>
      <w:r w:rsidR="0017431A" w:rsidRPr="003F5A77">
        <w:rPr>
          <w:rFonts w:asciiTheme="minorHAnsi" w:hAnsiTheme="minorHAnsi" w:cs="Arial"/>
          <w:color w:val="000000" w:themeColor="text1"/>
          <w:sz w:val="22"/>
          <w:szCs w:val="22"/>
        </w:rPr>
        <w:t xml:space="preserve">, </w:t>
      </w:r>
      <w:r w:rsidRPr="003F5A77">
        <w:rPr>
          <w:rFonts w:asciiTheme="minorHAnsi" w:hAnsiTheme="minorHAnsi" w:cs="Arial"/>
          <w:color w:val="000000" w:themeColor="text1"/>
          <w:sz w:val="22"/>
          <w:szCs w:val="22"/>
        </w:rPr>
        <w:t xml:space="preserve"> and</w:t>
      </w:r>
      <w:proofErr w:type="gramEnd"/>
      <w:r w:rsidRPr="003F5A77">
        <w:rPr>
          <w:rFonts w:asciiTheme="minorHAnsi" w:hAnsiTheme="minorHAnsi" w:cs="Arial"/>
          <w:color w:val="000000" w:themeColor="text1"/>
          <w:sz w:val="22"/>
          <w:szCs w:val="22"/>
        </w:rPr>
        <w:t xml:space="preserve"> 54% as per the current assessment.</w:t>
      </w:r>
    </w:p>
    <w:p w:rsidR="00184168" w:rsidRPr="003F5A77" w:rsidRDefault="00170B62" w:rsidP="00DF5EDB">
      <w:pPr>
        <w:pStyle w:val="ListParagraph"/>
        <w:spacing w:after="120"/>
        <w:ind w:left="-425" w:hanging="425"/>
        <w:contextualSpacing w:val="0"/>
        <w:rPr>
          <w:rFonts w:asciiTheme="minorHAnsi" w:hAnsiTheme="minorHAnsi" w:cs="Arial"/>
          <w:sz w:val="22"/>
          <w:szCs w:val="22"/>
        </w:rPr>
      </w:pPr>
      <w:r w:rsidRPr="003F5A77">
        <w:rPr>
          <w:rFonts w:asciiTheme="minorHAnsi" w:hAnsiTheme="minorHAnsi" w:cs="Arial"/>
          <w:sz w:val="22"/>
          <w:szCs w:val="22"/>
        </w:rPr>
        <w:lastRenderedPageBreak/>
        <w:tab/>
      </w:r>
      <w:r w:rsidR="00184168" w:rsidRPr="003F5A77">
        <w:rPr>
          <w:rFonts w:asciiTheme="minorHAnsi" w:hAnsiTheme="minorHAnsi" w:cs="Arial"/>
          <w:sz w:val="22"/>
          <w:szCs w:val="22"/>
        </w:rPr>
        <w:t>B</w:t>
      </w:r>
      <w:r w:rsidR="00EF7B27" w:rsidRPr="003F5A77">
        <w:rPr>
          <w:rFonts w:asciiTheme="minorHAnsi" w:hAnsiTheme="minorHAnsi" w:cs="Arial"/>
          <w:sz w:val="22"/>
          <w:szCs w:val="22"/>
        </w:rPr>
        <w:t>etween 2014 and 2017 there was a marginal (1.1%) contraction in</w:t>
      </w:r>
      <w:r w:rsidR="00184168" w:rsidRPr="003F5A77">
        <w:rPr>
          <w:rFonts w:asciiTheme="minorHAnsi" w:hAnsiTheme="minorHAnsi" w:cs="Arial"/>
          <w:sz w:val="22"/>
          <w:szCs w:val="22"/>
        </w:rPr>
        <w:t xml:space="preserve"> the</w:t>
      </w:r>
      <w:r w:rsidR="00EF7B27" w:rsidRPr="003F5A77">
        <w:rPr>
          <w:rFonts w:asciiTheme="minorHAnsi" w:hAnsiTheme="minorHAnsi" w:cs="Arial"/>
          <w:sz w:val="22"/>
          <w:szCs w:val="22"/>
        </w:rPr>
        <w:t xml:space="preserve"> supply</w:t>
      </w:r>
      <w:r w:rsidR="00184168" w:rsidRPr="003F5A77">
        <w:rPr>
          <w:rFonts w:asciiTheme="minorHAnsi" w:hAnsiTheme="minorHAnsi" w:cs="Arial"/>
          <w:sz w:val="22"/>
          <w:szCs w:val="22"/>
        </w:rPr>
        <w:t xml:space="preserve"> of low-cost housing</w:t>
      </w:r>
      <w:r w:rsidR="00EF7B27" w:rsidRPr="003F5A77">
        <w:rPr>
          <w:rFonts w:asciiTheme="minorHAnsi" w:hAnsiTheme="minorHAnsi" w:cs="Arial"/>
          <w:sz w:val="22"/>
          <w:szCs w:val="22"/>
        </w:rPr>
        <w:t xml:space="preserve"> (the increase in social housing has been largely offset by the loss of affordable rentals). This compares with a 7% increase in ‘need’ for low-cost housing options. </w:t>
      </w:r>
    </w:p>
    <w:p w:rsidR="00EF7B27" w:rsidRPr="003F5A77" w:rsidRDefault="00EF7B27" w:rsidP="00DF5EDB">
      <w:pPr>
        <w:pStyle w:val="ListParagraph"/>
        <w:spacing w:after="120"/>
        <w:ind w:left="-425"/>
        <w:contextualSpacing w:val="0"/>
        <w:rPr>
          <w:rFonts w:asciiTheme="minorHAnsi" w:hAnsiTheme="minorHAnsi" w:cs="Arial"/>
          <w:sz w:val="22"/>
          <w:szCs w:val="22"/>
        </w:rPr>
      </w:pPr>
      <w:r w:rsidRPr="003F5A77">
        <w:rPr>
          <w:rFonts w:asciiTheme="minorHAnsi" w:hAnsiTheme="minorHAnsi" w:cs="Arial"/>
          <w:sz w:val="22"/>
          <w:szCs w:val="22"/>
        </w:rPr>
        <w:t>There can be no surprise then, that the ability to meet low-cost housing need has contracted.</w:t>
      </w:r>
    </w:p>
    <w:p w:rsidR="00EF7B27" w:rsidRPr="003F5A77" w:rsidRDefault="00EF7B27" w:rsidP="000044F0">
      <w:pPr>
        <w:ind w:left="-851"/>
        <w:rPr>
          <w:rFonts w:asciiTheme="minorHAnsi" w:hAnsiTheme="minorHAnsi" w:cs="Arial"/>
          <w:color w:val="000000" w:themeColor="text1"/>
          <w:sz w:val="22"/>
          <w:szCs w:val="22"/>
        </w:rPr>
      </w:pPr>
    </w:p>
    <w:p w:rsidR="005558B3" w:rsidRPr="003F5A77" w:rsidRDefault="005558B3" w:rsidP="000044F0">
      <w:pPr>
        <w:pStyle w:val="ListParagraph"/>
        <w:ind w:left="-851"/>
        <w:rPr>
          <w:rFonts w:asciiTheme="minorHAnsi" w:hAnsiTheme="minorHAnsi" w:cs="Arial"/>
          <w:sz w:val="22"/>
          <w:szCs w:val="22"/>
        </w:rPr>
      </w:pPr>
      <w:r w:rsidRPr="003F5A77">
        <w:rPr>
          <w:rFonts w:asciiTheme="minorHAnsi" w:hAnsiTheme="minorHAnsi" w:cs="Arial"/>
          <w:b/>
          <w:sz w:val="22"/>
          <w:szCs w:val="22"/>
        </w:rPr>
        <w:t xml:space="preserve"> </w:t>
      </w:r>
    </w:p>
    <w:p w:rsidR="00BD6BF0" w:rsidRPr="003F5A77" w:rsidRDefault="00BD6BF0" w:rsidP="000044F0">
      <w:pPr>
        <w:ind w:left="-851"/>
        <w:rPr>
          <w:rFonts w:asciiTheme="minorHAnsi" w:hAnsiTheme="minorHAnsi" w:cs="Arial"/>
          <w:b/>
          <w:sz w:val="22"/>
          <w:szCs w:val="22"/>
        </w:rPr>
      </w:pPr>
    </w:p>
    <w:p w:rsidR="00F31E9A" w:rsidRPr="003F5A77" w:rsidRDefault="007572C0" w:rsidP="000044F0">
      <w:pPr>
        <w:ind w:left="-851"/>
        <w:rPr>
          <w:rFonts w:asciiTheme="minorHAnsi" w:hAnsiTheme="minorHAnsi" w:cs="Arial"/>
          <w:b/>
          <w:color w:val="000000" w:themeColor="text1"/>
          <w:sz w:val="30"/>
          <w:szCs w:val="30"/>
        </w:rPr>
      </w:pPr>
      <w:r w:rsidRPr="003F5A77">
        <w:rPr>
          <w:rFonts w:asciiTheme="minorHAnsi" w:hAnsiTheme="minorHAnsi" w:cs="Arial"/>
          <w:b/>
          <w:color w:val="000000" w:themeColor="text1"/>
          <w:sz w:val="22"/>
          <w:szCs w:val="22"/>
        </w:rPr>
        <w:br w:type="page"/>
      </w:r>
      <w:r w:rsidR="00F31E9A" w:rsidRPr="003F5A77">
        <w:rPr>
          <w:rFonts w:ascii="Calibri" w:eastAsiaTheme="majorEastAsia" w:hAnsi="Calibri" w:cstheme="majorBidi"/>
          <w:color w:val="1F497D" w:themeColor="text2"/>
          <w:sz w:val="30"/>
          <w:szCs w:val="30"/>
          <w:lang w:val="en-US" w:eastAsia="en-US"/>
        </w:rPr>
        <w:lastRenderedPageBreak/>
        <w:t>Introduction</w:t>
      </w:r>
    </w:p>
    <w:p w:rsidR="00F31E9A" w:rsidRPr="003F5A77" w:rsidRDefault="00F31E9A" w:rsidP="000044F0">
      <w:pPr>
        <w:ind w:left="-851"/>
        <w:rPr>
          <w:rFonts w:asciiTheme="minorHAnsi" w:hAnsiTheme="minorHAnsi" w:cs="Arial"/>
          <w:b/>
          <w:color w:val="000000" w:themeColor="text1"/>
          <w:sz w:val="22"/>
          <w:szCs w:val="22"/>
        </w:rPr>
      </w:pPr>
    </w:p>
    <w:p w:rsidR="00F31E9A" w:rsidRPr="003F5A77" w:rsidRDefault="00F31E9A"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Housing affordability is a growing problem in the Eastern Region of Melbourne (and Australia-wide). While many of the factors that influence </w:t>
      </w:r>
      <w:proofErr w:type="gramStart"/>
      <w:r w:rsidRPr="003F5A77">
        <w:rPr>
          <w:rFonts w:asciiTheme="minorHAnsi" w:hAnsiTheme="minorHAnsi" w:cs="Arial"/>
          <w:color w:val="000000" w:themeColor="text1"/>
          <w:sz w:val="22"/>
          <w:szCs w:val="22"/>
        </w:rPr>
        <w:t>housing</w:t>
      </w:r>
      <w:proofErr w:type="gramEnd"/>
      <w:r w:rsidRPr="003F5A77">
        <w:rPr>
          <w:rFonts w:asciiTheme="minorHAnsi" w:hAnsiTheme="minorHAnsi" w:cs="Arial"/>
          <w:color w:val="000000" w:themeColor="text1"/>
          <w:sz w:val="22"/>
          <w:szCs w:val="22"/>
        </w:rPr>
        <w:t xml:space="preserve"> affordability are structural and beyond the control of local government, a clear understanding of the scale of</w:t>
      </w:r>
      <w:r w:rsidR="004F7AC7" w:rsidRPr="003F5A77">
        <w:rPr>
          <w:rFonts w:asciiTheme="minorHAnsi" w:hAnsiTheme="minorHAnsi" w:cs="Arial"/>
          <w:color w:val="000000" w:themeColor="text1"/>
          <w:sz w:val="22"/>
          <w:szCs w:val="22"/>
        </w:rPr>
        <w:t xml:space="preserve"> affordable housing needs in the region</w:t>
      </w:r>
      <w:r w:rsidRPr="003F5A77">
        <w:rPr>
          <w:rFonts w:asciiTheme="minorHAnsi" w:hAnsiTheme="minorHAnsi" w:cs="Arial"/>
          <w:color w:val="000000" w:themeColor="text1"/>
          <w:sz w:val="22"/>
          <w:szCs w:val="22"/>
        </w:rPr>
        <w:t xml:space="preserve"> is the first step to enabling a response to increasing affordability.</w:t>
      </w:r>
    </w:p>
    <w:p w:rsidR="00F31E9A" w:rsidRPr="003F5A77" w:rsidRDefault="00F31E9A" w:rsidP="000044F0">
      <w:pPr>
        <w:ind w:left="-851"/>
        <w:rPr>
          <w:rFonts w:asciiTheme="minorHAnsi" w:hAnsiTheme="minorHAnsi" w:cs="Arial"/>
          <w:b/>
          <w:sz w:val="22"/>
          <w:szCs w:val="22"/>
        </w:rPr>
      </w:pPr>
    </w:p>
    <w:p w:rsidR="009C1182" w:rsidRPr="003F5A77" w:rsidRDefault="009C1182" w:rsidP="000044F0">
      <w:pPr>
        <w:ind w:left="-851"/>
        <w:rPr>
          <w:rFonts w:asciiTheme="minorHAnsi" w:hAnsiTheme="minorHAnsi" w:cs="Arial"/>
          <w:b/>
          <w:sz w:val="22"/>
          <w:szCs w:val="22"/>
        </w:rPr>
      </w:pPr>
    </w:p>
    <w:p w:rsidR="009C1182" w:rsidRPr="003F5A77" w:rsidRDefault="009C1182" w:rsidP="00DF5EDB">
      <w:pPr>
        <w:pStyle w:val="ListParagraph"/>
        <w:numPr>
          <w:ilvl w:val="0"/>
          <w:numId w:val="14"/>
        </w:numPr>
        <w:rPr>
          <w:rFonts w:ascii="Calibri" w:eastAsiaTheme="majorEastAsia" w:hAnsi="Calibri" w:cstheme="majorBidi"/>
          <w:color w:val="1F497D" w:themeColor="text2"/>
          <w:sz w:val="30"/>
          <w:szCs w:val="30"/>
          <w:lang w:val="en-US" w:eastAsia="en-US"/>
        </w:rPr>
      </w:pPr>
      <w:r w:rsidRPr="003F5A77">
        <w:rPr>
          <w:rFonts w:ascii="Calibri" w:eastAsiaTheme="majorEastAsia" w:hAnsi="Calibri" w:cstheme="majorBidi"/>
          <w:color w:val="1F497D" w:themeColor="text2"/>
          <w:sz w:val="30"/>
          <w:szCs w:val="30"/>
          <w:lang w:val="en-US" w:eastAsia="en-US"/>
        </w:rPr>
        <w:t>Quantifying social housing need</w:t>
      </w:r>
    </w:p>
    <w:p w:rsidR="009C1182" w:rsidRPr="003F5A77" w:rsidRDefault="009C1182" w:rsidP="000044F0">
      <w:pPr>
        <w:ind w:left="-851"/>
        <w:rPr>
          <w:rFonts w:asciiTheme="minorHAnsi" w:hAnsiTheme="minorHAnsi" w:cs="Arial"/>
          <w:b/>
          <w:sz w:val="22"/>
          <w:szCs w:val="22"/>
        </w:rPr>
      </w:pPr>
    </w:p>
    <w:p w:rsidR="00486779" w:rsidRPr="003F5A77" w:rsidRDefault="00486779"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For the purposes of quantifying local affordable housing need, the following methodology focuses on </w:t>
      </w:r>
      <w:r w:rsidRPr="003F5A77">
        <w:rPr>
          <w:rFonts w:asciiTheme="minorHAnsi" w:hAnsiTheme="minorHAnsi" w:cs="Arial"/>
          <w:b/>
          <w:color w:val="000000" w:themeColor="text1"/>
          <w:sz w:val="22"/>
          <w:szCs w:val="22"/>
        </w:rPr>
        <w:t xml:space="preserve">social housing </w:t>
      </w:r>
      <w:r w:rsidRPr="003F5A77">
        <w:rPr>
          <w:rFonts w:asciiTheme="minorHAnsi" w:hAnsiTheme="minorHAnsi" w:cs="Arial"/>
          <w:color w:val="000000" w:themeColor="text1"/>
          <w:sz w:val="22"/>
          <w:szCs w:val="22"/>
        </w:rPr>
        <w:t>(as a subset of the broader affordable housing umbrella) as this responds to the needs of the most vulnerable and disadvantaged households in the region, and is an area where Council has greater capacity for influence.</w:t>
      </w:r>
      <w:r w:rsidRPr="003F5A77">
        <w:rPr>
          <w:rStyle w:val="FootnoteReference"/>
          <w:rFonts w:asciiTheme="minorHAnsi" w:hAnsiTheme="minorHAnsi" w:cs="Arial"/>
          <w:color w:val="000000" w:themeColor="text1"/>
          <w:sz w:val="22"/>
          <w:szCs w:val="22"/>
        </w:rPr>
        <w:footnoteReference w:id="5"/>
      </w:r>
    </w:p>
    <w:p w:rsidR="00486779" w:rsidRPr="003F5A77" w:rsidRDefault="00486779" w:rsidP="000044F0">
      <w:pPr>
        <w:ind w:left="-851"/>
        <w:rPr>
          <w:rFonts w:asciiTheme="minorHAnsi" w:hAnsiTheme="minorHAnsi" w:cs="Arial"/>
          <w:color w:val="000000" w:themeColor="text1"/>
          <w:sz w:val="22"/>
          <w:szCs w:val="22"/>
        </w:rPr>
      </w:pPr>
    </w:p>
    <w:p w:rsidR="00486779" w:rsidRPr="003F5A77" w:rsidRDefault="00486779"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methodology was developed by Knox City Council in response to a commitment (September, 2010) to a series of strategies and actions to strengthen the council’s approach to affordable housing. One of these strategies was to identify the need for affordable housing, provide a definition and set targets for Knox, subsequently dealt with in the paper ‘Defining affordable housing and a minimum supply of social housing in Knox’ (September, 2011)</w:t>
      </w:r>
    </w:p>
    <w:p w:rsidR="00486779" w:rsidRPr="003F5A77" w:rsidRDefault="00486779" w:rsidP="000044F0">
      <w:pPr>
        <w:ind w:left="-851"/>
        <w:rPr>
          <w:rFonts w:asciiTheme="minorHAnsi" w:hAnsiTheme="minorHAnsi" w:cs="Arial"/>
          <w:color w:val="000000" w:themeColor="text1"/>
          <w:sz w:val="22"/>
          <w:szCs w:val="22"/>
        </w:rPr>
      </w:pPr>
    </w:p>
    <w:p w:rsidR="00486779" w:rsidRPr="003F5A77" w:rsidRDefault="00486779"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It was recommended that a minimum supply of social housing figure be calculated based on benchmarking to local ‘need’, defined as the number </w:t>
      </w:r>
      <w:proofErr w:type="gramStart"/>
      <w:r w:rsidRPr="003F5A77">
        <w:rPr>
          <w:rFonts w:asciiTheme="minorHAnsi" w:hAnsiTheme="minorHAnsi" w:cs="Arial"/>
          <w:color w:val="000000" w:themeColor="text1"/>
          <w:sz w:val="22"/>
          <w:szCs w:val="22"/>
        </w:rPr>
        <w:t>of  very</w:t>
      </w:r>
      <w:proofErr w:type="gramEnd"/>
      <w:r w:rsidRPr="003F5A77">
        <w:rPr>
          <w:rFonts w:asciiTheme="minorHAnsi" w:hAnsiTheme="minorHAnsi" w:cs="Arial"/>
          <w:color w:val="000000" w:themeColor="text1"/>
          <w:sz w:val="22"/>
          <w:szCs w:val="22"/>
        </w:rPr>
        <w:t xml:space="preserve"> low-income, </w:t>
      </w:r>
      <w:proofErr w:type="spellStart"/>
      <w:r w:rsidRPr="003F5A77">
        <w:rPr>
          <w:rFonts w:asciiTheme="minorHAnsi" w:hAnsiTheme="minorHAnsi" w:cs="Arial"/>
          <w:color w:val="000000" w:themeColor="text1"/>
          <w:sz w:val="22"/>
          <w:szCs w:val="22"/>
        </w:rPr>
        <w:t>non home</w:t>
      </w:r>
      <w:proofErr w:type="spellEnd"/>
      <w:r w:rsidRPr="003F5A77">
        <w:rPr>
          <w:rFonts w:asciiTheme="minorHAnsi" w:hAnsiTheme="minorHAnsi" w:cs="Arial"/>
          <w:color w:val="000000" w:themeColor="text1"/>
          <w:sz w:val="22"/>
          <w:szCs w:val="22"/>
        </w:rPr>
        <w:t xml:space="preserve">-owning households -as adjusted to reflect the supply of social housing dwellings and availability of affordable private lettings. </w:t>
      </w:r>
    </w:p>
    <w:p w:rsidR="00486779" w:rsidRPr="003F5A77" w:rsidRDefault="00486779" w:rsidP="000044F0">
      <w:pPr>
        <w:ind w:left="-851"/>
        <w:rPr>
          <w:rFonts w:asciiTheme="minorHAnsi" w:hAnsiTheme="minorHAnsi" w:cs="Arial"/>
          <w:color w:val="000000" w:themeColor="text1"/>
          <w:sz w:val="22"/>
          <w:szCs w:val="22"/>
        </w:rPr>
      </w:pPr>
    </w:p>
    <w:p w:rsidR="00486779" w:rsidRPr="003F5A77" w:rsidRDefault="00486779"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The method of calculating social housing needs and a timeframe for how needs could be met up to 2030, was subsequently adopted by Council in early 2012. </w:t>
      </w:r>
    </w:p>
    <w:p w:rsidR="00486779" w:rsidRPr="003F5A77" w:rsidRDefault="00486779" w:rsidP="000044F0">
      <w:pPr>
        <w:ind w:left="-851"/>
        <w:rPr>
          <w:rFonts w:asciiTheme="minorHAnsi" w:hAnsiTheme="minorHAnsi" w:cs="Arial"/>
          <w:color w:val="000000" w:themeColor="text1"/>
          <w:sz w:val="22"/>
          <w:szCs w:val="22"/>
        </w:rPr>
      </w:pPr>
    </w:p>
    <w:p w:rsidR="00486779" w:rsidRPr="003F5A77" w:rsidRDefault="00486779" w:rsidP="000044F0">
      <w:pPr>
        <w:ind w:left="-851"/>
        <w:rPr>
          <w:rFonts w:asciiTheme="minorHAnsi" w:hAnsiTheme="minorHAnsi" w:cs="Arial"/>
          <w:b/>
          <w:color w:val="FF0000"/>
          <w:sz w:val="22"/>
          <w:szCs w:val="22"/>
        </w:rPr>
      </w:pPr>
      <w:r w:rsidRPr="003F5A77">
        <w:rPr>
          <w:rFonts w:asciiTheme="minorHAnsi" w:hAnsiTheme="minorHAnsi" w:cs="Arial"/>
          <w:color w:val="000000" w:themeColor="text1"/>
          <w:sz w:val="22"/>
          <w:szCs w:val="22"/>
        </w:rPr>
        <w:t xml:space="preserve">The data in that paper was updated to build on data from the 2011 Census (and 2014 minimum supply estimates published in May, 2015). </w:t>
      </w:r>
      <w:r w:rsidRPr="003F5A77">
        <w:rPr>
          <w:rFonts w:asciiTheme="minorHAnsi" w:hAnsiTheme="minorHAnsi" w:cs="Arial"/>
          <w:b/>
          <w:color w:val="000000" w:themeColor="text1"/>
          <w:sz w:val="22"/>
          <w:szCs w:val="22"/>
        </w:rPr>
        <w:t xml:space="preserve">The current document further updates the data, </w:t>
      </w:r>
      <w:proofErr w:type="gramStart"/>
      <w:r w:rsidRPr="003F5A77">
        <w:rPr>
          <w:rFonts w:asciiTheme="minorHAnsi" w:hAnsiTheme="minorHAnsi" w:cs="Arial"/>
          <w:b/>
          <w:color w:val="000000" w:themeColor="text1"/>
          <w:sz w:val="22"/>
          <w:szCs w:val="22"/>
        </w:rPr>
        <w:t>building  upon</w:t>
      </w:r>
      <w:proofErr w:type="gramEnd"/>
      <w:r w:rsidRPr="003F5A77">
        <w:rPr>
          <w:rFonts w:asciiTheme="minorHAnsi" w:hAnsiTheme="minorHAnsi" w:cs="Arial"/>
          <w:b/>
          <w:color w:val="000000" w:themeColor="text1"/>
          <w:sz w:val="22"/>
          <w:szCs w:val="22"/>
        </w:rPr>
        <w:t xml:space="preserve"> 2016 Census data as a base, with social housing needs, and the timeframe for meeting these needs, forec</w:t>
      </w:r>
      <w:r w:rsidR="00E601A1" w:rsidRPr="003F5A77">
        <w:rPr>
          <w:rFonts w:asciiTheme="minorHAnsi" w:hAnsiTheme="minorHAnsi" w:cs="Arial"/>
          <w:b/>
          <w:color w:val="000000" w:themeColor="text1"/>
          <w:sz w:val="22"/>
          <w:szCs w:val="22"/>
        </w:rPr>
        <w:t>ast out to 2036</w:t>
      </w:r>
      <w:r w:rsidRPr="003F5A77">
        <w:rPr>
          <w:rFonts w:asciiTheme="minorHAnsi" w:hAnsiTheme="minorHAnsi" w:cs="Arial"/>
          <w:b/>
          <w:color w:val="000000" w:themeColor="text1"/>
          <w:sz w:val="22"/>
          <w:szCs w:val="22"/>
        </w:rPr>
        <w:t>.</w:t>
      </w:r>
    </w:p>
    <w:p w:rsidR="00486779" w:rsidRPr="003F5A77" w:rsidRDefault="00486779" w:rsidP="000044F0">
      <w:pPr>
        <w:ind w:left="-851"/>
        <w:rPr>
          <w:rFonts w:asciiTheme="minorHAnsi" w:hAnsiTheme="minorHAnsi" w:cs="Arial"/>
          <w:b/>
          <w:color w:val="FF0000"/>
          <w:sz w:val="22"/>
          <w:szCs w:val="22"/>
        </w:rPr>
      </w:pPr>
    </w:p>
    <w:p w:rsidR="00486779" w:rsidRPr="003F5A77" w:rsidRDefault="00456032" w:rsidP="000044F0">
      <w:pPr>
        <w:ind w:left="-851"/>
        <w:rPr>
          <w:rFonts w:asciiTheme="minorHAnsi" w:hAnsiTheme="minorHAnsi" w:cs="Arial"/>
          <w:sz w:val="22"/>
          <w:szCs w:val="22"/>
        </w:rPr>
      </w:pPr>
      <w:r w:rsidRPr="003F5A77">
        <w:rPr>
          <w:rFonts w:asciiTheme="minorHAnsi" w:hAnsiTheme="minorHAnsi" w:cs="Arial"/>
          <w:sz w:val="22"/>
          <w:szCs w:val="22"/>
        </w:rPr>
        <w:t xml:space="preserve">Quantifying social housing </w:t>
      </w:r>
      <w:r w:rsidR="00486779" w:rsidRPr="003F5A77">
        <w:rPr>
          <w:rFonts w:asciiTheme="minorHAnsi" w:hAnsiTheme="minorHAnsi" w:cs="Arial"/>
          <w:sz w:val="22"/>
          <w:szCs w:val="22"/>
        </w:rPr>
        <w:t>need</w:t>
      </w:r>
      <w:r w:rsidRPr="003F5A77">
        <w:rPr>
          <w:rFonts w:asciiTheme="minorHAnsi" w:hAnsiTheme="minorHAnsi" w:cs="Arial"/>
          <w:sz w:val="22"/>
          <w:szCs w:val="22"/>
        </w:rPr>
        <w:t xml:space="preserve"> at a regional level</w:t>
      </w:r>
      <w:r w:rsidR="00486779" w:rsidRPr="003F5A77">
        <w:rPr>
          <w:rFonts w:asciiTheme="minorHAnsi" w:hAnsiTheme="minorHAnsi" w:cs="Arial"/>
          <w:sz w:val="22"/>
          <w:szCs w:val="22"/>
        </w:rPr>
        <w:t xml:space="preserve"> will provide social housing providers (such as the State government and Registered Housing Associations) a basis fo</w:t>
      </w:r>
      <w:r w:rsidRPr="003F5A77">
        <w:rPr>
          <w:rFonts w:asciiTheme="minorHAnsi" w:hAnsiTheme="minorHAnsi" w:cs="Arial"/>
          <w:sz w:val="22"/>
          <w:szCs w:val="22"/>
        </w:rPr>
        <w:t>r targeting developments in the region</w:t>
      </w:r>
      <w:r w:rsidR="00486779" w:rsidRPr="003F5A77">
        <w:rPr>
          <w:rFonts w:asciiTheme="minorHAnsi" w:hAnsiTheme="minorHAnsi" w:cs="Arial"/>
          <w:sz w:val="22"/>
          <w:szCs w:val="22"/>
        </w:rPr>
        <w:t xml:space="preserve"> to meet local need; inform negotiations with private housing developers for voluntary contributions to affordable/social housing; and provide baseline data against which </w:t>
      </w:r>
      <w:r w:rsidR="00E601A1" w:rsidRPr="003F5A77">
        <w:rPr>
          <w:rFonts w:asciiTheme="minorHAnsi" w:hAnsiTheme="minorHAnsi" w:cs="Arial"/>
          <w:sz w:val="22"/>
          <w:szCs w:val="22"/>
        </w:rPr>
        <w:t>policy intervention or change</w:t>
      </w:r>
      <w:r w:rsidR="00486779" w:rsidRPr="003F5A77">
        <w:rPr>
          <w:rFonts w:asciiTheme="minorHAnsi" w:hAnsiTheme="minorHAnsi" w:cs="Arial"/>
          <w:sz w:val="22"/>
          <w:szCs w:val="22"/>
        </w:rPr>
        <w:t xml:space="preserve"> in the a</w:t>
      </w:r>
      <w:r w:rsidRPr="003F5A77">
        <w:rPr>
          <w:rFonts w:asciiTheme="minorHAnsi" w:hAnsiTheme="minorHAnsi" w:cs="Arial"/>
          <w:sz w:val="22"/>
          <w:szCs w:val="22"/>
        </w:rPr>
        <w:t>ffordable housing supply in the region</w:t>
      </w:r>
      <w:r w:rsidR="00486779" w:rsidRPr="003F5A77">
        <w:rPr>
          <w:rFonts w:asciiTheme="minorHAnsi" w:hAnsiTheme="minorHAnsi" w:cs="Arial"/>
          <w:sz w:val="22"/>
          <w:szCs w:val="22"/>
        </w:rPr>
        <w:t xml:space="preserve"> can be monitored. Identifying a minimum social housing supply figure also assists with advocacy and in highlighting the affordable housing issue in marketing and communications.</w:t>
      </w:r>
    </w:p>
    <w:p w:rsidR="00456032" w:rsidRPr="003F5A77" w:rsidRDefault="00456032" w:rsidP="000044F0">
      <w:pPr>
        <w:ind w:left="-851"/>
        <w:rPr>
          <w:rFonts w:asciiTheme="minorHAnsi" w:hAnsiTheme="minorHAnsi" w:cs="Arial"/>
          <w:sz w:val="22"/>
          <w:szCs w:val="22"/>
        </w:rPr>
      </w:pPr>
    </w:p>
    <w:p w:rsidR="003F5A77" w:rsidRDefault="003F5A77">
      <w:pPr>
        <w:rPr>
          <w:rFonts w:asciiTheme="minorHAnsi" w:hAnsiTheme="minorHAnsi" w:cs="Arial"/>
          <w:color w:val="000000" w:themeColor="text1"/>
          <w:sz w:val="22"/>
          <w:szCs w:val="22"/>
        </w:rPr>
      </w:pPr>
      <w:r>
        <w:rPr>
          <w:rFonts w:asciiTheme="minorHAnsi" w:hAnsiTheme="minorHAnsi" w:cs="Arial"/>
          <w:color w:val="000000" w:themeColor="text1"/>
          <w:sz w:val="22"/>
          <w:szCs w:val="22"/>
        </w:rPr>
        <w:br w:type="page"/>
      </w:r>
    </w:p>
    <w:p w:rsidR="00456032" w:rsidRPr="003F5A77" w:rsidRDefault="00456032"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lastRenderedPageBreak/>
        <w:t>The following summarises local social housing needs within the</w:t>
      </w:r>
      <w:r w:rsidR="00E601A1" w:rsidRPr="003F5A77">
        <w:rPr>
          <w:rFonts w:asciiTheme="minorHAnsi" w:hAnsiTheme="minorHAnsi" w:cs="Arial"/>
          <w:color w:val="000000" w:themeColor="text1"/>
          <w:sz w:val="22"/>
          <w:szCs w:val="22"/>
        </w:rPr>
        <w:t xml:space="preserve"> Eastern Metropolitan R</w:t>
      </w:r>
      <w:r w:rsidRPr="003F5A77">
        <w:rPr>
          <w:rFonts w:asciiTheme="minorHAnsi" w:hAnsiTheme="minorHAnsi" w:cs="Arial"/>
          <w:color w:val="000000" w:themeColor="text1"/>
          <w:sz w:val="22"/>
          <w:szCs w:val="22"/>
        </w:rPr>
        <w:t xml:space="preserve">egion and a </w:t>
      </w:r>
      <w:proofErr w:type="gramStart"/>
      <w:r w:rsidRPr="003F5A77">
        <w:rPr>
          <w:rFonts w:asciiTheme="minorHAnsi" w:hAnsiTheme="minorHAnsi" w:cs="Arial"/>
          <w:color w:val="000000" w:themeColor="text1"/>
          <w:sz w:val="22"/>
          <w:szCs w:val="22"/>
        </w:rPr>
        <w:t>time frame</w:t>
      </w:r>
      <w:proofErr w:type="gramEnd"/>
      <w:r w:rsidRPr="003F5A77">
        <w:rPr>
          <w:rFonts w:asciiTheme="minorHAnsi" w:hAnsiTheme="minorHAnsi" w:cs="Arial"/>
          <w:color w:val="000000" w:themeColor="text1"/>
          <w:sz w:val="22"/>
          <w:szCs w:val="22"/>
        </w:rPr>
        <w:t xml:space="preserve"> for how these needs could be met up to 2036. This is based on framing the need for social housing in the context of a </w:t>
      </w:r>
      <w:r w:rsidRPr="003F5A77">
        <w:rPr>
          <w:rFonts w:asciiTheme="minorHAnsi" w:hAnsiTheme="minorHAnsi" w:cs="Arial"/>
          <w:b/>
          <w:color w:val="000000" w:themeColor="text1"/>
          <w:sz w:val="22"/>
          <w:szCs w:val="22"/>
        </w:rPr>
        <w:t xml:space="preserve">‘target market’ </w:t>
      </w:r>
      <w:r w:rsidRPr="003F5A77">
        <w:rPr>
          <w:rFonts w:asciiTheme="minorHAnsi" w:hAnsiTheme="minorHAnsi" w:cs="Arial"/>
          <w:color w:val="000000" w:themeColor="text1"/>
          <w:sz w:val="22"/>
          <w:szCs w:val="22"/>
        </w:rPr>
        <w:t>– defined as very low income households (in the lowest 10% of equivalised household incomes, nationally calculated</w:t>
      </w:r>
      <w:r w:rsidRPr="003F5A77">
        <w:rPr>
          <w:rStyle w:val="FootnoteReference"/>
          <w:rFonts w:asciiTheme="minorHAnsi" w:hAnsiTheme="minorHAnsi" w:cs="Arial"/>
          <w:color w:val="000000" w:themeColor="text1"/>
          <w:sz w:val="22"/>
          <w:szCs w:val="22"/>
        </w:rPr>
        <w:footnoteReference w:id="6"/>
      </w:r>
      <w:r w:rsidRPr="003F5A77">
        <w:rPr>
          <w:rFonts w:asciiTheme="minorHAnsi" w:hAnsiTheme="minorHAnsi" w:cs="Arial"/>
          <w:color w:val="000000" w:themeColor="text1"/>
          <w:sz w:val="22"/>
          <w:szCs w:val="22"/>
        </w:rPr>
        <w:t>) that are currently either renting or purchasing their home.</w:t>
      </w:r>
    </w:p>
    <w:p w:rsidR="00456032" w:rsidRPr="003F5A77" w:rsidRDefault="00456032" w:rsidP="000044F0">
      <w:pPr>
        <w:ind w:left="-851"/>
        <w:rPr>
          <w:rFonts w:asciiTheme="minorHAnsi" w:hAnsiTheme="minorHAnsi" w:cs="Arial"/>
          <w:sz w:val="22"/>
          <w:szCs w:val="22"/>
        </w:rPr>
      </w:pPr>
    </w:p>
    <w:p w:rsidR="00456032" w:rsidRPr="003F5A77" w:rsidRDefault="00456032"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Lowest income households that own-their-own home would not have any need for social housing and are excluded from the assessment. This takes account of the significant proportion of older people </w:t>
      </w:r>
      <w:proofErr w:type="gramStart"/>
      <w:r w:rsidRPr="003F5A77">
        <w:rPr>
          <w:rFonts w:asciiTheme="minorHAnsi" w:hAnsiTheme="minorHAnsi" w:cs="Arial"/>
          <w:color w:val="000000" w:themeColor="text1"/>
          <w:sz w:val="22"/>
          <w:szCs w:val="22"/>
        </w:rPr>
        <w:t>in particular, reliant</w:t>
      </w:r>
      <w:proofErr w:type="gramEnd"/>
      <w:r w:rsidRPr="003F5A77">
        <w:rPr>
          <w:rFonts w:asciiTheme="minorHAnsi" w:hAnsiTheme="minorHAnsi" w:cs="Arial"/>
          <w:color w:val="000000" w:themeColor="text1"/>
          <w:sz w:val="22"/>
          <w:szCs w:val="22"/>
        </w:rPr>
        <w:t xml:space="preserve"> on government pensions as their principle source of income (‘income poor’) but self-sufficient in terms of housing.</w:t>
      </w:r>
    </w:p>
    <w:p w:rsidR="00486779" w:rsidRPr="003F5A77" w:rsidRDefault="00486779" w:rsidP="000044F0">
      <w:pPr>
        <w:ind w:left="-851"/>
        <w:rPr>
          <w:rFonts w:asciiTheme="minorHAnsi" w:hAnsiTheme="minorHAnsi" w:cs="Arial"/>
          <w:b/>
          <w:color w:val="FF0000"/>
          <w:sz w:val="22"/>
          <w:szCs w:val="22"/>
        </w:rPr>
      </w:pPr>
    </w:p>
    <w:p w:rsidR="00456032" w:rsidRPr="003F5A77" w:rsidRDefault="00456032"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number of households in the identified target market group that cannot have their needs met with either existing social housing dwellings or af</w:t>
      </w:r>
      <w:r w:rsidR="002816D8" w:rsidRPr="003F5A77">
        <w:rPr>
          <w:rFonts w:asciiTheme="minorHAnsi" w:hAnsiTheme="minorHAnsi" w:cs="Arial"/>
          <w:color w:val="000000" w:themeColor="text1"/>
          <w:sz w:val="22"/>
          <w:szCs w:val="22"/>
        </w:rPr>
        <w:t>fordable private lettings in the region</w:t>
      </w:r>
      <w:r w:rsidRPr="003F5A77">
        <w:rPr>
          <w:rStyle w:val="FootnoteReference"/>
          <w:rFonts w:asciiTheme="minorHAnsi" w:hAnsiTheme="minorHAnsi" w:cs="Arial"/>
          <w:color w:val="000000" w:themeColor="text1"/>
          <w:sz w:val="22"/>
          <w:szCs w:val="22"/>
        </w:rPr>
        <w:footnoteReference w:id="7"/>
      </w:r>
      <w:r w:rsidRPr="003F5A77">
        <w:rPr>
          <w:rFonts w:asciiTheme="minorHAnsi" w:hAnsiTheme="minorHAnsi" w:cs="Arial"/>
          <w:color w:val="000000" w:themeColor="text1"/>
          <w:sz w:val="22"/>
          <w:szCs w:val="22"/>
        </w:rPr>
        <w:t>, represents the sho</w:t>
      </w:r>
      <w:r w:rsidR="002816D8" w:rsidRPr="003F5A77">
        <w:rPr>
          <w:rFonts w:asciiTheme="minorHAnsi" w:hAnsiTheme="minorHAnsi" w:cs="Arial"/>
          <w:color w:val="000000" w:themeColor="text1"/>
          <w:sz w:val="22"/>
          <w:szCs w:val="22"/>
        </w:rPr>
        <w:t>rtfall of social housing in the region</w:t>
      </w:r>
      <w:r w:rsidRPr="003F5A77">
        <w:rPr>
          <w:rFonts w:asciiTheme="minorHAnsi" w:hAnsiTheme="minorHAnsi" w:cs="Arial"/>
          <w:color w:val="000000" w:themeColor="text1"/>
          <w:sz w:val="22"/>
          <w:szCs w:val="22"/>
        </w:rPr>
        <w:t xml:space="preserve"> –effectively a measure of social housing need in the community.</w:t>
      </w:r>
    </w:p>
    <w:p w:rsidR="00456032" w:rsidRPr="003F5A77" w:rsidRDefault="00456032" w:rsidP="000044F0">
      <w:pPr>
        <w:ind w:left="-851"/>
        <w:rPr>
          <w:rFonts w:asciiTheme="minorHAnsi" w:hAnsiTheme="minorHAnsi" w:cs="Arial"/>
          <w:color w:val="000000" w:themeColor="text1"/>
          <w:sz w:val="22"/>
          <w:szCs w:val="22"/>
        </w:rPr>
      </w:pPr>
    </w:p>
    <w:p w:rsidR="00456032" w:rsidRPr="003F5A77" w:rsidRDefault="00456032"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This methodology is linked to the most vulnerable and disadvantaged households in the region – those in the lowest 10% of household incomes. This group, together with ‘low’ income households (the next lowest 30%) represent the lowest 40% of household incomes group which is traditionally subject to concerns about housing affordability and calculations that define ‘housing stress’ in a community.</w:t>
      </w:r>
    </w:p>
    <w:p w:rsidR="00486779" w:rsidRPr="003F5A77" w:rsidRDefault="00486779" w:rsidP="000044F0">
      <w:pPr>
        <w:ind w:left="-851"/>
        <w:rPr>
          <w:rFonts w:asciiTheme="minorHAnsi" w:hAnsiTheme="minorHAnsi" w:cs="Arial"/>
          <w:color w:val="000000" w:themeColor="text1"/>
          <w:sz w:val="22"/>
          <w:szCs w:val="22"/>
        </w:rPr>
      </w:pPr>
    </w:p>
    <w:p w:rsidR="00456032" w:rsidRPr="003F5A77" w:rsidRDefault="00456032" w:rsidP="000044F0">
      <w:pPr>
        <w:ind w:left="-851"/>
        <w:rPr>
          <w:rFonts w:asciiTheme="minorHAnsi" w:hAnsiTheme="minorHAnsi" w:cs="Arial"/>
          <w:color w:val="000000" w:themeColor="text1"/>
          <w:sz w:val="22"/>
          <w:szCs w:val="22"/>
        </w:rPr>
      </w:pPr>
      <w:proofErr w:type="gramStart"/>
      <w:r w:rsidRPr="003F5A77">
        <w:rPr>
          <w:rFonts w:asciiTheme="minorHAnsi" w:hAnsiTheme="minorHAnsi" w:cs="Arial"/>
          <w:color w:val="000000" w:themeColor="text1"/>
          <w:sz w:val="22"/>
          <w:szCs w:val="22"/>
        </w:rPr>
        <w:t>As a result</w:t>
      </w:r>
      <w:proofErr w:type="gramEnd"/>
      <w:r w:rsidRPr="003F5A77">
        <w:rPr>
          <w:rFonts w:asciiTheme="minorHAnsi" w:hAnsiTheme="minorHAnsi" w:cs="Arial"/>
          <w:color w:val="000000" w:themeColor="text1"/>
          <w:sz w:val="22"/>
          <w:szCs w:val="22"/>
        </w:rPr>
        <w:t>, the following data on</w:t>
      </w:r>
      <w:r w:rsidR="004E7726" w:rsidRPr="003F5A77">
        <w:rPr>
          <w:rFonts w:asciiTheme="minorHAnsi" w:hAnsiTheme="minorHAnsi" w:cs="Arial"/>
          <w:color w:val="000000" w:themeColor="text1"/>
          <w:sz w:val="22"/>
          <w:szCs w:val="22"/>
        </w:rPr>
        <w:t xml:space="preserve"> need for social housing in the region</w:t>
      </w:r>
      <w:r w:rsidRPr="003F5A77">
        <w:rPr>
          <w:rFonts w:asciiTheme="minorHAnsi" w:hAnsiTheme="minorHAnsi" w:cs="Arial"/>
          <w:color w:val="000000" w:themeColor="text1"/>
          <w:sz w:val="22"/>
          <w:szCs w:val="22"/>
        </w:rPr>
        <w:t xml:space="preserve"> should be read in the context of the </w:t>
      </w:r>
      <w:r w:rsidRPr="003F5A77">
        <w:rPr>
          <w:rFonts w:asciiTheme="minorHAnsi" w:hAnsiTheme="minorHAnsi" w:cs="Arial"/>
          <w:b/>
          <w:color w:val="000000" w:themeColor="text1"/>
          <w:sz w:val="22"/>
          <w:szCs w:val="22"/>
        </w:rPr>
        <w:t xml:space="preserve">minimum </w:t>
      </w:r>
      <w:r w:rsidRPr="003F5A77">
        <w:rPr>
          <w:rFonts w:asciiTheme="minorHAnsi" w:hAnsiTheme="minorHAnsi" w:cs="Arial"/>
          <w:color w:val="000000" w:themeColor="text1"/>
          <w:sz w:val="22"/>
          <w:szCs w:val="22"/>
        </w:rPr>
        <w:t>(rather than optimal) supply.</w:t>
      </w:r>
    </w:p>
    <w:p w:rsidR="004E7726" w:rsidRPr="003F5A77" w:rsidRDefault="004E7726" w:rsidP="000044F0">
      <w:pPr>
        <w:ind w:left="-851"/>
        <w:rPr>
          <w:rFonts w:asciiTheme="minorHAnsi" w:hAnsiTheme="minorHAnsi" w:cs="Arial"/>
          <w:color w:val="000000" w:themeColor="text1"/>
          <w:sz w:val="22"/>
          <w:szCs w:val="22"/>
        </w:rPr>
      </w:pPr>
    </w:p>
    <w:p w:rsidR="005807D5" w:rsidRPr="003F5A77" w:rsidRDefault="005807D5" w:rsidP="000044F0">
      <w:pPr>
        <w:ind w:left="-851"/>
        <w:rPr>
          <w:rFonts w:ascii="Calibri" w:eastAsiaTheme="majorEastAsia" w:hAnsi="Calibri" w:cstheme="majorBidi"/>
          <w:color w:val="1F497D" w:themeColor="text2"/>
          <w:lang w:val="en-US" w:eastAsia="en-US"/>
        </w:rPr>
      </w:pPr>
      <w:r w:rsidRPr="003F5A77">
        <w:rPr>
          <w:rFonts w:ascii="Calibri" w:eastAsiaTheme="majorEastAsia" w:hAnsi="Calibri" w:cstheme="majorBidi"/>
          <w:color w:val="1F497D" w:themeColor="text2"/>
          <w:lang w:val="en-US" w:eastAsia="en-US"/>
        </w:rPr>
        <w:t>A note on methodology</w:t>
      </w:r>
    </w:p>
    <w:p w:rsidR="005807D5" w:rsidRPr="003F5A77" w:rsidRDefault="005807D5" w:rsidP="000044F0">
      <w:pPr>
        <w:ind w:left="-851"/>
        <w:rPr>
          <w:rFonts w:asciiTheme="minorHAnsi" w:hAnsiTheme="minorHAnsi" w:cs="Arial"/>
          <w:b/>
          <w:color w:val="000000" w:themeColor="text1"/>
          <w:sz w:val="22"/>
          <w:szCs w:val="22"/>
        </w:rPr>
      </w:pPr>
    </w:p>
    <w:p w:rsidR="00E1534F" w:rsidRPr="003F5A77" w:rsidRDefault="00E1534F" w:rsidP="000044F0">
      <w:pPr>
        <w:ind w:left="-851"/>
        <w:rPr>
          <w:rFonts w:asciiTheme="minorHAnsi" w:hAnsiTheme="minorHAnsi" w:cs="Arial"/>
          <w:sz w:val="22"/>
          <w:szCs w:val="22"/>
        </w:rPr>
      </w:pPr>
      <w:r w:rsidRPr="003F5A77">
        <w:rPr>
          <w:rFonts w:asciiTheme="minorHAnsi" w:hAnsiTheme="minorHAnsi" w:cs="Arial"/>
          <w:sz w:val="22"/>
          <w:szCs w:val="22"/>
        </w:rPr>
        <w:t>The minimum supply of social housi</w:t>
      </w:r>
      <w:r w:rsidR="005807D5" w:rsidRPr="003F5A77">
        <w:rPr>
          <w:rFonts w:asciiTheme="minorHAnsi" w:hAnsiTheme="minorHAnsi" w:cs="Arial"/>
          <w:sz w:val="22"/>
          <w:szCs w:val="22"/>
        </w:rPr>
        <w:t>ng methodology used to establish the baseline in 2010 and updated in 2014 was</w:t>
      </w:r>
      <w:r w:rsidRPr="003F5A77">
        <w:rPr>
          <w:rFonts w:asciiTheme="minorHAnsi" w:hAnsiTheme="minorHAnsi" w:cs="Arial"/>
          <w:sz w:val="22"/>
          <w:szCs w:val="22"/>
        </w:rPr>
        <w:t xml:space="preserve"> based on ‘moderating’ forecast household numbers by averaging data produced by .id (built ‘bottom-up’ by small area, with local knowledge) and VIF (a State, ‘top-down’, distributive approach). Given that population and household forecasting is not an exact science, it was thought this approach would temper differences between the ‘higher’ and ‘lower’ ends of forecast increase.</w:t>
      </w:r>
    </w:p>
    <w:p w:rsidR="00E1534F" w:rsidRPr="003F5A77" w:rsidRDefault="00E1534F" w:rsidP="000044F0">
      <w:pPr>
        <w:ind w:left="-851"/>
        <w:rPr>
          <w:rFonts w:asciiTheme="minorHAnsi" w:hAnsiTheme="minorHAnsi" w:cs="Arial"/>
          <w:color w:val="FF0000"/>
          <w:sz w:val="22"/>
          <w:szCs w:val="22"/>
        </w:rPr>
      </w:pPr>
    </w:p>
    <w:p w:rsidR="00E1534F" w:rsidRPr="003F5A77" w:rsidRDefault="00E1534F" w:rsidP="000044F0">
      <w:pPr>
        <w:ind w:left="-851"/>
        <w:rPr>
          <w:rFonts w:asciiTheme="minorHAnsi" w:hAnsiTheme="minorHAnsi" w:cs="Arial"/>
          <w:sz w:val="22"/>
          <w:szCs w:val="22"/>
        </w:rPr>
      </w:pPr>
      <w:r w:rsidRPr="003F5A77">
        <w:rPr>
          <w:rFonts w:asciiTheme="minorHAnsi" w:hAnsiTheme="minorHAnsi" w:cs="Arial"/>
          <w:sz w:val="22"/>
          <w:szCs w:val="22"/>
        </w:rPr>
        <w:t>At present, VIF forecasting at LGA level does not extend beyond 2031 (VIF projections, 2014). The smallest area for which forecasts are published (out to 2051) in the most recent VIF forecasts (2016), is by major region (SA4, such as Greater Melbourne Capital City Areas) which does not provide the level of detail needed for this exercise.</w:t>
      </w:r>
    </w:p>
    <w:p w:rsidR="00E1534F" w:rsidRPr="003F5A77" w:rsidRDefault="00E1534F" w:rsidP="000044F0">
      <w:pPr>
        <w:ind w:left="-851"/>
        <w:rPr>
          <w:rFonts w:asciiTheme="minorHAnsi" w:hAnsiTheme="minorHAnsi" w:cs="Arial"/>
          <w:color w:val="FF0000"/>
          <w:sz w:val="22"/>
          <w:szCs w:val="22"/>
        </w:rPr>
      </w:pPr>
    </w:p>
    <w:p w:rsidR="00675C30" w:rsidRPr="003F5A77" w:rsidRDefault="00E1534F" w:rsidP="000044F0">
      <w:pPr>
        <w:ind w:left="-851"/>
        <w:rPr>
          <w:rFonts w:asciiTheme="minorHAnsi" w:hAnsiTheme="minorHAnsi" w:cs="Arial"/>
          <w:sz w:val="22"/>
          <w:szCs w:val="22"/>
        </w:rPr>
      </w:pPr>
      <w:r w:rsidRPr="003F5A77">
        <w:rPr>
          <w:rFonts w:asciiTheme="minorHAnsi" w:hAnsiTheme="minorHAnsi" w:cs="Arial"/>
          <w:sz w:val="22"/>
          <w:szCs w:val="22"/>
        </w:rPr>
        <w:t>While there is an option to revert to.id forecast data only in the future–and there may merit in this, given that these forecasts are developed specifically for local government application and with specific local knowledge and input – this change in methodology would undermine comparison with past reviews</w:t>
      </w:r>
      <w:r w:rsidR="00675C30" w:rsidRPr="003F5A77">
        <w:rPr>
          <w:rFonts w:asciiTheme="minorHAnsi" w:hAnsiTheme="minorHAnsi" w:cs="Arial"/>
          <w:sz w:val="22"/>
          <w:szCs w:val="22"/>
        </w:rPr>
        <w:t>.</w:t>
      </w:r>
      <w:r w:rsidR="005807D5" w:rsidRPr="003F5A77">
        <w:rPr>
          <w:rFonts w:asciiTheme="minorHAnsi" w:hAnsiTheme="minorHAnsi" w:cs="Arial"/>
          <w:sz w:val="22"/>
          <w:szCs w:val="22"/>
        </w:rPr>
        <w:t xml:space="preserve"> </w:t>
      </w:r>
      <w:r w:rsidR="00675C30" w:rsidRPr="003F5A77">
        <w:rPr>
          <w:rFonts w:asciiTheme="minorHAnsi" w:hAnsiTheme="minorHAnsi" w:cs="Arial"/>
          <w:sz w:val="22"/>
          <w:szCs w:val="22"/>
        </w:rPr>
        <w:t xml:space="preserve"> </w:t>
      </w:r>
    </w:p>
    <w:p w:rsidR="003F5A77" w:rsidRDefault="003F5A77">
      <w:pPr>
        <w:rPr>
          <w:rFonts w:asciiTheme="minorHAnsi" w:hAnsiTheme="minorHAnsi" w:cs="Arial"/>
          <w:sz w:val="22"/>
          <w:szCs w:val="22"/>
        </w:rPr>
      </w:pPr>
      <w:r>
        <w:rPr>
          <w:rFonts w:asciiTheme="minorHAnsi" w:hAnsiTheme="minorHAnsi" w:cs="Arial"/>
          <w:sz w:val="22"/>
          <w:szCs w:val="22"/>
        </w:rPr>
        <w:br w:type="page"/>
      </w:r>
    </w:p>
    <w:p w:rsidR="00675C30" w:rsidRPr="003F5A77" w:rsidRDefault="00675C30" w:rsidP="000044F0">
      <w:pPr>
        <w:ind w:left="-851"/>
        <w:rPr>
          <w:rFonts w:asciiTheme="minorHAnsi" w:hAnsiTheme="minorHAnsi" w:cs="Arial"/>
          <w:sz w:val="22"/>
          <w:szCs w:val="22"/>
        </w:rPr>
      </w:pPr>
    </w:p>
    <w:p w:rsidR="00E1534F" w:rsidRPr="003F5A77" w:rsidRDefault="00E1534F" w:rsidP="000044F0">
      <w:pPr>
        <w:ind w:left="-851"/>
        <w:rPr>
          <w:rFonts w:asciiTheme="minorHAnsi" w:hAnsiTheme="minorHAnsi" w:cs="Arial"/>
          <w:sz w:val="22"/>
          <w:szCs w:val="22"/>
        </w:rPr>
      </w:pPr>
      <w:r w:rsidRPr="003F5A77">
        <w:rPr>
          <w:rFonts w:asciiTheme="minorHAnsi" w:hAnsiTheme="minorHAnsi" w:cs="Arial"/>
          <w:sz w:val="22"/>
          <w:szCs w:val="22"/>
        </w:rPr>
        <w:t>Of the six</w:t>
      </w:r>
      <w:r w:rsidR="00675C30" w:rsidRPr="003F5A77">
        <w:rPr>
          <w:rFonts w:asciiTheme="minorHAnsi" w:hAnsiTheme="minorHAnsi" w:cs="Arial"/>
          <w:sz w:val="22"/>
          <w:szCs w:val="22"/>
        </w:rPr>
        <w:t xml:space="preserve"> councils in the EAHA</w:t>
      </w:r>
      <w:r w:rsidRPr="003F5A77">
        <w:rPr>
          <w:rFonts w:asciiTheme="minorHAnsi" w:hAnsiTheme="minorHAnsi" w:cs="Arial"/>
          <w:sz w:val="22"/>
          <w:szCs w:val="22"/>
        </w:rPr>
        <w:t xml:space="preserve">, VIF forecasting is consistently </w:t>
      </w:r>
      <w:r w:rsidRPr="003F5A77">
        <w:rPr>
          <w:rFonts w:asciiTheme="minorHAnsi" w:hAnsiTheme="minorHAnsi" w:cs="Arial"/>
          <w:i/>
          <w:sz w:val="22"/>
          <w:szCs w:val="22"/>
        </w:rPr>
        <w:t>higher</w:t>
      </w:r>
      <w:r w:rsidRPr="003F5A77">
        <w:rPr>
          <w:rFonts w:asciiTheme="minorHAnsi" w:hAnsiTheme="minorHAnsi" w:cs="Arial"/>
          <w:sz w:val="22"/>
          <w:szCs w:val="22"/>
        </w:rPr>
        <w:t xml:space="preserve"> than the .id projections for four, and consistently </w:t>
      </w:r>
      <w:r w:rsidRPr="003F5A77">
        <w:rPr>
          <w:rFonts w:asciiTheme="minorHAnsi" w:hAnsiTheme="minorHAnsi" w:cs="Arial"/>
          <w:i/>
          <w:sz w:val="22"/>
          <w:szCs w:val="22"/>
        </w:rPr>
        <w:t xml:space="preserve">lower </w:t>
      </w:r>
      <w:r w:rsidRPr="003F5A77">
        <w:rPr>
          <w:rFonts w:asciiTheme="minorHAnsi" w:hAnsiTheme="minorHAnsi" w:cs="Arial"/>
          <w:sz w:val="22"/>
          <w:szCs w:val="22"/>
        </w:rPr>
        <w:t>for the other two.</w:t>
      </w:r>
      <w:r w:rsidRPr="003F5A77">
        <w:rPr>
          <w:rStyle w:val="FootnoteReference"/>
          <w:rFonts w:asciiTheme="minorHAnsi" w:hAnsiTheme="minorHAnsi" w:cs="Arial"/>
          <w:sz w:val="22"/>
          <w:szCs w:val="22"/>
        </w:rPr>
        <w:footnoteReference w:id="8"/>
      </w:r>
      <w:r w:rsidRPr="003F5A77">
        <w:rPr>
          <w:rFonts w:asciiTheme="minorHAnsi" w:hAnsiTheme="minorHAnsi" w:cs="Arial"/>
          <w:sz w:val="22"/>
          <w:szCs w:val="22"/>
        </w:rPr>
        <w:t xml:space="preserve"> Pegging the estimated number of households post-2031 to the id forecast alone would either ‘damp down’ or magnify the number of households ‘in need’ </w:t>
      </w:r>
      <w:r w:rsidR="00FC6B0E" w:rsidRPr="003F5A77">
        <w:rPr>
          <w:rFonts w:asciiTheme="minorHAnsi" w:hAnsiTheme="minorHAnsi" w:cs="Arial"/>
          <w:sz w:val="22"/>
          <w:szCs w:val="22"/>
        </w:rPr>
        <w:t>compared with previous reviews and affect</w:t>
      </w:r>
      <w:r w:rsidRPr="003F5A77">
        <w:rPr>
          <w:rFonts w:asciiTheme="minorHAnsi" w:hAnsiTheme="minorHAnsi" w:cs="Arial"/>
          <w:sz w:val="22"/>
          <w:szCs w:val="22"/>
        </w:rPr>
        <w:t xml:space="preserve"> calculation of any social housing shortfall post-2031, relative to previous years when moderated (averaged) data was used.</w:t>
      </w:r>
    </w:p>
    <w:p w:rsidR="00E1534F" w:rsidRPr="003F5A77" w:rsidRDefault="00E1534F" w:rsidP="000044F0">
      <w:pPr>
        <w:ind w:left="-851"/>
        <w:rPr>
          <w:rFonts w:asciiTheme="minorHAnsi" w:hAnsiTheme="minorHAnsi" w:cs="Arial"/>
          <w:color w:val="FF0000"/>
          <w:sz w:val="22"/>
          <w:szCs w:val="22"/>
        </w:rPr>
      </w:pPr>
    </w:p>
    <w:p w:rsidR="00E1534F" w:rsidRPr="003F5A77" w:rsidRDefault="00E1534F" w:rsidP="000044F0">
      <w:pPr>
        <w:ind w:left="-851"/>
        <w:rPr>
          <w:rFonts w:asciiTheme="minorHAnsi" w:hAnsiTheme="minorHAnsi" w:cs="Arial"/>
          <w:b/>
          <w:sz w:val="22"/>
          <w:szCs w:val="22"/>
        </w:rPr>
      </w:pPr>
      <w:r w:rsidRPr="003F5A77">
        <w:rPr>
          <w:rFonts w:asciiTheme="minorHAnsi" w:hAnsiTheme="minorHAnsi" w:cs="Arial"/>
          <w:b/>
          <w:sz w:val="22"/>
          <w:szCs w:val="22"/>
        </w:rPr>
        <w:t>An alternative</w:t>
      </w:r>
      <w:r w:rsidR="00FC6B0E" w:rsidRPr="003F5A77">
        <w:rPr>
          <w:rFonts w:asciiTheme="minorHAnsi" w:hAnsiTheme="minorHAnsi" w:cs="Arial"/>
          <w:b/>
          <w:sz w:val="22"/>
          <w:szCs w:val="22"/>
        </w:rPr>
        <w:t xml:space="preserve"> approach, as used in this review</w:t>
      </w:r>
      <w:r w:rsidRPr="003F5A77">
        <w:rPr>
          <w:rFonts w:asciiTheme="minorHAnsi" w:hAnsiTheme="minorHAnsi" w:cs="Arial"/>
          <w:b/>
          <w:sz w:val="22"/>
          <w:szCs w:val="22"/>
        </w:rPr>
        <w:t>, is to project the VIF forecast into the near future, based on the growth trajectory established in previous years.</w:t>
      </w:r>
    </w:p>
    <w:p w:rsidR="00E1534F" w:rsidRPr="003F5A77" w:rsidRDefault="00E1534F" w:rsidP="000044F0">
      <w:pPr>
        <w:ind w:left="-851"/>
        <w:rPr>
          <w:rFonts w:asciiTheme="minorHAnsi" w:hAnsiTheme="minorHAnsi" w:cs="Arial"/>
          <w:sz w:val="22"/>
          <w:szCs w:val="22"/>
        </w:rPr>
      </w:pPr>
    </w:p>
    <w:p w:rsidR="00E1534F" w:rsidRPr="003F5A77" w:rsidRDefault="00E1534F" w:rsidP="000044F0">
      <w:pPr>
        <w:ind w:left="-851"/>
        <w:rPr>
          <w:rFonts w:asciiTheme="minorHAnsi" w:hAnsiTheme="minorHAnsi" w:cs="Arial"/>
          <w:sz w:val="22"/>
          <w:szCs w:val="22"/>
        </w:rPr>
      </w:pPr>
      <w:r w:rsidRPr="003F5A77">
        <w:rPr>
          <w:rFonts w:asciiTheme="minorHAnsi" w:hAnsiTheme="minorHAnsi" w:cs="Arial"/>
          <w:sz w:val="22"/>
          <w:szCs w:val="22"/>
        </w:rPr>
        <w:t>This enables the development of estimates of the number of households in 2036 based on a continuation of an assumed VIF pathway, which can then be averaged with the .id forecast to produce a moderated estimate.</w:t>
      </w:r>
    </w:p>
    <w:p w:rsidR="00E1534F" w:rsidRPr="003F5A77" w:rsidRDefault="00E1534F" w:rsidP="000044F0">
      <w:pPr>
        <w:ind w:left="-851"/>
        <w:rPr>
          <w:rFonts w:asciiTheme="minorHAnsi" w:hAnsiTheme="minorHAnsi" w:cs="Arial"/>
          <w:sz w:val="22"/>
          <w:szCs w:val="22"/>
        </w:rPr>
      </w:pPr>
    </w:p>
    <w:p w:rsidR="004E7726" w:rsidRPr="003F5A77" w:rsidRDefault="00E1534F" w:rsidP="000044F0">
      <w:pPr>
        <w:ind w:left="-851"/>
        <w:rPr>
          <w:rFonts w:asciiTheme="minorHAnsi" w:hAnsiTheme="minorHAnsi" w:cs="Arial"/>
          <w:b/>
          <w:color w:val="000000" w:themeColor="text1"/>
          <w:sz w:val="22"/>
          <w:szCs w:val="22"/>
        </w:rPr>
      </w:pPr>
      <w:r w:rsidRPr="003F5A77">
        <w:rPr>
          <w:rFonts w:asciiTheme="minorHAnsi" w:hAnsiTheme="minorHAnsi" w:cs="Arial"/>
          <w:sz w:val="22"/>
          <w:szCs w:val="22"/>
        </w:rPr>
        <w:t>Appendix A demonstrates the thinking and impact of this approach, visually</w:t>
      </w:r>
      <w:r w:rsidR="00FC6B0E" w:rsidRPr="003F5A77">
        <w:rPr>
          <w:rFonts w:asciiTheme="minorHAnsi" w:hAnsiTheme="minorHAnsi" w:cs="Arial"/>
          <w:sz w:val="22"/>
          <w:szCs w:val="22"/>
        </w:rPr>
        <w:t>.</w:t>
      </w:r>
    </w:p>
    <w:p w:rsidR="004E7726" w:rsidRPr="003F5A77" w:rsidRDefault="004E7726" w:rsidP="000044F0">
      <w:pPr>
        <w:ind w:left="-851"/>
        <w:rPr>
          <w:rFonts w:asciiTheme="minorHAnsi" w:hAnsiTheme="minorHAnsi" w:cs="Arial"/>
          <w:b/>
          <w:color w:val="000000" w:themeColor="text1"/>
          <w:sz w:val="22"/>
          <w:szCs w:val="22"/>
        </w:rPr>
      </w:pPr>
    </w:p>
    <w:p w:rsidR="00F31E9A" w:rsidRPr="003F5A77" w:rsidRDefault="00F31E9A" w:rsidP="009656F2">
      <w:pPr>
        <w:pStyle w:val="ListParagraph"/>
        <w:numPr>
          <w:ilvl w:val="0"/>
          <w:numId w:val="14"/>
        </w:numPr>
        <w:rPr>
          <w:rFonts w:ascii="Calibri" w:eastAsiaTheme="majorEastAsia" w:hAnsi="Calibri" w:cstheme="majorBidi"/>
          <w:color w:val="1F497D" w:themeColor="text2"/>
          <w:sz w:val="30"/>
          <w:szCs w:val="30"/>
          <w:lang w:val="en-US" w:eastAsia="en-US"/>
        </w:rPr>
      </w:pPr>
      <w:r w:rsidRPr="003F5A77">
        <w:rPr>
          <w:rFonts w:ascii="Calibri" w:eastAsiaTheme="majorEastAsia" w:hAnsi="Calibri" w:cstheme="majorBidi"/>
          <w:color w:val="1F497D" w:themeColor="text2"/>
          <w:sz w:val="30"/>
          <w:szCs w:val="30"/>
          <w:lang w:val="en-US" w:eastAsia="en-US"/>
        </w:rPr>
        <w:t>Social housing shortfall</w:t>
      </w:r>
    </w:p>
    <w:p w:rsidR="00F31E9A" w:rsidRPr="003F5A77" w:rsidRDefault="00F31E9A" w:rsidP="000044F0">
      <w:pPr>
        <w:ind w:left="-851"/>
        <w:rPr>
          <w:rFonts w:asciiTheme="minorHAnsi" w:hAnsiTheme="minorHAnsi" w:cs="Arial"/>
          <w:b/>
          <w:color w:val="000000" w:themeColor="text1"/>
          <w:sz w:val="22"/>
          <w:szCs w:val="22"/>
        </w:rPr>
      </w:pPr>
    </w:p>
    <w:p w:rsidR="00AA2BCB" w:rsidRPr="003F5A77" w:rsidRDefault="00F31E9A"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following table summarises the social housing shortfall in</w:t>
      </w:r>
      <w:r w:rsidR="00FC6B0E" w:rsidRPr="003F5A77">
        <w:rPr>
          <w:rFonts w:asciiTheme="minorHAnsi" w:hAnsiTheme="minorHAnsi" w:cs="Arial"/>
          <w:color w:val="000000" w:themeColor="text1"/>
          <w:sz w:val="22"/>
          <w:szCs w:val="22"/>
        </w:rPr>
        <w:t xml:space="preserve"> the EAHA</w:t>
      </w:r>
      <w:r w:rsidRPr="003F5A77">
        <w:rPr>
          <w:rFonts w:asciiTheme="minorHAnsi" w:hAnsiTheme="minorHAnsi" w:cs="Arial"/>
          <w:color w:val="000000" w:themeColor="text1"/>
          <w:sz w:val="22"/>
          <w:szCs w:val="22"/>
        </w:rPr>
        <w:t xml:space="preserve"> anticipated over the next twenty</w:t>
      </w:r>
      <w:r w:rsidR="00FC6B0E" w:rsidRPr="003F5A77">
        <w:rPr>
          <w:rFonts w:asciiTheme="minorHAnsi" w:hAnsiTheme="minorHAnsi" w:cs="Arial"/>
          <w:color w:val="000000" w:themeColor="text1"/>
          <w:sz w:val="22"/>
          <w:szCs w:val="22"/>
        </w:rPr>
        <w:t xml:space="preserve"> </w:t>
      </w:r>
      <w:r w:rsidR="00AA2BCB" w:rsidRPr="003F5A77">
        <w:rPr>
          <w:rFonts w:asciiTheme="minorHAnsi" w:hAnsiTheme="minorHAnsi" w:cs="Arial"/>
          <w:color w:val="000000" w:themeColor="text1"/>
          <w:sz w:val="22"/>
          <w:szCs w:val="22"/>
        </w:rPr>
        <w:t>years if there is no</w:t>
      </w:r>
      <w:r w:rsidRPr="003F5A77">
        <w:rPr>
          <w:rFonts w:asciiTheme="minorHAnsi" w:hAnsiTheme="minorHAnsi" w:cs="Arial"/>
          <w:color w:val="000000" w:themeColor="text1"/>
          <w:sz w:val="22"/>
          <w:szCs w:val="22"/>
        </w:rPr>
        <w:t xml:space="preserve"> intervention to increase the social and affordable housing supply.</w:t>
      </w:r>
      <w:r w:rsidR="00312A62" w:rsidRPr="003F5A77">
        <w:rPr>
          <w:rFonts w:asciiTheme="minorHAnsi" w:hAnsiTheme="minorHAnsi" w:cs="Arial"/>
          <w:color w:val="000000" w:themeColor="text1"/>
          <w:sz w:val="22"/>
          <w:szCs w:val="22"/>
        </w:rPr>
        <w:t xml:space="preserve"> </w:t>
      </w:r>
    </w:p>
    <w:p w:rsidR="00AA2BCB" w:rsidRPr="003F5A77" w:rsidRDefault="00AA2BCB" w:rsidP="000044F0">
      <w:pPr>
        <w:ind w:left="-851"/>
        <w:rPr>
          <w:rFonts w:asciiTheme="minorHAnsi" w:hAnsiTheme="minorHAnsi" w:cs="Arial"/>
          <w:color w:val="000000" w:themeColor="text1"/>
          <w:sz w:val="22"/>
          <w:szCs w:val="22"/>
        </w:rPr>
      </w:pPr>
    </w:p>
    <w:p w:rsidR="00F31E9A" w:rsidRPr="003F5A77" w:rsidRDefault="00312A62" w:rsidP="000044F0">
      <w:pPr>
        <w:ind w:left="-851"/>
        <w:rPr>
          <w:rFonts w:asciiTheme="minorHAnsi" w:hAnsiTheme="minorHAnsi" w:cs="Arial"/>
          <w:color w:val="000000" w:themeColor="text1"/>
          <w:sz w:val="22"/>
          <w:szCs w:val="22"/>
        </w:rPr>
      </w:pPr>
      <w:proofErr w:type="gramStart"/>
      <w:r w:rsidRPr="003F5A77">
        <w:rPr>
          <w:rFonts w:asciiTheme="minorHAnsi" w:hAnsiTheme="minorHAnsi" w:cs="Arial"/>
          <w:color w:val="000000" w:themeColor="text1"/>
          <w:sz w:val="22"/>
          <w:szCs w:val="22"/>
        </w:rPr>
        <w:t>This data is followed by the detailed data</w:t>
      </w:r>
      <w:proofErr w:type="gramEnd"/>
      <w:r w:rsidRPr="003F5A77">
        <w:rPr>
          <w:rFonts w:asciiTheme="minorHAnsi" w:hAnsiTheme="minorHAnsi" w:cs="Arial"/>
          <w:color w:val="000000" w:themeColor="text1"/>
          <w:sz w:val="22"/>
          <w:szCs w:val="22"/>
        </w:rPr>
        <w:t xml:space="preserve"> by municipality, illustrative of local differences in social and affordable housing conditions.</w:t>
      </w:r>
    </w:p>
    <w:p w:rsidR="00312A62" w:rsidRPr="003F5A77" w:rsidRDefault="00312A62" w:rsidP="000044F0">
      <w:pPr>
        <w:ind w:left="-851"/>
        <w:rPr>
          <w:rFonts w:asciiTheme="minorHAnsi" w:hAnsiTheme="minorHAnsi" w:cs="Arial"/>
          <w:color w:val="000000" w:themeColor="text1"/>
          <w:sz w:val="22"/>
          <w:szCs w:val="22"/>
        </w:rPr>
      </w:pPr>
    </w:p>
    <w:tbl>
      <w:tblPr>
        <w:tblStyle w:val="ListTable3-Accent1"/>
        <w:tblW w:w="10233" w:type="dxa"/>
        <w:tblInd w:w="-856" w:type="dxa"/>
        <w:tblLook w:val="04A0" w:firstRow="1" w:lastRow="0" w:firstColumn="1" w:lastColumn="0" w:noHBand="0" w:noVBand="1"/>
      </w:tblPr>
      <w:tblGrid>
        <w:gridCol w:w="1560"/>
        <w:gridCol w:w="1210"/>
        <w:gridCol w:w="1604"/>
        <w:gridCol w:w="1431"/>
        <w:gridCol w:w="1070"/>
        <w:gridCol w:w="1430"/>
        <w:gridCol w:w="1044"/>
        <w:gridCol w:w="884"/>
      </w:tblGrid>
      <w:tr w:rsidR="00312A62" w:rsidRPr="003F5A77" w:rsidTr="009656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33" w:type="dxa"/>
            <w:gridSpan w:val="8"/>
          </w:tcPr>
          <w:p w:rsidR="00312A62" w:rsidRPr="003F5A77" w:rsidRDefault="00312A62" w:rsidP="009656F2">
            <w:pPr>
              <w:rPr>
                <w:rFonts w:asciiTheme="minorHAnsi" w:hAnsiTheme="minorHAnsi" w:cs="Arial"/>
                <w:sz w:val="22"/>
                <w:szCs w:val="22"/>
              </w:rPr>
            </w:pPr>
            <w:r w:rsidRPr="003F5A77">
              <w:rPr>
                <w:rFonts w:asciiTheme="minorHAnsi" w:hAnsiTheme="minorHAnsi" w:cs="Arial"/>
                <w:sz w:val="22"/>
                <w:szCs w:val="22"/>
              </w:rPr>
              <w:t>Table 2.1 Shortfall of social housing summary – Eastern Metropolitan Region, 2016 -2036</w:t>
            </w:r>
          </w:p>
        </w:tc>
      </w:tr>
      <w:tr w:rsidR="00022037" w:rsidRPr="003F5A77" w:rsidTr="00167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022037" w:rsidRPr="003F5A77" w:rsidRDefault="00022037" w:rsidP="009656F2">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Year</w:t>
            </w:r>
          </w:p>
        </w:tc>
        <w:tc>
          <w:tcPr>
            <w:tcW w:w="1210" w:type="dxa"/>
          </w:tcPr>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Knox</w:t>
            </w:r>
          </w:p>
        </w:tc>
        <w:tc>
          <w:tcPr>
            <w:tcW w:w="1604" w:type="dxa"/>
          </w:tcPr>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Manningham</w:t>
            </w:r>
          </w:p>
        </w:tc>
        <w:tc>
          <w:tcPr>
            <w:tcW w:w="1431" w:type="dxa"/>
          </w:tcPr>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Maroondah</w:t>
            </w:r>
          </w:p>
        </w:tc>
        <w:tc>
          <w:tcPr>
            <w:tcW w:w="1070" w:type="dxa"/>
          </w:tcPr>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Monash</w:t>
            </w:r>
          </w:p>
        </w:tc>
        <w:tc>
          <w:tcPr>
            <w:tcW w:w="1430" w:type="dxa"/>
          </w:tcPr>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Whitehorse</w:t>
            </w:r>
          </w:p>
        </w:tc>
        <w:tc>
          <w:tcPr>
            <w:tcW w:w="1044" w:type="dxa"/>
          </w:tcPr>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Yarra Ranges</w:t>
            </w:r>
          </w:p>
        </w:tc>
        <w:tc>
          <w:tcPr>
            <w:tcW w:w="884" w:type="dxa"/>
          </w:tcPr>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Total EAHA</w:t>
            </w:r>
          </w:p>
        </w:tc>
      </w:tr>
      <w:tr w:rsidR="00022037" w:rsidRPr="003F5A77" w:rsidTr="001679A6">
        <w:tc>
          <w:tcPr>
            <w:cnfStyle w:val="001000000000" w:firstRow="0" w:lastRow="0" w:firstColumn="1" w:lastColumn="0" w:oddVBand="0" w:evenVBand="0" w:oddHBand="0" w:evenHBand="0" w:firstRowFirstColumn="0" w:firstRowLastColumn="0" w:lastRowFirstColumn="0" w:lastRowLastColumn="0"/>
            <w:tcW w:w="1560" w:type="dxa"/>
          </w:tcPr>
          <w:p w:rsidR="00022037" w:rsidRPr="003F5A77" w:rsidRDefault="00022037" w:rsidP="009656F2">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(2016)</w:t>
            </w:r>
          </w:p>
        </w:tc>
        <w:tc>
          <w:tcPr>
            <w:tcW w:w="1210" w:type="dxa"/>
          </w:tcPr>
          <w:p w:rsidR="00022037" w:rsidRPr="003F5A77" w:rsidRDefault="00C96E64"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39</w:t>
            </w:r>
            <w:r w:rsidR="00022037" w:rsidRPr="003F5A77">
              <w:rPr>
                <w:rFonts w:asciiTheme="minorHAnsi" w:hAnsiTheme="minorHAnsi" w:cs="Arial"/>
                <w:color w:val="000000" w:themeColor="text1"/>
                <w:sz w:val="22"/>
                <w:szCs w:val="22"/>
              </w:rPr>
              <w:t>0</w:t>
            </w:r>
          </w:p>
        </w:tc>
        <w:tc>
          <w:tcPr>
            <w:tcW w:w="1604" w:type="dxa"/>
          </w:tcPr>
          <w:p w:rsidR="00022037" w:rsidRPr="003F5A77" w:rsidRDefault="004074B4"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1630</w:t>
            </w:r>
          </w:p>
        </w:tc>
        <w:tc>
          <w:tcPr>
            <w:tcW w:w="1431" w:type="dxa"/>
          </w:tcPr>
          <w:p w:rsidR="00022037" w:rsidRPr="003F5A77" w:rsidRDefault="00A51046"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130</w:t>
            </w:r>
          </w:p>
        </w:tc>
        <w:tc>
          <w:tcPr>
            <w:tcW w:w="1070" w:type="dxa"/>
          </w:tcPr>
          <w:p w:rsidR="00022037" w:rsidRPr="003F5A77" w:rsidRDefault="00A15EB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2820</w:t>
            </w:r>
          </w:p>
        </w:tc>
        <w:tc>
          <w:tcPr>
            <w:tcW w:w="1430" w:type="dxa"/>
          </w:tcPr>
          <w:p w:rsidR="00022037" w:rsidRPr="003F5A77" w:rsidRDefault="006F0613"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2350</w:t>
            </w:r>
          </w:p>
        </w:tc>
        <w:tc>
          <w:tcPr>
            <w:tcW w:w="1044" w:type="dxa"/>
          </w:tcPr>
          <w:p w:rsidR="00022037" w:rsidRPr="003F5A77" w:rsidRDefault="005E24B8"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650</w:t>
            </w:r>
          </w:p>
        </w:tc>
        <w:tc>
          <w:tcPr>
            <w:tcW w:w="884" w:type="dxa"/>
          </w:tcPr>
          <w:p w:rsidR="00022037" w:rsidRPr="003F5A77" w:rsidRDefault="00A6358A"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7970</w:t>
            </w:r>
          </w:p>
        </w:tc>
      </w:tr>
      <w:tr w:rsidR="00022037" w:rsidRPr="003F5A77" w:rsidTr="00167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022037" w:rsidRPr="003F5A77" w:rsidRDefault="00022037" w:rsidP="009656F2">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2021</w:t>
            </w:r>
          </w:p>
        </w:tc>
        <w:tc>
          <w:tcPr>
            <w:tcW w:w="1210" w:type="dxa"/>
          </w:tcPr>
          <w:p w:rsidR="00AA2BCB" w:rsidRPr="003F5A77" w:rsidRDefault="00AA2BCB"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530</w:t>
            </w:r>
          </w:p>
        </w:tc>
        <w:tc>
          <w:tcPr>
            <w:tcW w:w="1604"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4074B4"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1810</w:t>
            </w:r>
          </w:p>
        </w:tc>
        <w:tc>
          <w:tcPr>
            <w:tcW w:w="1431"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51046"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230</w:t>
            </w:r>
          </w:p>
        </w:tc>
        <w:tc>
          <w:tcPr>
            <w:tcW w:w="1070"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15EB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3070</w:t>
            </w:r>
          </w:p>
        </w:tc>
        <w:tc>
          <w:tcPr>
            <w:tcW w:w="1430"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6F0613"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2660</w:t>
            </w:r>
          </w:p>
        </w:tc>
        <w:tc>
          <w:tcPr>
            <w:tcW w:w="1044"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5E24B8"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730</w:t>
            </w:r>
          </w:p>
        </w:tc>
        <w:tc>
          <w:tcPr>
            <w:tcW w:w="884" w:type="dxa"/>
          </w:tcPr>
          <w:p w:rsidR="00AA2BCB" w:rsidRPr="003F5A77" w:rsidRDefault="00AA2BCB"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6358A"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9030</w:t>
            </w:r>
          </w:p>
        </w:tc>
      </w:tr>
      <w:tr w:rsidR="00022037" w:rsidRPr="003F5A77" w:rsidTr="001679A6">
        <w:tc>
          <w:tcPr>
            <w:cnfStyle w:val="001000000000" w:firstRow="0" w:lastRow="0" w:firstColumn="1" w:lastColumn="0" w:oddVBand="0" w:evenVBand="0" w:oddHBand="0" w:evenHBand="0" w:firstRowFirstColumn="0" w:firstRowLastColumn="0" w:lastRowFirstColumn="0" w:lastRowLastColumn="0"/>
            <w:tcW w:w="1560" w:type="dxa"/>
          </w:tcPr>
          <w:p w:rsidR="00022037" w:rsidRPr="003F5A77" w:rsidRDefault="00022037" w:rsidP="009656F2">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2026</w:t>
            </w:r>
          </w:p>
        </w:tc>
        <w:tc>
          <w:tcPr>
            <w:tcW w:w="1210" w:type="dxa"/>
          </w:tcPr>
          <w:p w:rsidR="00AA2BCB" w:rsidRPr="003F5A77" w:rsidRDefault="00AA2BCB"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022037"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640</w:t>
            </w:r>
          </w:p>
        </w:tc>
        <w:tc>
          <w:tcPr>
            <w:tcW w:w="1604"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4074B4"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1930</w:t>
            </w:r>
          </w:p>
        </w:tc>
        <w:tc>
          <w:tcPr>
            <w:tcW w:w="1431"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51046"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320</w:t>
            </w:r>
          </w:p>
        </w:tc>
        <w:tc>
          <w:tcPr>
            <w:tcW w:w="1070"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15EB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3260</w:t>
            </w:r>
          </w:p>
        </w:tc>
        <w:tc>
          <w:tcPr>
            <w:tcW w:w="1430"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6F0613"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2890</w:t>
            </w:r>
          </w:p>
        </w:tc>
        <w:tc>
          <w:tcPr>
            <w:tcW w:w="1044"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6358A"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810</w:t>
            </w:r>
          </w:p>
        </w:tc>
        <w:tc>
          <w:tcPr>
            <w:tcW w:w="884" w:type="dxa"/>
          </w:tcPr>
          <w:p w:rsidR="00AA2BCB" w:rsidRPr="003F5A77" w:rsidRDefault="00AA2BCB"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6358A"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9850</w:t>
            </w:r>
          </w:p>
        </w:tc>
      </w:tr>
      <w:tr w:rsidR="00022037" w:rsidRPr="003F5A77" w:rsidTr="00167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022037" w:rsidRPr="003F5A77" w:rsidRDefault="00022037" w:rsidP="009656F2">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2031</w:t>
            </w:r>
          </w:p>
        </w:tc>
        <w:tc>
          <w:tcPr>
            <w:tcW w:w="1210" w:type="dxa"/>
          </w:tcPr>
          <w:p w:rsidR="00AA2BCB" w:rsidRPr="003F5A77" w:rsidRDefault="00AA2BCB"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022037"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750</w:t>
            </w:r>
          </w:p>
        </w:tc>
        <w:tc>
          <w:tcPr>
            <w:tcW w:w="1604"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4074B4"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2040</w:t>
            </w:r>
          </w:p>
        </w:tc>
        <w:tc>
          <w:tcPr>
            <w:tcW w:w="1431"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51046"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410</w:t>
            </w:r>
          </w:p>
        </w:tc>
        <w:tc>
          <w:tcPr>
            <w:tcW w:w="1070"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15EB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3440</w:t>
            </w:r>
          </w:p>
        </w:tc>
        <w:tc>
          <w:tcPr>
            <w:tcW w:w="1430"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6F0613"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3090</w:t>
            </w:r>
          </w:p>
        </w:tc>
        <w:tc>
          <w:tcPr>
            <w:tcW w:w="1044" w:type="dxa"/>
          </w:tcPr>
          <w:p w:rsidR="00AA2BCB" w:rsidRPr="003F5A77" w:rsidRDefault="00AA2BCB"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6358A" w:rsidP="00965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880</w:t>
            </w:r>
          </w:p>
        </w:tc>
        <w:tc>
          <w:tcPr>
            <w:tcW w:w="884" w:type="dxa"/>
          </w:tcPr>
          <w:p w:rsidR="00AA2BCB" w:rsidRPr="003F5A77" w:rsidRDefault="00AA2BCB"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A6358A" w:rsidP="009656F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10610</w:t>
            </w:r>
          </w:p>
        </w:tc>
      </w:tr>
      <w:tr w:rsidR="00022037" w:rsidRPr="003F5A77" w:rsidTr="001679A6">
        <w:tc>
          <w:tcPr>
            <w:cnfStyle w:val="001000000000" w:firstRow="0" w:lastRow="0" w:firstColumn="1" w:lastColumn="0" w:oddVBand="0" w:evenVBand="0" w:oddHBand="0" w:evenHBand="0" w:firstRowFirstColumn="0" w:firstRowLastColumn="0" w:lastRowFirstColumn="0" w:lastRowLastColumn="0"/>
            <w:tcW w:w="1560" w:type="dxa"/>
          </w:tcPr>
          <w:p w:rsidR="00022037" w:rsidRPr="003F5A77" w:rsidRDefault="00022037" w:rsidP="009656F2">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2036</w:t>
            </w:r>
          </w:p>
        </w:tc>
        <w:tc>
          <w:tcPr>
            <w:tcW w:w="1210" w:type="dxa"/>
          </w:tcPr>
          <w:p w:rsidR="00AA2BCB" w:rsidRPr="003F5A77" w:rsidRDefault="00AA2BCB"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FC4C8E"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860</w:t>
            </w:r>
          </w:p>
        </w:tc>
        <w:tc>
          <w:tcPr>
            <w:tcW w:w="1604"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FC4C8E"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2190</w:t>
            </w:r>
          </w:p>
        </w:tc>
        <w:tc>
          <w:tcPr>
            <w:tcW w:w="1431"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FC4C8E"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500</w:t>
            </w:r>
          </w:p>
        </w:tc>
        <w:tc>
          <w:tcPr>
            <w:tcW w:w="1070"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FC4C8E"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3630</w:t>
            </w:r>
          </w:p>
        </w:tc>
        <w:tc>
          <w:tcPr>
            <w:tcW w:w="1430"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FC4C8E"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3290</w:t>
            </w:r>
          </w:p>
        </w:tc>
        <w:tc>
          <w:tcPr>
            <w:tcW w:w="1044" w:type="dxa"/>
          </w:tcPr>
          <w:p w:rsidR="00AA2BCB" w:rsidRPr="003F5A77" w:rsidRDefault="00AA2BCB"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p w:rsidR="00022037" w:rsidRPr="003F5A77" w:rsidRDefault="00FC4C8E" w:rsidP="009656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950</w:t>
            </w:r>
          </w:p>
        </w:tc>
        <w:tc>
          <w:tcPr>
            <w:tcW w:w="884" w:type="dxa"/>
          </w:tcPr>
          <w:p w:rsidR="00AA2BCB" w:rsidRPr="003F5A77" w:rsidRDefault="00AA2BCB"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p>
          <w:p w:rsidR="00022037" w:rsidRPr="003F5A77" w:rsidRDefault="00FC4C8E" w:rsidP="009656F2">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11420</w:t>
            </w:r>
          </w:p>
        </w:tc>
      </w:tr>
    </w:tbl>
    <w:p w:rsidR="00AA2BCB" w:rsidRPr="003F5A77" w:rsidRDefault="00022037" w:rsidP="000044F0">
      <w:pPr>
        <w:ind w:left="-851"/>
        <w:rPr>
          <w:rFonts w:asciiTheme="minorHAnsi" w:hAnsiTheme="minorHAnsi" w:cs="Arial"/>
          <w:i/>
          <w:color w:val="000000" w:themeColor="text1"/>
          <w:sz w:val="22"/>
          <w:szCs w:val="22"/>
        </w:rPr>
      </w:pPr>
      <w:r w:rsidRPr="003F5A77">
        <w:rPr>
          <w:rFonts w:asciiTheme="minorHAnsi" w:hAnsiTheme="minorHAnsi" w:cs="Arial"/>
          <w:i/>
          <w:color w:val="000000" w:themeColor="text1"/>
          <w:sz w:val="22"/>
          <w:szCs w:val="22"/>
        </w:rPr>
        <w:t>NB Shortfall numbers rounded to nearest 10.</w:t>
      </w:r>
    </w:p>
    <w:p w:rsidR="00AA2BCB" w:rsidRPr="003F5A77" w:rsidRDefault="00AA2BCB" w:rsidP="000044F0">
      <w:pPr>
        <w:ind w:left="-851"/>
        <w:rPr>
          <w:rFonts w:asciiTheme="minorHAnsi" w:hAnsiTheme="minorHAnsi" w:cs="Arial"/>
          <w:color w:val="000000" w:themeColor="text1"/>
          <w:sz w:val="22"/>
          <w:szCs w:val="22"/>
        </w:rPr>
      </w:pPr>
    </w:p>
    <w:p w:rsidR="005A235A" w:rsidRPr="003F5A77" w:rsidRDefault="00967BAA" w:rsidP="00F31F03">
      <w:pPr>
        <w:pStyle w:val="ListParagraph"/>
        <w:numPr>
          <w:ilvl w:val="0"/>
          <w:numId w:val="2"/>
        </w:numPr>
        <w:spacing w:after="120"/>
        <w:ind w:left="-426" w:hanging="425"/>
        <w:rPr>
          <w:rFonts w:asciiTheme="minorHAnsi" w:hAnsiTheme="minorHAnsi" w:cs="Arial"/>
          <w:color w:val="000000" w:themeColor="text1"/>
          <w:sz w:val="22"/>
          <w:szCs w:val="22"/>
        </w:rPr>
      </w:pPr>
      <w:r w:rsidRPr="003F5A77">
        <w:rPr>
          <w:rFonts w:asciiTheme="minorHAnsi" w:hAnsiTheme="minorHAnsi" w:cs="Arial"/>
          <w:sz w:val="22"/>
          <w:szCs w:val="22"/>
        </w:rPr>
        <w:t xml:space="preserve">Table 2.1 above, sets out the additional </w:t>
      </w:r>
      <w:r w:rsidR="005A235A" w:rsidRPr="003F5A77">
        <w:rPr>
          <w:rFonts w:asciiTheme="minorHAnsi" w:hAnsiTheme="minorHAnsi" w:cs="Arial"/>
          <w:sz w:val="22"/>
          <w:szCs w:val="22"/>
        </w:rPr>
        <w:t>dwellings needed to supplement the existing supply of</w:t>
      </w:r>
      <w:r w:rsidR="005A235A" w:rsidRPr="003F5A77">
        <w:rPr>
          <w:rFonts w:asciiTheme="minorHAnsi" w:hAnsiTheme="minorHAnsi" w:cs="Arial"/>
          <w:color w:val="000000" w:themeColor="text1"/>
          <w:sz w:val="22"/>
          <w:szCs w:val="22"/>
        </w:rPr>
        <w:t xml:space="preserve"> social housing and estimated affordable, private rentals in EAH</w:t>
      </w:r>
      <w:r w:rsidR="00FC6B0E" w:rsidRPr="003F5A77">
        <w:rPr>
          <w:rFonts w:asciiTheme="minorHAnsi" w:hAnsiTheme="minorHAnsi" w:cs="Arial"/>
          <w:color w:val="000000" w:themeColor="text1"/>
          <w:sz w:val="22"/>
          <w:szCs w:val="22"/>
        </w:rPr>
        <w:t>A</w:t>
      </w:r>
      <w:r w:rsidR="005A235A" w:rsidRPr="003F5A77">
        <w:rPr>
          <w:rFonts w:asciiTheme="minorHAnsi" w:hAnsiTheme="minorHAnsi" w:cs="Arial"/>
          <w:color w:val="000000" w:themeColor="text1"/>
          <w:sz w:val="22"/>
          <w:szCs w:val="22"/>
        </w:rPr>
        <w:t xml:space="preserve"> municipalities </w:t>
      </w:r>
      <w:proofErr w:type="gramStart"/>
      <w:r w:rsidR="005A235A" w:rsidRPr="003F5A77">
        <w:rPr>
          <w:rFonts w:asciiTheme="minorHAnsi" w:hAnsiTheme="minorHAnsi" w:cs="Arial"/>
          <w:color w:val="000000" w:themeColor="text1"/>
          <w:sz w:val="22"/>
          <w:szCs w:val="22"/>
        </w:rPr>
        <w:t>in order to</w:t>
      </w:r>
      <w:proofErr w:type="gramEnd"/>
      <w:r w:rsidR="005A235A" w:rsidRPr="003F5A77">
        <w:rPr>
          <w:rFonts w:asciiTheme="minorHAnsi" w:hAnsiTheme="minorHAnsi" w:cs="Arial"/>
          <w:color w:val="000000" w:themeColor="text1"/>
          <w:sz w:val="22"/>
          <w:szCs w:val="22"/>
        </w:rPr>
        <w:t xml:space="preserve"> fully meet forecast low-cost housing needs.</w:t>
      </w:r>
    </w:p>
    <w:p w:rsidR="005A235A" w:rsidRPr="003F5A77" w:rsidRDefault="005A235A" w:rsidP="00F31F03">
      <w:pPr>
        <w:spacing w:after="120"/>
        <w:ind w:left="-4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Note that the figures are not cumulative, but specific totals </w:t>
      </w:r>
      <w:r w:rsidRPr="003F5A77">
        <w:rPr>
          <w:rFonts w:asciiTheme="minorHAnsi" w:hAnsiTheme="minorHAnsi" w:cs="Arial"/>
          <w:i/>
          <w:color w:val="000000" w:themeColor="text1"/>
          <w:sz w:val="22"/>
          <w:szCs w:val="22"/>
        </w:rPr>
        <w:t>by each year</w:t>
      </w:r>
      <w:r w:rsidRPr="003F5A77">
        <w:rPr>
          <w:rFonts w:asciiTheme="minorHAnsi" w:hAnsiTheme="minorHAnsi" w:cs="Arial"/>
          <w:color w:val="000000" w:themeColor="text1"/>
          <w:sz w:val="22"/>
          <w:szCs w:val="22"/>
        </w:rPr>
        <w:t xml:space="preserve"> </w:t>
      </w:r>
      <w:r w:rsidRPr="003F5A77">
        <w:rPr>
          <w:rFonts w:asciiTheme="minorHAnsi" w:hAnsiTheme="minorHAnsi" w:cs="Arial"/>
          <w:i/>
          <w:color w:val="000000" w:themeColor="text1"/>
          <w:sz w:val="22"/>
          <w:szCs w:val="22"/>
        </w:rPr>
        <w:t xml:space="preserve">nominated </w:t>
      </w:r>
      <w:r w:rsidRPr="003F5A77">
        <w:rPr>
          <w:rFonts w:asciiTheme="minorHAnsi" w:hAnsiTheme="minorHAnsi" w:cs="Arial"/>
          <w:color w:val="000000" w:themeColor="text1"/>
          <w:sz w:val="22"/>
          <w:szCs w:val="22"/>
        </w:rPr>
        <w:t>assuming the absence of any action to increase the low-cost housing supply.</w:t>
      </w:r>
    </w:p>
    <w:p w:rsidR="005A235A" w:rsidRPr="003F5A77" w:rsidRDefault="005A235A" w:rsidP="00F31F03">
      <w:pPr>
        <w:pStyle w:val="ListParagraph"/>
        <w:numPr>
          <w:ilvl w:val="0"/>
          <w:numId w:val="2"/>
        </w:numPr>
        <w:spacing w:after="120"/>
        <w:ind w:left="-426" w:hanging="425"/>
        <w:contextualSpacing w:val="0"/>
        <w:rPr>
          <w:rFonts w:asciiTheme="minorHAnsi" w:hAnsiTheme="minorHAnsi" w:cs="Arial"/>
          <w:color w:val="000000" w:themeColor="text1"/>
          <w:sz w:val="22"/>
          <w:szCs w:val="22"/>
        </w:rPr>
      </w:pPr>
      <w:r w:rsidRPr="003F5A77">
        <w:rPr>
          <w:rFonts w:asciiTheme="minorHAnsi" w:hAnsiTheme="minorHAnsi" w:cs="Arial"/>
          <w:sz w:val="22"/>
          <w:szCs w:val="22"/>
        </w:rPr>
        <w:lastRenderedPageBreak/>
        <w:t>Clearly, the current and estimated supply of low-cost housing will not be capable of fully meeting the needs of the</w:t>
      </w:r>
      <w:r w:rsidR="00E10317" w:rsidRPr="003F5A77">
        <w:rPr>
          <w:rFonts w:asciiTheme="minorHAnsi" w:hAnsiTheme="minorHAnsi" w:cs="Arial"/>
          <w:sz w:val="22"/>
          <w:szCs w:val="22"/>
        </w:rPr>
        <w:t xml:space="preserve"> target market, now or anticipated in</w:t>
      </w:r>
      <w:r w:rsidRPr="003F5A77">
        <w:rPr>
          <w:rFonts w:asciiTheme="minorHAnsi" w:hAnsiTheme="minorHAnsi" w:cs="Arial"/>
          <w:sz w:val="22"/>
          <w:szCs w:val="22"/>
        </w:rPr>
        <w:t xml:space="preserve"> the future unless there is some</w:t>
      </w:r>
      <w:r w:rsidRPr="003F5A77">
        <w:rPr>
          <w:rFonts w:asciiTheme="minorHAnsi" w:hAnsiTheme="minorHAnsi" w:cs="Arial"/>
          <w:color w:val="000000" w:themeColor="text1"/>
          <w:sz w:val="22"/>
          <w:szCs w:val="22"/>
        </w:rPr>
        <w:t xml:space="preserve"> form of intervention to increase the supply of social housing, availability of affordable private rentals, or both.</w:t>
      </w:r>
    </w:p>
    <w:p w:rsidR="005A235A" w:rsidRPr="003F5A77" w:rsidRDefault="00E80416" w:rsidP="00F31F03">
      <w:pPr>
        <w:pStyle w:val="ListParagraph"/>
        <w:numPr>
          <w:ilvl w:val="0"/>
          <w:numId w:val="2"/>
        </w:numPr>
        <w:spacing w:after="120"/>
        <w:ind w:left="-426" w:hanging="425"/>
        <w:contextualSpacing w:val="0"/>
        <w:rPr>
          <w:rFonts w:asciiTheme="minorHAnsi" w:hAnsiTheme="minorHAnsi" w:cs="Arial"/>
          <w:b/>
          <w:color w:val="000000" w:themeColor="text1"/>
          <w:sz w:val="22"/>
          <w:szCs w:val="22"/>
        </w:rPr>
      </w:pPr>
      <w:proofErr w:type="gramStart"/>
      <w:r w:rsidRPr="003F5A77">
        <w:rPr>
          <w:rFonts w:asciiTheme="minorHAnsi" w:hAnsiTheme="minorHAnsi" w:cs="Arial"/>
          <w:b/>
          <w:color w:val="000000" w:themeColor="text1"/>
          <w:sz w:val="22"/>
          <w:szCs w:val="22"/>
        </w:rPr>
        <w:t>A  forecast</w:t>
      </w:r>
      <w:proofErr w:type="gramEnd"/>
      <w:r w:rsidRPr="003F5A77">
        <w:rPr>
          <w:rFonts w:asciiTheme="minorHAnsi" w:hAnsiTheme="minorHAnsi" w:cs="Arial"/>
          <w:b/>
          <w:color w:val="000000" w:themeColor="text1"/>
          <w:sz w:val="22"/>
          <w:szCs w:val="22"/>
        </w:rPr>
        <w:t xml:space="preserve"> n</w:t>
      </w:r>
      <w:r w:rsidR="00FC4C8E" w:rsidRPr="003F5A77">
        <w:rPr>
          <w:rFonts w:asciiTheme="minorHAnsi" w:hAnsiTheme="minorHAnsi" w:cs="Arial"/>
          <w:b/>
          <w:color w:val="000000" w:themeColor="text1"/>
          <w:sz w:val="22"/>
          <w:szCs w:val="22"/>
        </w:rPr>
        <w:t>eed for at least 11,420</w:t>
      </w:r>
      <w:r w:rsidRPr="003F5A77">
        <w:rPr>
          <w:rFonts w:asciiTheme="minorHAnsi" w:hAnsiTheme="minorHAnsi" w:cs="Arial"/>
          <w:b/>
          <w:color w:val="000000" w:themeColor="text1"/>
          <w:sz w:val="22"/>
          <w:szCs w:val="22"/>
        </w:rPr>
        <w:t xml:space="preserve"> social housing dwellings wit</w:t>
      </w:r>
      <w:r w:rsidR="00E10317" w:rsidRPr="003F5A77">
        <w:rPr>
          <w:rFonts w:asciiTheme="minorHAnsi" w:hAnsiTheme="minorHAnsi" w:cs="Arial"/>
          <w:b/>
          <w:color w:val="000000" w:themeColor="text1"/>
          <w:sz w:val="22"/>
          <w:szCs w:val="22"/>
        </w:rPr>
        <w:t>hin the EAHA</w:t>
      </w:r>
      <w:r w:rsidR="00B62FDE" w:rsidRPr="003F5A77">
        <w:rPr>
          <w:rFonts w:asciiTheme="minorHAnsi" w:hAnsiTheme="minorHAnsi" w:cs="Arial"/>
          <w:b/>
          <w:color w:val="000000" w:themeColor="text1"/>
          <w:sz w:val="22"/>
          <w:szCs w:val="22"/>
        </w:rPr>
        <w:t xml:space="preserve"> would equate to 571</w:t>
      </w:r>
      <w:r w:rsidRPr="003F5A77">
        <w:rPr>
          <w:rFonts w:asciiTheme="minorHAnsi" w:hAnsiTheme="minorHAnsi" w:cs="Arial"/>
          <w:b/>
          <w:color w:val="000000" w:themeColor="text1"/>
          <w:sz w:val="22"/>
          <w:szCs w:val="22"/>
        </w:rPr>
        <w:t xml:space="preserve"> additional dwellings per year over the</w:t>
      </w:r>
      <w:r w:rsidR="009E206F" w:rsidRPr="003F5A77">
        <w:rPr>
          <w:rFonts w:asciiTheme="minorHAnsi" w:hAnsiTheme="minorHAnsi" w:cs="Arial"/>
          <w:b/>
          <w:color w:val="000000" w:themeColor="text1"/>
          <w:sz w:val="22"/>
          <w:szCs w:val="22"/>
        </w:rPr>
        <w:t xml:space="preserve"> next twenty years (2016-2036).</w:t>
      </w:r>
    </w:p>
    <w:p w:rsidR="005A235A" w:rsidRPr="003F5A77" w:rsidRDefault="00E80416" w:rsidP="00F31F03">
      <w:pPr>
        <w:pStyle w:val="ListParagraph"/>
        <w:numPr>
          <w:ilvl w:val="0"/>
          <w:numId w:val="2"/>
        </w:numPr>
        <w:spacing w:after="120"/>
        <w:ind w:left="-426" w:hanging="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Refer Section 5 ‘Social housing supply timeframe’ below, for discussion on the number of additional dwellings required annually if social housing needs are to be met </w:t>
      </w:r>
      <w:r w:rsidR="005B6541" w:rsidRPr="003F5A77">
        <w:rPr>
          <w:rFonts w:asciiTheme="minorHAnsi" w:hAnsiTheme="minorHAnsi" w:cs="Arial"/>
          <w:color w:val="000000" w:themeColor="text1"/>
          <w:sz w:val="22"/>
          <w:szCs w:val="22"/>
        </w:rPr>
        <w:t>within a shorte</w:t>
      </w:r>
      <w:r w:rsidR="00E10317" w:rsidRPr="003F5A77">
        <w:rPr>
          <w:rFonts w:asciiTheme="minorHAnsi" w:hAnsiTheme="minorHAnsi" w:cs="Arial"/>
          <w:color w:val="000000" w:themeColor="text1"/>
          <w:sz w:val="22"/>
          <w:szCs w:val="22"/>
        </w:rPr>
        <w:t xml:space="preserve">r </w:t>
      </w:r>
      <w:proofErr w:type="gramStart"/>
      <w:r w:rsidR="00E10317" w:rsidRPr="003F5A77">
        <w:rPr>
          <w:rFonts w:asciiTheme="minorHAnsi" w:hAnsiTheme="minorHAnsi" w:cs="Arial"/>
          <w:color w:val="000000" w:themeColor="text1"/>
          <w:sz w:val="22"/>
          <w:szCs w:val="22"/>
        </w:rPr>
        <w:t>time frame</w:t>
      </w:r>
      <w:proofErr w:type="gramEnd"/>
      <w:r w:rsidR="00E10317" w:rsidRPr="003F5A77">
        <w:rPr>
          <w:rFonts w:asciiTheme="minorHAnsi" w:hAnsiTheme="minorHAnsi" w:cs="Arial"/>
          <w:color w:val="000000" w:themeColor="text1"/>
          <w:sz w:val="22"/>
          <w:szCs w:val="22"/>
        </w:rPr>
        <w:t xml:space="preserve"> – within 5, 10, or 15 years (that is, by 2021, 2026, 2031</w:t>
      </w:r>
      <w:r w:rsidR="005B6541" w:rsidRPr="003F5A77">
        <w:rPr>
          <w:rFonts w:asciiTheme="minorHAnsi" w:hAnsiTheme="minorHAnsi" w:cs="Arial"/>
          <w:color w:val="000000" w:themeColor="text1"/>
          <w:sz w:val="22"/>
          <w:szCs w:val="22"/>
        </w:rPr>
        <w:t>).</w:t>
      </w:r>
    </w:p>
    <w:p w:rsidR="001679A6" w:rsidRPr="003F5A77" w:rsidRDefault="001679A6">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br w:type="page"/>
      </w:r>
    </w:p>
    <w:p w:rsidR="005B6541" w:rsidRPr="003F5A77" w:rsidRDefault="005B6541" w:rsidP="000044F0">
      <w:pPr>
        <w:pStyle w:val="ListParagraph"/>
        <w:ind w:left="-851"/>
        <w:rPr>
          <w:rFonts w:asciiTheme="minorHAnsi" w:hAnsiTheme="minorHAnsi" w:cs="Arial"/>
          <w:color w:val="000000" w:themeColor="text1"/>
          <w:sz w:val="22"/>
          <w:szCs w:val="22"/>
        </w:rPr>
      </w:pPr>
    </w:p>
    <w:tbl>
      <w:tblPr>
        <w:tblStyle w:val="ListTable3-Accent1"/>
        <w:tblpPr w:leftFromText="180" w:rightFromText="180" w:vertAnchor="text" w:horzAnchor="margin" w:tblpXSpec="center" w:tblpY="816"/>
        <w:tblW w:w="9933" w:type="dxa"/>
        <w:tblBorders>
          <w:insideH w:val="single" w:sz="4" w:space="0" w:color="4F81BD" w:themeColor="accent1"/>
          <w:insideV w:val="single" w:sz="4" w:space="0" w:color="4F81BD" w:themeColor="accent1"/>
        </w:tblBorders>
        <w:tblLook w:val="04A0" w:firstRow="1" w:lastRow="0" w:firstColumn="1" w:lastColumn="0" w:noHBand="0" w:noVBand="1"/>
      </w:tblPr>
      <w:tblGrid>
        <w:gridCol w:w="2420"/>
        <w:gridCol w:w="1403"/>
        <w:gridCol w:w="1417"/>
        <w:gridCol w:w="1559"/>
        <w:gridCol w:w="1418"/>
        <w:gridCol w:w="1716"/>
      </w:tblGrid>
      <w:tr w:rsidR="00553A72" w:rsidRPr="003F5A77" w:rsidTr="000D72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3" w:type="dxa"/>
            <w:gridSpan w:val="6"/>
          </w:tcPr>
          <w:p w:rsidR="00553A72" w:rsidRPr="003F5A77" w:rsidRDefault="00553A72" w:rsidP="00553A72">
            <w:pPr>
              <w:ind w:left="32"/>
              <w:rPr>
                <w:rFonts w:asciiTheme="minorHAnsi" w:hAnsiTheme="minorHAnsi" w:cs="Arial"/>
                <w:color w:val="FF0000"/>
                <w:sz w:val="22"/>
                <w:szCs w:val="22"/>
              </w:rPr>
            </w:pPr>
            <w:r w:rsidRPr="003F5A77">
              <w:rPr>
                <w:rFonts w:asciiTheme="minorHAnsi" w:hAnsiTheme="minorHAnsi" w:cs="Arial"/>
                <w:sz w:val="22"/>
                <w:szCs w:val="22"/>
              </w:rPr>
              <w:t>Table 2.2 Social housing needs, Knox, 2016-3036</w:t>
            </w:r>
          </w:p>
          <w:p w:rsidR="00553A72" w:rsidRPr="003F5A77" w:rsidRDefault="00553A72" w:rsidP="00553A72">
            <w:pPr>
              <w:ind w:left="32"/>
              <w:rPr>
                <w:rFonts w:asciiTheme="minorHAnsi" w:hAnsiTheme="minorHAnsi" w:cs="Arial"/>
                <w:sz w:val="22"/>
                <w:szCs w:val="22"/>
              </w:rPr>
            </w:pPr>
          </w:p>
        </w:tc>
      </w:tr>
      <w:tr w:rsidR="00553A72"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Borders>
              <w:top w:val="none" w:sz="0" w:space="0" w:color="auto"/>
              <w:bottom w:val="none" w:sz="0" w:space="0" w:color="auto"/>
              <w:right w:val="none" w:sz="0" w:space="0" w:color="auto"/>
            </w:tcBorders>
          </w:tcPr>
          <w:p w:rsidR="00553A72" w:rsidRPr="003F5A77" w:rsidRDefault="00553A72" w:rsidP="00553A72">
            <w:pPr>
              <w:ind w:left="32"/>
              <w:rPr>
                <w:rFonts w:asciiTheme="minorHAnsi" w:hAnsiTheme="minorHAnsi" w:cs="Arial"/>
                <w:sz w:val="22"/>
                <w:szCs w:val="22"/>
              </w:rPr>
            </w:pPr>
            <w:r w:rsidRPr="003F5A77">
              <w:rPr>
                <w:rFonts w:asciiTheme="minorHAnsi" w:hAnsiTheme="minorHAnsi" w:cs="Arial"/>
                <w:sz w:val="22"/>
                <w:szCs w:val="22"/>
              </w:rPr>
              <w:t>Year</w:t>
            </w:r>
          </w:p>
        </w:tc>
        <w:tc>
          <w:tcPr>
            <w:tcW w:w="1403" w:type="dxa"/>
            <w:tcBorders>
              <w:top w:val="none" w:sz="0" w:space="0" w:color="auto"/>
              <w:bottom w:val="none" w:sz="0" w:space="0" w:color="auto"/>
            </w:tcBorders>
          </w:tcPr>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‘Need’ Est. number of very low income households that do not own their own home</w:t>
            </w: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(3.8% of total households at 2016 Census)</w:t>
            </w:r>
          </w:p>
        </w:tc>
        <w:tc>
          <w:tcPr>
            <w:tcW w:w="1417" w:type="dxa"/>
            <w:tcBorders>
              <w:top w:val="none" w:sz="0" w:space="0" w:color="auto"/>
              <w:bottom w:val="none" w:sz="0" w:space="0" w:color="auto"/>
            </w:tcBorders>
          </w:tcPr>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Number of social housing dwellings</w:t>
            </w: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1445 as at 2014-15 (DHHS)</w:t>
            </w:r>
          </w:p>
        </w:tc>
        <w:tc>
          <w:tcPr>
            <w:tcW w:w="1559" w:type="dxa"/>
            <w:tcBorders>
              <w:top w:val="none" w:sz="0" w:space="0" w:color="auto"/>
              <w:bottom w:val="none" w:sz="0" w:space="0" w:color="auto"/>
            </w:tcBorders>
          </w:tcPr>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Estimated number of affordable private lettings @</w:t>
            </w: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3.8% of private rentals</w:t>
            </w: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w:t>
            </w:r>
            <w:proofErr w:type="gramStart"/>
            <w:r w:rsidRPr="003F5A77">
              <w:rPr>
                <w:rFonts w:asciiTheme="minorHAnsi" w:hAnsiTheme="minorHAnsi" w:cs="Arial"/>
                <w:b/>
                <w:sz w:val="22"/>
                <w:szCs w:val="22"/>
              </w:rPr>
              <w:t>2 year</w:t>
            </w:r>
            <w:proofErr w:type="gramEnd"/>
            <w:r w:rsidRPr="003F5A77">
              <w:rPr>
                <w:rFonts w:asciiTheme="minorHAnsi" w:hAnsiTheme="minorHAnsi" w:cs="Arial"/>
                <w:b/>
                <w:sz w:val="22"/>
                <w:szCs w:val="22"/>
              </w:rPr>
              <w:t xml:space="preserve"> average, 2015-2017)</w:t>
            </w:r>
          </w:p>
        </w:tc>
        <w:tc>
          <w:tcPr>
            <w:tcW w:w="1418" w:type="dxa"/>
            <w:tcBorders>
              <w:top w:val="none" w:sz="0" w:space="0" w:color="auto"/>
              <w:bottom w:val="none" w:sz="0" w:space="0" w:color="auto"/>
            </w:tcBorders>
          </w:tcPr>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 of need met by existing</w:t>
            </w:r>
            <w:r w:rsidRPr="003F5A77">
              <w:rPr>
                <w:rFonts w:asciiTheme="minorHAnsi" w:hAnsiTheme="minorHAnsi" w:cs="Arial"/>
                <w:sz w:val="22"/>
                <w:szCs w:val="22"/>
              </w:rPr>
              <w:t xml:space="preserve"> </w:t>
            </w:r>
            <w:r w:rsidRPr="003F5A77">
              <w:rPr>
                <w:rFonts w:asciiTheme="minorHAnsi" w:hAnsiTheme="minorHAnsi" w:cs="Arial"/>
                <w:b/>
                <w:sz w:val="22"/>
                <w:szCs w:val="22"/>
              </w:rPr>
              <w:t>social housing &amp; estimated affordable private lettings</w:t>
            </w:r>
          </w:p>
        </w:tc>
        <w:tc>
          <w:tcPr>
            <w:tcW w:w="1716" w:type="dxa"/>
            <w:tcBorders>
              <w:top w:val="none" w:sz="0" w:space="0" w:color="auto"/>
              <w:bottom w:val="none" w:sz="0" w:space="0" w:color="auto"/>
            </w:tcBorders>
            <w:shd w:val="clear" w:color="auto" w:fill="B8CCE4" w:themeFill="accent1" w:themeFillTint="66"/>
          </w:tcPr>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Shortfall of social housing</w:t>
            </w:r>
          </w:p>
        </w:tc>
      </w:tr>
      <w:tr w:rsidR="00553A72" w:rsidRPr="003F5A77" w:rsidTr="00CD4827">
        <w:trPr>
          <w:trHeight w:val="1395"/>
        </w:trPr>
        <w:tc>
          <w:tcPr>
            <w:cnfStyle w:val="001000000000" w:firstRow="0" w:lastRow="0" w:firstColumn="1" w:lastColumn="0" w:oddVBand="0" w:evenVBand="0" w:oddHBand="0" w:evenHBand="0" w:firstRowFirstColumn="0" w:firstRowLastColumn="0" w:lastRowFirstColumn="0" w:lastRowLastColumn="0"/>
            <w:tcW w:w="2420" w:type="dxa"/>
            <w:tcBorders>
              <w:right w:val="none" w:sz="0" w:space="0" w:color="auto"/>
            </w:tcBorders>
          </w:tcPr>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(2016, usual residence)</w:t>
            </w:r>
          </w:p>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(58,007, id 2016 prelim. rebase)</w:t>
            </w:r>
          </w:p>
        </w:tc>
        <w:tc>
          <w:tcPr>
            <w:tcW w:w="1403" w:type="dxa"/>
          </w:tcPr>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2204</w:t>
            </w:r>
          </w:p>
        </w:tc>
        <w:tc>
          <w:tcPr>
            <w:tcW w:w="1417" w:type="dxa"/>
          </w:tcPr>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1445</w:t>
            </w:r>
          </w:p>
        </w:tc>
        <w:tc>
          <w:tcPr>
            <w:tcW w:w="1559"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373</w:t>
            </w:r>
          </w:p>
        </w:tc>
        <w:tc>
          <w:tcPr>
            <w:tcW w:w="1418" w:type="dxa"/>
          </w:tcPr>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82%</w:t>
            </w:r>
          </w:p>
        </w:tc>
        <w:tc>
          <w:tcPr>
            <w:tcW w:w="1716" w:type="dxa"/>
            <w:shd w:val="clear" w:color="auto" w:fill="B8CCE4" w:themeFill="accent1" w:themeFillTint="66"/>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-386</w:t>
            </w:r>
          </w:p>
        </w:tc>
      </w:tr>
      <w:tr w:rsidR="00553A72"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Borders>
              <w:top w:val="none" w:sz="0" w:space="0" w:color="auto"/>
              <w:bottom w:val="none" w:sz="0" w:space="0" w:color="auto"/>
              <w:right w:val="none" w:sz="0" w:space="0" w:color="auto"/>
            </w:tcBorders>
          </w:tcPr>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2021</w:t>
            </w:r>
          </w:p>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(62,511)</w:t>
            </w:r>
          </w:p>
          <w:p w:rsidR="00553A72" w:rsidRPr="003F5A77" w:rsidRDefault="00553A72" w:rsidP="00553A72">
            <w:pPr>
              <w:ind w:left="32"/>
              <w:rPr>
                <w:rFonts w:asciiTheme="minorHAnsi" w:hAnsiTheme="minorHAnsi" w:cs="Arial"/>
                <w:color w:val="000000" w:themeColor="text1"/>
                <w:sz w:val="22"/>
                <w:szCs w:val="22"/>
              </w:rPr>
            </w:pPr>
          </w:p>
        </w:tc>
        <w:tc>
          <w:tcPr>
            <w:tcW w:w="1403" w:type="dxa"/>
            <w:tcBorders>
              <w:top w:val="none" w:sz="0" w:space="0" w:color="auto"/>
              <w:bottom w:val="none" w:sz="0" w:space="0" w:color="auto"/>
            </w:tcBorders>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2375</w:t>
            </w:r>
          </w:p>
        </w:tc>
        <w:tc>
          <w:tcPr>
            <w:tcW w:w="1417" w:type="dxa"/>
            <w:tcBorders>
              <w:top w:val="none" w:sz="0" w:space="0" w:color="auto"/>
              <w:bottom w:val="none" w:sz="0" w:space="0" w:color="auto"/>
            </w:tcBorders>
          </w:tcPr>
          <w:p w:rsidR="00553A72" w:rsidRPr="003F5A77" w:rsidRDefault="00553A72" w:rsidP="00553A72">
            <w:pPr>
              <w:ind w:left="32"/>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1445</w:t>
            </w:r>
          </w:p>
        </w:tc>
        <w:tc>
          <w:tcPr>
            <w:tcW w:w="1559" w:type="dxa"/>
            <w:tcBorders>
              <w:top w:val="none" w:sz="0" w:space="0" w:color="auto"/>
              <w:bottom w:val="none" w:sz="0" w:space="0" w:color="auto"/>
            </w:tcBorders>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401</w:t>
            </w:r>
          </w:p>
        </w:tc>
        <w:tc>
          <w:tcPr>
            <w:tcW w:w="1418" w:type="dxa"/>
            <w:tcBorders>
              <w:top w:val="none" w:sz="0" w:space="0" w:color="auto"/>
              <w:bottom w:val="none" w:sz="0" w:space="0" w:color="auto"/>
            </w:tcBorders>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78%</w:t>
            </w:r>
          </w:p>
        </w:tc>
        <w:tc>
          <w:tcPr>
            <w:tcW w:w="1716" w:type="dxa"/>
            <w:tcBorders>
              <w:top w:val="none" w:sz="0" w:space="0" w:color="auto"/>
              <w:bottom w:val="none" w:sz="0" w:space="0" w:color="auto"/>
            </w:tcBorders>
            <w:shd w:val="clear" w:color="auto" w:fill="B8CCE4" w:themeFill="accent1" w:themeFillTint="66"/>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-529</w:t>
            </w:r>
          </w:p>
        </w:tc>
      </w:tr>
      <w:tr w:rsidR="00553A72" w:rsidRPr="003F5A77" w:rsidTr="00CD4827">
        <w:tc>
          <w:tcPr>
            <w:cnfStyle w:val="001000000000" w:firstRow="0" w:lastRow="0" w:firstColumn="1" w:lastColumn="0" w:oddVBand="0" w:evenVBand="0" w:oddHBand="0" w:evenHBand="0" w:firstRowFirstColumn="0" w:firstRowLastColumn="0" w:lastRowFirstColumn="0" w:lastRowLastColumn="0"/>
            <w:tcW w:w="2420" w:type="dxa"/>
            <w:tcBorders>
              <w:right w:val="none" w:sz="0" w:space="0" w:color="auto"/>
            </w:tcBorders>
          </w:tcPr>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2026</w:t>
            </w:r>
          </w:p>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(66,170)</w:t>
            </w:r>
          </w:p>
          <w:p w:rsidR="00553A72" w:rsidRPr="003F5A77" w:rsidRDefault="00553A72" w:rsidP="00553A72">
            <w:pPr>
              <w:ind w:left="32"/>
              <w:rPr>
                <w:rFonts w:asciiTheme="minorHAnsi" w:hAnsiTheme="minorHAnsi" w:cs="Arial"/>
                <w:color w:val="000000" w:themeColor="text1"/>
                <w:sz w:val="22"/>
                <w:szCs w:val="22"/>
              </w:rPr>
            </w:pPr>
          </w:p>
        </w:tc>
        <w:tc>
          <w:tcPr>
            <w:tcW w:w="1403"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2514</w:t>
            </w:r>
          </w:p>
        </w:tc>
        <w:tc>
          <w:tcPr>
            <w:tcW w:w="1417"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1445</w:t>
            </w:r>
          </w:p>
        </w:tc>
        <w:tc>
          <w:tcPr>
            <w:tcW w:w="1559"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425</w:t>
            </w:r>
          </w:p>
        </w:tc>
        <w:tc>
          <w:tcPr>
            <w:tcW w:w="1418"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74%</w:t>
            </w:r>
          </w:p>
        </w:tc>
        <w:tc>
          <w:tcPr>
            <w:tcW w:w="1716" w:type="dxa"/>
            <w:shd w:val="clear" w:color="auto" w:fill="B8CCE4" w:themeFill="accent1" w:themeFillTint="66"/>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-644</w:t>
            </w:r>
          </w:p>
        </w:tc>
      </w:tr>
      <w:tr w:rsidR="00553A72"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Borders>
              <w:top w:val="none" w:sz="0" w:space="0" w:color="auto"/>
              <w:bottom w:val="none" w:sz="0" w:space="0" w:color="auto"/>
              <w:right w:val="none" w:sz="0" w:space="0" w:color="auto"/>
            </w:tcBorders>
          </w:tcPr>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2031</w:t>
            </w:r>
          </w:p>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(69,611) </w:t>
            </w:r>
          </w:p>
          <w:p w:rsidR="00553A72" w:rsidRPr="003F5A77" w:rsidRDefault="00553A72" w:rsidP="00553A72">
            <w:pPr>
              <w:ind w:left="32"/>
              <w:rPr>
                <w:rFonts w:asciiTheme="minorHAnsi" w:hAnsiTheme="minorHAnsi" w:cs="Arial"/>
                <w:color w:val="000000" w:themeColor="text1"/>
                <w:sz w:val="22"/>
                <w:szCs w:val="22"/>
              </w:rPr>
            </w:pPr>
          </w:p>
        </w:tc>
        <w:tc>
          <w:tcPr>
            <w:tcW w:w="1403" w:type="dxa"/>
            <w:tcBorders>
              <w:top w:val="none" w:sz="0" w:space="0" w:color="auto"/>
              <w:bottom w:val="none" w:sz="0" w:space="0" w:color="auto"/>
            </w:tcBorders>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2645</w:t>
            </w:r>
          </w:p>
        </w:tc>
        <w:tc>
          <w:tcPr>
            <w:tcW w:w="1417" w:type="dxa"/>
            <w:tcBorders>
              <w:top w:val="none" w:sz="0" w:space="0" w:color="auto"/>
              <w:bottom w:val="none" w:sz="0" w:space="0" w:color="auto"/>
            </w:tcBorders>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1445</w:t>
            </w:r>
          </w:p>
        </w:tc>
        <w:tc>
          <w:tcPr>
            <w:tcW w:w="1559" w:type="dxa"/>
            <w:tcBorders>
              <w:top w:val="none" w:sz="0" w:space="0" w:color="auto"/>
              <w:bottom w:val="none" w:sz="0" w:space="0" w:color="auto"/>
            </w:tcBorders>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447</w:t>
            </w:r>
          </w:p>
        </w:tc>
        <w:tc>
          <w:tcPr>
            <w:tcW w:w="1418" w:type="dxa"/>
            <w:tcBorders>
              <w:top w:val="none" w:sz="0" w:space="0" w:color="auto"/>
              <w:bottom w:val="none" w:sz="0" w:space="0" w:color="auto"/>
            </w:tcBorders>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72%</w:t>
            </w:r>
          </w:p>
        </w:tc>
        <w:tc>
          <w:tcPr>
            <w:tcW w:w="1716" w:type="dxa"/>
            <w:tcBorders>
              <w:top w:val="none" w:sz="0" w:space="0" w:color="auto"/>
              <w:bottom w:val="none" w:sz="0" w:space="0" w:color="auto"/>
            </w:tcBorders>
            <w:shd w:val="clear" w:color="auto" w:fill="B8CCE4" w:themeFill="accent1" w:themeFillTint="66"/>
          </w:tcPr>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-753</w:t>
            </w:r>
          </w:p>
        </w:tc>
      </w:tr>
      <w:tr w:rsidR="00553A72" w:rsidRPr="003F5A77" w:rsidTr="00CD4827">
        <w:tc>
          <w:tcPr>
            <w:cnfStyle w:val="001000000000" w:firstRow="0" w:lastRow="0" w:firstColumn="1" w:lastColumn="0" w:oddVBand="0" w:evenVBand="0" w:oddHBand="0" w:evenHBand="0" w:firstRowFirstColumn="0" w:firstRowLastColumn="0" w:lastRowFirstColumn="0" w:lastRowLastColumn="0"/>
            <w:tcW w:w="2420" w:type="dxa"/>
            <w:tcBorders>
              <w:right w:val="none" w:sz="0" w:space="0" w:color="auto"/>
            </w:tcBorders>
          </w:tcPr>
          <w:p w:rsidR="00553A72" w:rsidRPr="003F5A77" w:rsidRDefault="00553A72" w:rsidP="00553A72">
            <w:pPr>
              <w:ind w:left="32"/>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2036</w:t>
            </w:r>
          </w:p>
          <w:p w:rsidR="00553A72" w:rsidRPr="003F5A77" w:rsidRDefault="00553A72" w:rsidP="00553A72">
            <w:pPr>
              <w:ind w:left="32"/>
              <w:rPr>
                <w:rFonts w:asciiTheme="minorHAnsi" w:hAnsiTheme="minorHAnsi" w:cs="Arial"/>
                <w:color w:val="FF0000"/>
                <w:sz w:val="22"/>
                <w:szCs w:val="22"/>
              </w:rPr>
            </w:pPr>
            <w:r w:rsidRPr="003F5A77">
              <w:rPr>
                <w:rFonts w:asciiTheme="minorHAnsi" w:hAnsiTheme="minorHAnsi" w:cs="Arial"/>
                <w:color w:val="FF0000"/>
                <w:sz w:val="22"/>
                <w:szCs w:val="22"/>
              </w:rPr>
              <w:t xml:space="preserve">(72,995) </w:t>
            </w:r>
            <w:r w:rsidRPr="003F5A77">
              <w:rPr>
                <w:rStyle w:val="FootnoteReference"/>
                <w:rFonts w:asciiTheme="minorHAnsi" w:hAnsiTheme="minorHAnsi" w:cs="Arial"/>
                <w:color w:val="FF0000"/>
                <w:sz w:val="22"/>
                <w:szCs w:val="22"/>
              </w:rPr>
              <w:footnoteReference w:id="9"/>
            </w:r>
          </w:p>
          <w:p w:rsidR="00553A72" w:rsidRPr="003F5A77" w:rsidRDefault="00553A72" w:rsidP="00553A72">
            <w:pPr>
              <w:ind w:left="32"/>
              <w:rPr>
                <w:rFonts w:asciiTheme="minorHAnsi" w:hAnsiTheme="minorHAnsi" w:cs="Arial"/>
                <w:color w:val="000000" w:themeColor="text1"/>
                <w:sz w:val="22"/>
                <w:szCs w:val="22"/>
              </w:rPr>
            </w:pPr>
          </w:p>
          <w:p w:rsidR="00553A72" w:rsidRPr="003F5A77" w:rsidRDefault="00553A72" w:rsidP="00553A72">
            <w:pPr>
              <w:ind w:left="32"/>
              <w:rPr>
                <w:rFonts w:asciiTheme="minorHAnsi" w:hAnsiTheme="minorHAnsi" w:cs="Arial"/>
                <w:color w:val="000000" w:themeColor="text1"/>
                <w:sz w:val="22"/>
                <w:szCs w:val="22"/>
              </w:rPr>
            </w:pPr>
          </w:p>
        </w:tc>
        <w:tc>
          <w:tcPr>
            <w:tcW w:w="1403"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2774</w:t>
            </w:r>
          </w:p>
        </w:tc>
        <w:tc>
          <w:tcPr>
            <w:tcW w:w="1417"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1445</w:t>
            </w:r>
          </w:p>
        </w:tc>
        <w:tc>
          <w:tcPr>
            <w:tcW w:w="1559"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469</w:t>
            </w:r>
          </w:p>
        </w:tc>
        <w:tc>
          <w:tcPr>
            <w:tcW w:w="1418" w:type="dxa"/>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69%</w:t>
            </w:r>
          </w:p>
        </w:tc>
        <w:tc>
          <w:tcPr>
            <w:tcW w:w="1716" w:type="dxa"/>
            <w:shd w:val="clear" w:color="auto" w:fill="B8CCE4" w:themeFill="accent1" w:themeFillTint="66"/>
          </w:tcPr>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553A72" w:rsidRPr="003F5A77" w:rsidRDefault="00553A72" w:rsidP="00553A72">
            <w:pPr>
              <w:ind w:left="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-860</w:t>
            </w:r>
          </w:p>
        </w:tc>
      </w:tr>
    </w:tbl>
    <w:p w:rsidR="005B6541" w:rsidRPr="003F5A77" w:rsidRDefault="005B6541"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Tables 2.2-2.7, below, set out the specific data used to calculate the shortfall of (or ‘n</w:t>
      </w:r>
      <w:r w:rsidR="00B62FDE" w:rsidRPr="003F5A77">
        <w:rPr>
          <w:rFonts w:asciiTheme="minorHAnsi" w:hAnsiTheme="minorHAnsi" w:cs="Arial"/>
          <w:color w:val="000000" w:themeColor="text1"/>
          <w:sz w:val="22"/>
          <w:szCs w:val="22"/>
        </w:rPr>
        <w:t>eed’ for) social housing in EAH municipalities</w:t>
      </w:r>
      <w:r w:rsidRPr="003F5A77">
        <w:rPr>
          <w:rFonts w:asciiTheme="minorHAnsi" w:hAnsiTheme="minorHAnsi" w:cs="Arial"/>
          <w:color w:val="000000" w:themeColor="text1"/>
          <w:sz w:val="22"/>
          <w:szCs w:val="22"/>
        </w:rPr>
        <w:t xml:space="preserve"> over the next 20</w:t>
      </w:r>
      <w:r w:rsidRPr="003F5A77">
        <w:rPr>
          <w:rFonts w:asciiTheme="minorHAnsi" w:hAnsiTheme="minorHAnsi" w:cs="Arial"/>
          <w:color w:val="FF0000"/>
          <w:sz w:val="22"/>
          <w:szCs w:val="22"/>
        </w:rPr>
        <w:t xml:space="preserve"> </w:t>
      </w:r>
      <w:r w:rsidRPr="003F5A77">
        <w:rPr>
          <w:rFonts w:asciiTheme="minorHAnsi" w:hAnsiTheme="minorHAnsi" w:cs="Arial"/>
          <w:color w:val="000000" w:themeColor="text1"/>
          <w:sz w:val="22"/>
          <w:szCs w:val="22"/>
        </w:rPr>
        <w:t>years.</w:t>
      </w:r>
    </w:p>
    <w:p w:rsidR="005B6541" w:rsidRPr="003F5A77" w:rsidRDefault="005B6541" w:rsidP="000044F0">
      <w:pPr>
        <w:ind w:left="-851"/>
        <w:rPr>
          <w:rFonts w:asciiTheme="minorHAnsi" w:hAnsiTheme="minorHAnsi" w:cs="Arial"/>
          <w:color w:val="000000" w:themeColor="text1"/>
          <w:sz w:val="22"/>
          <w:szCs w:val="22"/>
        </w:rPr>
      </w:pPr>
    </w:p>
    <w:p w:rsidR="00CC0C90" w:rsidRPr="003F5A77" w:rsidRDefault="00CC0C90" w:rsidP="000044F0">
      <w:pPr>
        <w:ind w:left="-851"/>
        <w:rPr>
          <w:rFonts w:asciiTheme="minorHAnsi" w:hAnsiTheme="minorHAnsi" w:cs="Arial"/>
          <w:b/>
          <w:sz w:val="22"/>
          <w:szCs w:val="22"/>
        </w:rPr>
      </w:pPr>
      <w:r w:rsidRPr="003F5A77">
        <w:rPr>
          <w:rFonts w:asciiTheme="minorHAnsi" w:hAnsiTheme="minorHAnsi" w:cs="Arial"/>
          <w:b/>
          <w:sz w:val="22"/>
          <w:szCs w:val="22"/>
        </w:rPr>
        <w:t>Source; 2016 Census of Population &amp; Housing (ABS) customised data; 2015 local government area (LGA) profiles (DHHS, 2016); .id population &amp; household forecast (2016 preliminary rebase) &amp; Victoria in Future (2016)</w:t>
      </w:r>
    </w:p>
    <w:p w:rsidR="005B6541" w:rsidRPr="003F5A77" w:rsidRDefault="005B6541" w:rsidP="000044F0">
      <w:pPr>
        <w:ind w:left="-851"/>
        <w:rPr>
          <w:rFonts w:asciiTheme="minorHAnsi" w:hAnsiTheme="minorHAnsi" w:cs="Arial"/>
          <w:color w:val="000000" w:themeColor="text1"/>
          <w:sz w:val="22"/>
          <w:szCs w:val="22"/>
        </w:rPr>
      </w:pPr>
    </w:p>
    <w:p w:rsidR="00E10317" w:rsidRPr="003F5A77" w:rsidRDefault="00E10317"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br w:type="page"/>
      </w:r>
    </w:p>
    <w:tbl>
      <w:tblPr>
        <w:tblStyle w:val="ListTable3-Accent1"/>
        <w:tblpPr w:leftFromText="180" w:rightFromText="180" w:vertAnchor="text" w:horzAnchor="margin" w:tblpXSpec="center" w:tblpY="218"/>
        <w:tblW w:w="9787" w:type="dxa"/>
        <w:tblBorders>
          <w:insideH w:val="single" w:sz="4" w:space="0" w:color="4F81BD" w:themeColor="accent1"/>
          <w:insideV w:val="single" w:sz="4" w:space="0" w:color="4F81BD" w:themeColor="accent1"/>
        </w:tblBorders>
        <w:tblLook w:val="04A0" w:firstRow="1" w:lastRow="0" w:firstColumn="1" w:lastColumn="0" w:noHBand="0" w:noVBand="1"/>
      </w:tblPr>
      <w:tblGrid>
        <w:gridCol w:w="2383"/>
        <w:gridCol w:w="1363"/>
        <w:gridCol w:w="1319"/>
        <w:gridCol w:w="1322"/>
        <w:gridCol w:w="1688"/>
        <w:gridCol w:w="1712"/>
      </w:tblGrid>
      <w:tr w:rsidR="000D725F" w:rsidRPr="003F5A77" w:rsidTr="000D72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7" w:type="dxa"/>
            <w:gridSpan w:val="6"/>
            <w:tcBorders>
              <w:bottom w:val="none" w:sz="0" w:space="0" w:color="auto"/>
              <w:right w:val="none" w:sz="0" w:space="0" w:color="auto"/>
            </w:tcBorders>
          </w:tcPr>
          <w:p w:rsidR="000D725F" w:rsidRPr="003F5A77" w:rsidRDefault="000D725F" w:rsidP="000D725F">
            <w:pPr>
              <w:ind w:left="26"/>
              <w:rPr>
                <w:rFonts w:asciiTheme="minorHAnsi" w:hAnsiTheme="minorHAnsi" w:cs="Arial"/>
                <w:color w:val="FF0000"/>
                <w:sz w:val="22"/>
                <w:szCs w:val="22"/>
              </w:rPr>
            </w:pPr>
            <w:r w:rsidRPr="003F5A77">
              <w:rPr>
                <w:rFonts w:asciiTheme="minorHAnsi" w:hAnsiTheme="minorHAnsi" w:cs="Arial"/>
                <w:color w:val="000000" w:themeColor="text1"/>
                <w:sz w:val="22"/>
                <w:szCs w:val="22"/>
              </w:rPr>
              <w:lastRenderedPageBreak/>
              <w:br w:type="page"/>
            </w:r>
            <w:r w:rsidRPr="003F5A77">
              <w:rPr>
                <w:rFonts w:asciiTheme="minorHAnsi" w:hAnsiTheme="minorHAnsi" w:cs="Arial"/>
                <w:sz w:val="22"/>
                <w:szCs w:val="22"/>
              </w:rPr>
              <w:t>Table 2.3 Social housing needs, Manningham, 2016-3036</w:t>
            </w:r>
          </w:p>
          <w:p w:rsidR="000D725F" w:rsidRPr="003F5A77" w:rsidRDefault="000D725F" w:rsidP="000D725F">
            <w:pPr>
              <w:ind w:left="26"/>
              <w:rPr>
                <w:rFonts w:asciiTheme="minorHAnsi" w:hAnsiTheme="minorHAnsi" w:cs="Arial"/>
                <w:sz w:val="22"/>
                <w:szCs w:val="22"/>
              </w:rPr>
            </w:pPr>
          </w:p>
        </w:tc>
      </w:tr>
      <w:tr w:rsidR="000D725F"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0D725F" w:rsidRPr="003F5A77" w:rsidRDefault="000D725F" w:rsidP="000D725F">
            <w:pPr>
              <w:ind w:left="26"/>
              <w:rPr>
                <w:rFonts w:asciiTheme="minorHAnsi" w:hAnsiTheme="minorHAnsi" w:cs="Arial"/>
                <w:sz w:val="22"/>
                <w:szCs w:val="22"/>
              </w:rPr>
            </w:pPr>
            <w:r w:rsidRPr="003F5A77">
              <w:rPr>
                <w:rFonts w:asciiTheme="minorHAnsi" w:hAnsiTheme="minorHAnsi" w:cs="Arial"/>
                <w:sz w:val="22"/>
                <w:szCs w:val="22"/>
              </w:rPr>
              <w:t>Year</w:t>
            </w:r>
          </w:p>
        </w:tc>
        <w:tc>
          <w:tcPr>
            <w:tcW w:w="1363" w:type="dxa"/>
          </w:tcPr>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‘Need’ Est. number of very low income households that do not own their own home</w:t>
            </w: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(4.7% of total households at 2016 Census)</w:t>
            </w:r>
          </w:p>
        </w:tc>
        <w:tc>
          <w:tcPr>
            <w:tcW w:w="1319" w:type="dxa"/>
          </w:tcPr>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Number of social housing dwellings</w:t>
            </w: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333 as at 2014-15 (DHHS)</w:t>
            </w:r>
          </w:p>
        </w:tc>
        <w:tc>
          <w:tcPr>
            <w:tcW w:w="1322" w:type="dxa"/>
          </w:tcPr>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Estimated number of affordable private lettings @</w:t>
            </w: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1.4% of private rentals</w:t>
            </w: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w:t>
            </w:r>
            <w:proofErr w:type="gramStart"/>
            <w:r w:rsidRPr="003F5A77">
              <w:rPr>
                <w:rFonts w:asciiTheme="minorHAnsi" w:hAnsiTheme="minorHAnsi" w:cs="Arial"/>
                <w:b/>
                <w:sz w:val="22"/>
                <w:szCs w:val="22"/>
              </w:rPr>
              <w:t>2 year</w:t>
            </w:r>
            <w:proofErr w:type="gramEnd"/>
            <w:r w:rsidRPr="003F5A77">
              <w:rPr>
                <w:rFonts w:asciiTheme="minorHAnsi" w:hAnsiTheme="minorHAnsi" w:cs="Arial"/>
                <w:b/>
                <w:sz w:val="22"/>
                <w:szCs w:val="22"/>
              </w:rPr>
              <w:t xml:space="preserve"> average, 2015-2017)</w:t>
            </w:r>
          </w:p>
        </w:tc>
        <w:tc>
          <w:tcPr>
            <w:tcW w:w="1688" w:type="dxa"/>
          </w:tcPr>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 of need met by existing</w:t>
            </w:r>
            <w:r w:rsidRPr="003F5A77">
              <w:rPr>
                <w:rFonts w:asciiTheme="minorHAnsi" w:hAnsiTheme="minorHAnsi" w:cs="Arial"/>
                <w:sz w:val="22"/>
                <w:szCs w:val="22"/>
              </w:rPr>
              <w:t xml:space="preserve"> </w:t>
            </w:r>
            <w:r w:rsidRPr="003F5A77">
              <w:rPr>
                <w:rFonts w:asciiTheme="minorHAnsi" w:hAnsiTheme="minorHAnsi" w:cs="Arial"/>
                <w:b/>
                <w:sz w:val="22"/>
                <w:szCs w:val="22"/>
              </w:rPr>
              <w:t>social housing &amp; estimated affordable private lettings</w:t>
            </w:r>
          </w:p>
        </w:tc>
        <w:tc>
          <w:tcPr>
            <w:tcW w:w="1712" w:type="dxa"/>
            <w:shd w:val="clear" w:color="auto" w:fill="B8CCE4" w:themeFill="accent1" w:themeFillTint="66"/>
          </w:tcPr>
          <w:p w:rsidR="000D725F" w:rsidRPr="003F5A77" w:rsidRDefault="000D725F" w:rsidP="000D725F">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Shortfall of social housing</w:t>
            </w:r>
          </w:p>
        </w:tc>
      </w:tr>
      <w:tr w:rsidR="000D725F" w:rsidRPr="003F5A77" w:rsidTr="00CD4827">
        <w:trPr>
          <w:trHeight w:val="1395"/>
        </w:trPr>
        <w:tc>
          <w:tcPr>
            <w:cnfStyle w:val="001000000000" w:firstRow="0" w:lastRow="0" w:firstColumn="1" w:lastColumn="0" w:oddVBand="0" w:evenVBand="0" w:oddHBand="0" w:evenHBand="0" w:firstRowFirstColumn="0" w:firstRowLastColumn="0" w:lastRowFirstColumn="0" w:lastRowLastColumn="0"/>
            <w:tcW w:w="2383" w:type="dxa"/>
          </w:tcPr>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(2016, usual residence)</w:t>
            </w:r>
          </w:p>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(44,016, id 2016 prelim. rebase)</w:t>
            </w:r>
          </w:p>
        </w:tc>
        <w:tc>
          <w:tcPr>
            <w:tcW w:w="1363"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2069</w:t>
            </w:r>
          </w:p>
        </w:tc>
        <w:tc>
          <w:tcPr>
            <w:tcW w:w="1319"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333</w:t>
            </w:r>
          </w:p>
        </w:tc>
        <w:tc>
          <w:tcPr>
            <w:tcW w:w="1322"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106</w:t>
            </w:r>
          </w:p>
        </w:tc>
        <w:tc>
          <w:tcPr>
            <w:tcW w:w="1688"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21%</w:t>
            </w:r>
          </w:p>
        </w:tc>
        <w:tc>
          <w:tcPr>
            <w:tcW w:w="1712" w:type="dxa"/>
            <w:shd w:val="clear" w:color="auto" w:fill="B8CCE4" w:themeFill="accent1" w:themeFillTint="66"/>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-1630</w:t>
            </w:r>
          </w:p>
        </w:tc>
      </w:tr>
      <w:tr w:rsidR="000D725F"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2021</w:t>
            </w:r>
          </w:p>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(48,140)</w:t>
            </w:r>
          </w:p>
          <w:p w:rsidR="000D725F" w:rsidRPr="003F5A77" w:rsidRDefault="000D725F" w:rsidP="000D725F">
            <w:pPr>
              <w:ind w:left="26"/>
              <w:rPr>
                <w:rFonts w:asciiTheme="minorHAnsi" w:hAnsiTheme="minorHAnsi" w:cs="Arial"/>
                <w:color w:val="000000" w:themeColor="text1"/>
                <w:sz w:val="22"/>
                <w:szCs w:val="22"/>
              </w:rPr>
            </w:pPr>
          </w:p>
        </w:tc>
        <w:tc>
          <w:tcPr>
            <w:tcW w:w="1363"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2263</w:t>
            </w:r>
          </w:p>
        </w:tc>
        <w:tc>
          <w:tcPr>
            <w:tcW w:w="1319"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333</w:t>
            </w:r>
          </w:p>
        </w:tc>
        <w:tc>
          <w:tcPr>
            <w:tcW w:w="1322"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116</w:t>
            </w:r>
          </w:p>
        </w:tc>
        <w:tc>
          <w:tcPr>
            <w:tcW w:w="1688"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20%</w:t>
            </w:r>
          </w:p>
        </w:tc>
        <w:tc>
          <w:tcPr>
            <w:tcW w:w="1712" w:type="dxa"/>
            <w:shd w:val="clear" w:color="auto" w:fill="B8CCE4" w:themeFill="accent1" w:themeFillTint="66"/>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-1814</w:t>
            </w:r>
          </w:p>
        </w:tc>
      </w:tr>
      <w:tr w:rsidR="000D725F" w:rsidRPr="003F5A77" w:rsidTr="00CD4827">
        <w:tc>
          <w:tcPr>
            <w:cnfStyle w:val="001000000000" w:firstRow="0" w:lastRow="0" w:firstColumn="1" w:lastColumn="0" w:oddVBand="0" w:evenVBand="0" w:oddHBand="0" w:evenHBand="0" w:firstRowFirstColumn="0" w:firstRowLastColumn="0" w:lastRowFirstColumn="0" w:lastRowLastColumn="0"/>
            <w:tcW w:w="2383" w:type="dxa"/>
          </w:tcPr>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2026</w:t>
            </w:r>
          </w:p>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(50,840)</w:t>
            </w:r>
          </w:p>
          <w:p w:rsidR="000D725F" w:rsidRPr="003F5A77" w:rsidRDefault="000D725F" w:rsidP="000D725F">
            <w:pPr>
              <w:ind w:left="26"/>
              <w:rPr>
                <w:rFonts w:asciiTheme="minorHAnsi" w:hAnsiTheme="minorHAnsi" w:cs="Arial"/>
                <w:color w:val="000000" w:themeColor="text1"/>
                <w:sz w:val="22"/>
                <w:szCs w:val="22"/>
              </w:rPr>
            </w:pPr>
          </w:p>
        </w:tc>
        <w:tc>
          <w:tcPr>
            <w:tcW w:w="1363"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2389</w:t>
            </w:r>
          </w:p>
        </w:tc>
        <w:tc>
          <w:tcPr>
            <w:tcW w:w="1319"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333</w:t>
            </w:r>
          </w:p>
        </w:tc>
        <w:tc>
          <w:tcPr>
            <w:tcW w:w="1322"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122</w:t>
            </w:r>
          </w:p>
        </w:tc>
        <w:tc>
          <w:tcPr>
            <w:tcW w:w="1688"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19%</w:t>
            </w:r>
          </w:p>
        </w:tc>
        <w:tc>
          <w:tcPr>
            <w:tcW w:w="1712" w:type="dxa"/>
            <w:shd w:val="clear" w:color="auto" w:fill="B8CCE4" w:themeFill="accent1" w:themeFillTint="66"/>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-1934</w:t>
            </w:r>
          </w:p>
        </w:tc>
      </w:tr>
      <w:tr w:rsidR="000D725F"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2031</w:t>
            </w:r>
          </w:p>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(53,153) </w:t>
            </w:r>
          </w:p>
          <w:p w:rsidR="000D725F" w:rsidRPr="003F5A77" w:rsidRDefault="000D725F" w:rsidP="000D725F">
            <w:pPr>
              <w:ind w:left="26"/>
              <w:rPr>
                <w:rFonts w:asciiTheme="minorHAnsi" w:hAnsiTheme="minorHAnsi" w:cs="Arial"/>
                <w:color w:val="000000" w:themeColor="text1"/>
                <w:sz w:val="22"/>
                <w:szCs w:val="22"/>
              </w:rPr>
            </w:pPr>
          </w:p>
        </w:tc>
        <w:tc>
          <w:tcPr>
            <w:tcW w:w="1363"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2498</w:t>
            </w:r>
          </w:p>
        </w:tc>
        <w:tc>
          <w:tcPr>
            <w:tcW w:w="1319"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333</w:t>
            </w:r>
          </w:p>
        </w:tc>
        <w:tc>
          <w:tcPr>
            <w:tcW w:w="1322"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128</w:t>
            </w:r>
          </w:p>
        </w:tc>
        <w:tc>
          <w:tcPr>
            <w:tcW w:w="1688" w:type="dxa"/>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18%</w:t>
            </w:r>
          </w:p>
        </w:tc>
        <w:tc>
          <w:tcPr>
            <w:tcW w:w="1712" w:type="dxa"/>
            <w:shd w:val="clear" w:color="auto" w:fill="B8CCE4" w:themeFill="accent1" w:themeFillTint="66"/>
          </w:tcPr>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-2037</w:t>
            </w:r>
          </w:p>
        </w:tc>
      </w:tr>
      <w:tr w:rsidR="000D725F" w:rsidRPr="003F5A77" w:rsidTr="00CD4827">
        <w:tc>
          <w:tcPr>
            <w:cnfStyle w:val="001000000000" w:firstRow="0" w:lastRow="0" w:firstColumn="1" w:lastColumn="0" w:oddVBand="0" w:evenVBand="0" w:oddHBand="0" w:evenHBand="0" w:firstRowFirstColumn="0" w:firstRowLastColumn="0" w:lastRowFirstColumn="0" w:lastRowLastColumn="0"/>
            <w:tcW w:w="2383" w:type="dxa"/>
          </w:tcPr>
          <w:p w:rsidR="000D725F" w:rsidRPr="003F5A77" w:rsidRDefault="000D725F" w:rsidP="000D725F">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2036</w:t>
            </w:r>
          </w:p>
          <w:p w:rsidR="000D725F" w:rsidRPr="003F5A77" w:rsidRDefault="000D725F" w:rsidP="000D725F">
            <w:pPr>
              <w:ind w:left="26"/>
              <w:rPr>
                <w:rFonts w:asciiTheme="minorHAnsi" w:hAnsiTheme="minorHAnsi" w:cs="Arial"/>
                <w:color w:val="FF0000"/>
                <w:sz w:val="22"/>
                <w:szCs w:val="22"/>
              </w:rPr>
            </w:pPr>
            <w:r w:rsidRPr="003F5A77">
              <w:rPr>
                <w:rFonts w:asciiTheme="minorHAnsi" w:hAnsiTheme="minorHAnsi" w:cs="Arial"/>
                <w:color w:val="FF0000"/>
                <w:sz w:val="22"/>
                <w:szCs w:val="22"/>
              </w:rPr>
              <w:t>(56,653)</w:t>
            </w:r>
            <w:r w:rsidRPr="003F5A77">
              <w:rPr>
                <w:rStyle w:val="FootnoteReference"/>
                <w:rFonts w:asciiTheme="minorHAnsi" w:hAnsiTheme="minorHAnsi" w:cs="Arial"/>
                <w:color w:val="FF0000"/>
                <w:sz w:val="22"/>
                <w:szCs w:val="22"/>
              </w:rPr>
              <w:t xml:space="preserve"> </w:t>
            </w:r>
            <w:r w:rsidRPr="003F5A77">
              <w:rPr>
                <w:rStyle w:val="FootnoteReference"/>
                <w:rFonts w:asciiTheme="minorHAnsi" w:hAnsiTheme="minorHAnsi" w:cs="Arial"/>
                <w:color w:val="FF0000"/>
                <w:sz w:val="22"/>
                <w:szCs w:val="22"/>
              </w:rPr>
              <w:footnoteReference w:id="10"/>
            </w:r>
          </w:p>
          <w:p w:rsidR="000D725F" w:rsidRPr="003F5A77" w:rsidRDefault="000D725F" w:rsidP="000D725F">
            <w:pPr>
              <w:ind w:left="26"/>
              <w:rPr>
                <w:rFonts w:asciiTheme="minorHAnsi" w:hAnsiTheme="minorHAnsi" w:cs="Arial"/>
                <w:color w:val="000000" w:themeColor="text1"/>
                <w:sz w:val="22"/>
                <w:szCs w:val="22"/>
              </w:rPr>
            </w:pPr>
          </w:p>
        </w:tc>
        <w:tc>
          <w:tcPr>
            <w:tcW w:w="1363"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2662</w:t>
            </w:r>
          </w:p>
        </w:tc>
        <w:tc>
          <w:tcPr>
            <w:tcW w:w="1319"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333</w:t>
            </w:r>
          </w:p>
        </w:tc>
        <w:tc>
          <w:tcPr>
            <w:tcW w:w="1322"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136</w:t>
            </w:r>
          </w:p>
        </w:tc>
        <w:tc>
          <w:tcPr>
            <w:tcW w:w="1688" w:type="dxa"/>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18%</w:t>
            </w:r>
          </w:p>
        </w:tc>
        <w:tc>
          <w:tcPr>
            <w:tcW w:w="1712" w:type="dxa"/>
            <w:shd w:val="clear" w:color="auto" w:fill="B8CCE4" w:themeFill="accent1" w:themeFillTint="66"/>
          </w:tcPr>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0D725F" w:rsidRPr="003F5A77" w:rsidRDefault="000D725F" w:rsidP="000D725F">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-2193</w:t>
            </w:r>
          </w:p>
        </w:tc>
      </w:tr>
    </w:tbl>
    <w:p w:rsidR="005A235A" w:rsidRPr="003F5A77" w:rsidRDefault="005A235A" w:rsidP="000044F0">
      <w:pPr>
        <w:ind w:left="-851"/>
        <w:rPr>
          <w:rFonts w:asciiTheme="minorHAnsi" w:hAnsiTheme="minorHAnsi" w:cs="Arial"/>
          <w:color w:val="000000" w:themeColor="text1"/>
          <w:sz w:val="22"/>
          <w:szCs w:val="22"/>
        </w:rPr>
      </w:pPr>
    </w:p>
    <w:p w:rsidR="00CC0C90" w:rsidRPr="003F5A77" w:rsidRDefault="00CC0C90" w:rsidP="000044F0">
      <w:pPr>
        <w:ind w:left="-851"/>
        <w:rPr>
          <w:rFonts w:asciiTheme="minorHAnsi" w:hAnsiTheme="minorHAnsi" w:cs="Arial"/>
          <w:b/>
          <w:sz w:val="22"/>
          <w:szCs w:val="22"/>
        </w:rPr>
      </w:pPr>
      <w:r w:rsidRPr="003F5A77">
        <w:rPr>
          <w:rFonts w:asciiTheme="minorHAnsi" w:hAnsiTheme="minorHAnsi" w:cs="Arial"/>
          <w:b/>
          <w:sz w:val="22"/>
          <w:szCs w:val="22"/>
        </w:rPr>
        <w:t>Source; 2016 Census of Population &amp; Housing (ABS) customised data; 2015 local government area (LGA) profiles (DHHS, 2016); .id population &amp; household forecast (2016 preliminary rebase) &amp; Victoria in Future (2016)</w:t>
      </w:r>
    </w:p>
    <w:p w:rsidR="00022037" w:rsidRPr="003F5A77" w:rsidRDefault="00022037" w:rsidP="000044F0">
      <w:pPr>
        <w:ind w:left="-851"/>
        <w:rPr>
          <w:rFonts w:asciiTheme="minorHAnsi" w:hAnsiTheme="minorHAnsi" w:cs="Arial"/>
          <w:color w:val="000000" w:themeColor="text1"/>
          <w:sz w:val="22"/>
          <w:szCs w:val="22"/>
        </w:rPr>
      </w:pPr>
    </w:p>
    <w:p w:rsidR="00312A62" w:rsidRPr="003F5A77" w:rsidRDefault="00312A62" w:rsidP="000044F0">
      <w:pPr>
        <w:ind w:left="-851"/>
        <w:rPr>
          <w:rFonts w:asciiTheme="minorHAnsi" w:hAnsiTheme="minorHAnsi" w:cs="Arial"/>
          <w:color w:val="000000" w:themeColor="text1"/>
          <w:sz w:val="22"/>
          <w:szCs w:val="22"/>
        </w:rPr>
      </w:pPr>
    </w:p>
    <w:p w:rsidR="003D3331" w:rsidRDefault="003D3331" w:rsidP="000044F0">
      <w:pPr>
        <w:ind w:left="-851"/>
        <w:rPr>
          <w:rFonts w:asciiTheme="minorHAnsi" w:hAnsiTheme="minorHAnsi" w:cs="Arial"/>
          <w:b/>
          <w:sz w:val="22"/>
          <w:szCs w:val="22"/>
        </w:rPr>
      </w:pPr>
      <w:r w:rsidRPr="003F5A77">
        <w:rPr>
          <w:rFonts w:asciiTheme="minorHAnsi" w:hAnsiTheme="minorHAnsi" w:cs="Arial"/>
          <w:b/>
          <w:sz w:val="22"/>
          <w:szCs w:val="22"/>
        </w:rPr>
        <w:br w:type="page"/>
      </w:r>
    </w:p>
    <w:p w:rsidR="003D3331" w:rsidRPr="003F5A77" w:rsidRDefault="003D3331" w:rsidP="000044F0">
      <w:pPr>
        <w:ind w:left="-851"/>
        <w:rPr>
          <w:rFonts w:asciiTheme="minorHAnsi" w:hAnsiTheme="minorHAnsi" w:cs="Arial"/>
          <w:b/>
          <w:sz w:val="22"/>
          <w:szCs w:val="22"/>
        </w:rPr>
      </w:pPr>
    </w:p>
    <w:tbl>
      <w:tblPr>
        <w:tblStyle w:val="ListTable3-Accent1"/>
        <w:tblW w:w="9640" w:type="dxa"/>
        <w:tblInd w:w="-289" w:type="dxa"/>
        <w:tblBorders>
          <w:insideH w:val="single" w:sz="4" w:space="0" w:color="4F81BD" w:themeColor="accent1"/>
          <w:insideV w:val="single" w:sz="4" w:space="0" w:color="4F81BD" w:themeColor="accent1"/>
        </w:tblBorders>
        <w:tblLook w:val="04A0" w:firstRow="1" w:lastRow="0" w:firstColumn="1" w:lastColumn="0" w:noHBand="0" w:noVBand="1"/>
      </w:tblPr>
      <w:tblGrid>
        <w:gridCol w:w="1952"/>
        <w:gridCol w:w="1363"/>
        <w:gridCol w:w="1319"/>
        <w:gridCol w:w="1604"/>
        <w:gridCol w:w="1701"/>
        <w:gridCol w:w="1701"/>
      </w:tblGrid>
      <w:tr w:rsidR="003D3331" w:rsidRPr="003F5A77" w:rsidTr="000D72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40" w:type="dxa"/>
            <w:gridSpan w:val="6"/>
            <w:tcBorders>
              <w:bottom w:val="none" w:sz="0" w:space="0" w:color="auto"/>
              <w:right w:val="none" w:sz="0" w:space="0" w:color="auto"/>
            </w:tcBorders>
          </w:tcPr>
          <w:p w:rsidR="003D3331" w:rsidRPr="003F5A77" w:rsidRDefault="003D3331" w:rsidP="00AC497D">
            <w:pPr>
              <w:ind w:left="26"/>
              <w:rPr>
                <w:rFonts w:asciiTheme="minorHAnsi" w:hAnsiTheme="minorHAnsi" w:cs="Arial"/>
                <w:color w:val="FF0000"/>
                <w:sz w:val="22"/>
                <w:szCs w:val="22"/>
              </w:rPr>
            </w:pPr>
            <w:r w:rsidRPr="003F5A77">
              <w:rPr>
                <w:rFonts w:asciiTheme="minorHAnsi" w:hAnsiTheme="minorHAnsi" w:cs="Arial"/>
                <w:sz w:val="22"/>
                <w:szCs w:val="22"/>
              </w:rPr>
              <w:t>Table 2.4 Social housing needs, Maroondah, 2016-3036</w:t>
            </w:r>
          </w:p>
          <w:p w:rsidR="003D3331" w:rsidRPr="003F5A77" w:rsidRDefault="003D3331" w:rsidP="00AC497D">
            <w:pPr>
              <w:ind w:left="26"/>
              <w:rPr>
                <w:rFonts w:asciiTheme="minorHAnsi" w:hAnsiTheme="minorHAnsi" w:cs="Arial"/>
                <w:sz w:val="22"/>
                <w:szCs w:val="22"/>
              </w:rPr>
            </w:pPr>
          </w:p>
        </w:tc>
      </w:tr>
      <w:tr w:rsidR="003D3331"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bottom w:val="none" w:sz="0" w:space="0" w:color="auto"/>
              <w:right w:val="none" w:sz="0" w:space="0" w:color="auto"/>
            </w:tcBorders>
          </w:tcPr>
          <w:p w:rsidR="003D3331" w:rsidRPr="003F5A77" w:rsidRDefault="003D3331" w:rsidP="00AC497D">
            <w:pPr>
              <w:ind w:left="26"/>
              <w:rPr>
                <w:rFonts w:asciiTheme="minorHAnsi" w:hAnsiTheme="minorHAnsi" w:cs="Arial"/>
                <w:sz w:val="22"/>
                <w:szCs w:val="22"/>
              </w:rPr>
            </w:pPr>
            <w:r w:rsidRPr="003F5A77">
              <w:rPr>
                <w:rFonts w:asciiTheme="minorHAnsi" w:hAnsiTheme="minorHAnsi" w:cs="Arial"/>
                <w:sz w:val="22"/>
                <w:szCs w:val="22"/>
              </w:rPr>
              <w:t>Year</w:t>
            </w:r>
          </w:p>
        </w:tc>
        <w:tc>
          <w:tcPr>
            <w:tcW w:w="1363"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‘Need’ Est. number of very low income households that do not own their own home</w:t>
            </w: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(4.0% of total households at 2016 Census)</w:t>
            </w:r>
          </w:p>
        </w:tc>
        <w:tc>
          <w:tcPr>
            <w:tcW w:w="1319"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Number of social housing dwellings</w:t>
            </w: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CC0C90" w:rsidRPr="003F5A77" w:rsidRDefault="00CC0C90"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1347 as at 2014-15 (DHHS)</w:t>
            </w:r>
          </w:p>
        </w:tc>
        <w:tc>
          <w:tcPr>
            <w:tcW w:w="1604"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Estimated number of affordable private lettings @</w:t>
            </w: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3.2% of private rentals</w:t>
            </w:r>
          </w:p>
          <w:p w:rsidR="00CC0C90" w:rsidRPr="003F5A77" w:rsidRDefault="00CC0C90"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B6541" w:rsidRPr="003F5A77" w:rsidRDefault="005B654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w:t>
            </w:r>
            <w:proofErr w:type="gramStart"/>
            <w:r w:rsidRPr="003F5A77">
              <w:rPr>
                <w:rFonts w:asciiTheme="minorHAnsi" w:hAnsiTheme="minorHAnsi" w:cs="Arial"/>
                <w:b/>
                <w:sz w:val="22"/>
                <w:szCs w:val="22"/>
              </w:rPr>
              <w:t>2 year</w:t>
            </w:r>
            <w:proofErr w:type="gramEnd"/>
            <w:r w:rsidRPr="003F5A77">
              <w:rPr>
                <w:rFonts w:asciiTheme="minorHAnsi" w:hAnsiTheme="minorHAnsi" w:cs="Arial"/>
                <w:b/>
                <w:sz w:val="22"/>
                <w:szCs w:val="22"/>
              </w:rPr>
              <w:t xml:space="preserve"> average, 2015-2017)</w:t>
            </w:r>
          </w:p>
        </w:tc>
        <w:tc>
          <w:tcPr>
            <w:tcW w:w="1701"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 of need met by existing</w:t>
            </w:r>
            <w:r w:rsidRPr="003F5A77">
              <w:rPr>
                <w:rFonts w:asciiTheme="minorHAnsi" w:hAnsiTheme="minorHAnsi" w:cs="Arial"/>
                <w:sz w:val="22"/>
                <w:szCs w:val="22"/>
              </w:rPr>
              <w:t xml:space="preserve"> </w:t>
            </w:r>
            <w:r w:rsidRPr="003F5A77">
              <w:rPr>
                <w:rFonts w:asciiTheme="minorHAnsi" w:hAnsiTheme="minorHAnsi" w:cs="Arial"/>
                <w:b/>
                <w:sz w:val="22"/>
                <w:szCs w:val="22"/>
              </w:rPr>
              <w:t>social housing &amp; estimated affordable private lettings</w:t>
            </w:r>
          </w:p>
        </w:tc>
        <w:tc>
          <w:tcPr>
            <w:tcW w:w="1701" w:type="dxa"/>
            <w:tcBorders>
              <w:top w:val="none" w:sz="0" w:space="0" w:color="auto"/>
              <w:bottom w:val="none" w:sz="0" w:space="0" w:color="auto"/>
            </w:tcBorders>
            <w:shd w:val="clear" w:color="auto" w:fill="B8CCE4" w:themeFill="accent1" w:themeFillTint="66"/>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Shortfall of social housing</w:t>
            </w:r>
          </w:p>
        </w:tc>
      </w:tr>
      <w:tr w:rsidR="003D3331" w:rsidRPr="003F5A77" w:rsidTr="00CD4827">
        <w:trPr>
          <w:trHeight w:val="1395"/>
        </w:trPr>
        <w:tc>
          <w:tcPr>
            <w:cnfStyle w:val="001000000000" w:firstRow="0" w:lastRow="0" w:firstColumn="1" w:lastColumn="0" w:oddVBand="0" w:evenVBand="0" w:oddHBand="0" w:evenHBand="0" w:firstRowFirstColumn="0" w:firstRowLastColumn="0" w:lastRowFirstColumn="0" w:lastRowLastColumn="0"/>
            <w:tcW w:w="1952" w:type="dxa"/>
            <w:tcBorders>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(2016, usual residence)</w:t>
            </w:r>
          </w:p>
          <w:p w:rsidR="003D3331" w:rsidRPr="003F5A77" w:rsidRDefault="00D011C3"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(43,971</w:t>
            </w:r>
            <w:r w:rsidR="003D3331" w:rsidRPr="003F5A77">
              <w:rPr>
                <w:rFonts w:asciiTheme="minorHAnsi" w:hAnsiTheme="minorHAnsi" w:cs="Arial"/>
                <w:color w:val="000000" w:themeColor="text1"/>
                <w:sz w:val="22"/>
                <w:szCs w:val="22"/>
              </w:rPr>
              <w:t>, id 2016 prelim. rebase)</w:t>
            </w:r>
          </w:p>
        </w:tc>
        <w:tc>
          <w:tcPr>
            <w:tcW w:w="1363"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4722E7" w:rsidRPr="003F5A77" w:rsidRDefault="004722E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4722E7" w:rsidRPr="003F5A77" w:rsidRDefault="004722E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4722E7" w:rsidRPr="003F5A77" w:rsidRDefault="004722E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1759</w:t>
            </w:r>
          </w:p>
        </w:tc>
        <w:tc>
          <w:tcPr>
            <w:tcW w:w="1319"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1347</w:t>
            </w:r>
          </w:p>
        </w:tc>
        <w:tc>
          <w:tcPr>
            <w:tcW w:w="1604"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FA4D97" w:rsidRPr="003F5A77" w:rsidRDefault="00FA4D9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FA4D97" w:rsidRPr="003F5A77" w:rsidRDefault="00FA4D9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FA4D97" w:rsidRPr="003F5A77" w:rsidRDefault="00FA4D9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287</w:t>
            </w:r>
          </w:p>
        </w:tc>
        <w:tc>
          <w:tcPr>
            <w:tcW w:w="1701"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61286A" w:rsidRPr="003F5A77" w:rsidRDefault="0061286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61286A" w:rsidRPr="003F5A77" w:rsidRDefault="0061286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93%</w:t>
            </w:r>
          </w:p>
        </w:tc>
        <w:tc>
          <w:tcPr>
            <w:tcW w:w="1701" w:type="dxa"/>
            <w:shd w:val="clear" w:color="auto" w:fill="B8CCE4" w:themeFill="accent1" w:themeFillTint="66"/>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8141EF" w:rsidRPr="003F5A77" w:rsidRDefault="008141EF"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8141EF" w:rsidRPr="003F5A77" w:rsidRDefault="008141EF"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-125</w:t>
            </w:r>
          </w:p>
        </w:tc>
      </w:tr>
      <w:tr w:rsidR="003D3331"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bottom w:val="none" w:sz="0" w:space="0" w:color="auto"/>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2021</w:t>
            </w:r>
          </w:p>
          <w:p w:rsidR="003D3331" w:rsidRPr="003F5A77" w:rsidRDefault="004722E7"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(47,217</w:t>
            </w:r>
            <w:r w:rsidR="003D3331" w:rsidRPr="003F5A77">
              <w:rPr>
                <w:rFonts w:asciiTheme="minorHAnsi" w:hAnsiTheme="minorHAnsi" w:cs="Arial"/>
                <w:color w:val="000000" w:themeColor="text1"/>
                <w:sz w:val="22"/>
                <w:szCs w:val="22"/>
              </w:rPr>
              <w:t>)</w:t>
            </w:r>
          </w:p>
          <w:p w:rsidR="003D3331" w:rsidRPr="003F5A77" w:rsidRDefault="003D3331" w:rsidP="00AC497D">
            <w:pPr>
              <w:ind w:left="26"/>
              <w:rPr>
                <w:rFonts w:asciiTheme="minorHAnsi" w:hAnsiTheme="minorHAnsi" w:cs="Arial"/>
                <w:color w:val="000000" w:themeColor="text1"/>
                <w:sz w:val="22"/>
                <w:szCs w:val="22"/>
              </w:rPr>
            </w:pPr>
          </w:p>
        </w:tc>
        <w:tc>
          <w:tcPr>
            <w:tcW w:w="1363" w:type="dxa"/>
            <w:tcBorders>
              <w:top w:val="none" w:sz="0" w:space="0" w:color="auto"/>
              <w:bottom w:val="none" w:sz="0" w:space="0" w:color="auto"/>
            </w:tcBorders>
          </w:tcPr>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4722E7" w:rsidRPr="003F5A77" w:rsidRDefault="004722E7"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1889</w:t>
            </w:r>
          </w:p>
        </w:tc>
        <w:tc>
          <w:tcPr>
            <w:tcW w:w="1319" w:type="dxa"/>
            <w:tcBorders>
              <w:top w:val="none" w:sz="0" w:space="0" w:color="auto"/>
              <w:bottom w:val="none" w:sz="0" w:space="0" w:color="auto"/>
            </w:tcBorders>
          </w:tcPr>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1347</w:t>
            </w:r>
          </w:p>
        </w:tc>
        <w:tc>
          <w:tcPr>
            <w:tcW w:w="1604" w:type="dxa"/>
            <w:tcBorders>
              <w:top w:val="none" w:sz="0" w:space="0" w:color="auto"/>
              <w:bottom w:val="none" w:sz="0" w:space="0" w:color="auto"/>
            </w:tcBorders>
          </w:tcPr>
          <w:p w:rsidR="00FA4D97" w:rsidRPr="003F5A77" w:rsidRDefault="00FA4D97"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FA4D97"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308</w:t>
            </w:r>
          </w:p>
        </w:tc>
        <w:tc>
          <w:tcPr>
            <w:tcW w:w="1701" w:type="dxa"/>
            <w:tcBorders>
              <w:top w:val="none" w:sz="0" w:space="0" w:color="auto"/>
              <w:bottom w:val="none" w:sz="0" w:space="0" w:color="auto"/>
            </w:tcBorders>
          </w:tcPr>
          <w:p w:rsidR="0061286A" w:rsidRPr="003F5A77" w:rsidRDefault="0061286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61286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88%</w:t>
            </w:r>
          </w:p>
        </w:tc>
        <w:tc>
          <w:tcPr>
            <w:tcW w:w="1701" w:type="dxa"/>
            <w:tcBorders>
              <w:top w:val="none" w:sz="0" w:space="0" w:color="auto"/>
              <w:bottom w:val="none" w:sz="0" w:space="0" w:color="auto"/>
            </w:tcBorders>
            <w:shd w:val="clear" w:color="auto" w:fill="B8CCE4" w:themeFill="accent1" w:themeFillTint="66"/>
          </w:tcPr>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8141EF" w:rsidRPr="003F5A77" w:rsidRDefault="008141EF"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-234</w:t>
            </w:r>
          </w:p>
        </w:tc>
      </w:tr>
      <w:tr w:rsidR="003D3331" w:rsidRPr="003F5A77" w:rsidTr="00CD4827">
        <w:tc>
          <w:tcPr>
            <w:cnfStyle w:val="001000000000" w:firstRow="0" w:lastRow="0" w:firstColumn="1" w:lastColumn="0" w:oddVBand="0" w:evenVBand="0" w:oddHBand="0" w:evenHBand="0" w:firstRowFirstColumn="0" w:firstRowLastColumn="0" w:lastRowFirstColumn="0" w:lastRowLastColumn="0"/>
            <w:tcW w:w="1952" w:type="dxa"/>
            <w:tcBorders>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2026</w:t>
            </w:r>
          </w:p>
          <w:p w:rsidR="003D3331" w:rsidRPr="003F5A77" w:rsidRDefault="004722E7"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(49,860</w:t>
            </w:r>
            <w:r w:rsidR="003D3331" w:rsidRPr="003F5A77">
              <w:rPr>
                <w:rFonts w:asciiTheme="minorHAnsi" w:hAnsiTheme="minorHAnsi" w:cs="Arial"/>
                <w:color w:val="000000" w:themeColor="text1"/>
                <w:sz w:val="22"/>
                <w:szCs w:val="22"/>
              </w:rPr>
              <w:t>)</w:t>
            </w:r>
          </w:p>
          <w:p w:rsidR="003D3331" w:rsidRPr="003F5A77" w:rsidRDefault="003D3331" w:rsidP="00AC497D">
            <w:pPr>
              <w:ind w:left="26"/>
              <w:rPr>
                <w:rFonts w:asciiTheme="minorHAnsi" w:hAnsiTheme="minorHAnsi" w:cs="Arial"/>
                <w:color w:val="000000" w:themeColor="text1"/>
                <w:sz w:val="22"/>
                <w:szCs w:val="22"/>
              </w:rPr>
            </w:pPr>
          </w:p>
        </w:tc>
        <w:tc>
          <w:tcPr>
            <w:tcW w:w="1363"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4722E7" w:rsidRPr="003F5A77" w:rsidRDefault="004722E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1994</w:t>
            </w:r>
          </w:p>
        </w:tc>
        <w:tc>
          <w:tcPr>
            <w:tcW w:w="1319"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1347</w:t>
            </w:r>
          </w:p>
        </w:tc>
        <w:tc>
          <w:tcPr>
            <w:tcW w:w="1604" w:type="dxa"/>
          </w:tcPr>
          <w:p w:rsidR="00FA4D97" w:rsidRPr="003F5A77" w:rsidRDefault="00FA4D9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FA4D9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325</w:t>
            </w:r>
          </w:p>
        </w:tc>
        <w:tc>
          <w:tcPr>
            <w:tcW w:w="1701"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61286A" w:rsidRPr="003F5A77" w:rsidRDefault="0061286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84%</w:t>
            </w:r>
          </w:p>
        </w:tc>
        <w:tc>
          <w:tcPr>
            <w:tcW w:w="1701" w:type="dxa"/>
            <w:shd w:val="clear" w:color="auto" w:fill="B8CCE4" w:themeFill="accent1" w:themeFillTint="66"/>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8141EF" w:rsidRPr="003F5A77" w:rsidRDefault="008141EF"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-322</w:t>
            </w:r>
          </w:p>
        </w:tc>
      </w:tr>
      <w:tr w:rsidR="003D3331"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bottom w:val="none" w:sz="0" w:space="0" w:color="auto"/>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2031</w:t>
            </w:r>
          </w:p>
          <w:p w:rsidR="003D3331" w:rsidRPr="003F5A77" w:rsidRDefault="004722E7"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(52,550</w:t>
            </w:r>
            <w:r w:rsidR="003D3331" w:rsidRPr="003F5A77">
              <w:rPr>
                <w:rFonts w:asciiTheme="minorHAnsi" w:hAnsiTheme="minorHAnsi" w:cs="Arial"/>
                <w:color w:val="000000" w:themeColor="text1"/>
                <w:sz w:val="22"/>
                <w:szCs w:val="22"/>
              </w:rPr>
              <w:t xml:space="preserve">) </w:t>
            </w:r>
          </w:p>
          <w:p w:rsidR="003D3331" w:rsidRPr="003F5A77" w:rsidRDefault="003D3331" w:rsidP="00AC497D">
            <w:pPr>
              <w:ind w:left="26"/>
              <w:rPr>
                <w:rFonts w:asciiTheme="minorHAnsi" w:hAnsiTheme="minorHAnsi" w:cs="Arial"/>
                <w:color w:val="000000" w:themeColor="text1"/>
                <w:sz w:val="22"/>
                <w:szCs w:val="22"/>
              </w:rPr>
            </w:pPr>
          </w:p>
        </w:tc>
        <w:tc>
          <w:tcPr>
            <w:tcW w:w="1363" w:type="dxa"/>
            <w:tcBorders>
              <w:top w:val="none" w:sz="0" w:space="0" w:color="auto"/>
              <w:bottom w:val="none" w:sz="0" w:space="0" w:color="auto"/>
            </w:tcBorders>
          </w:tcPr>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4722E7" w:rsidRPr="003F5A77" w:rsidRDefault="004722E7"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2102</w:t>
            </w:r>
          </w:p>
        </w:tc>
        <w:tc>
          <w:tcPr>
            <w:tcW w:w="1319" w:type="dxa"/>
            <w:tcBorders>
              <w:top w:val="none" w:sz="0" w:space="0" w:color="auto"/>
              <w:bottom w:val="none" w:sz="0" w:space="0" w:color="auto"/>
            </w:tcBorders>
          </w:tcPr>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1347</w:t>
            </w:r>
          </w:p>
        </w:tc>
        <w:tc>
          <w:tcPr>
            <w:tcW w:w="1604" w:type="dxa"/>
            <w:tcBorders>
              <w:top w:val="none" w:sz="0" w:space="0" w:color="auto"/>
              <w:bottom w:val="none" w:sz="0" w:space="0" w:color="auto"/>
            </w:tcBorders>
          </w:tcPr>
          <w:p w:rsidR="00FA4D97" w:rsidRPr="003F5A77" w:rsidRDefault="00FA4D97"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FA4D97"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343</w:t>
            </w:r>
          </w:p>
        </w:tc>
        <w:tc>
          <w:tcPr>
            <w:tcW w:w="1701" w:type="dxa"/>
            <w:tcBorders>
              <w:top w:val="none" w:sz="0" w:space="0" w:color="auto"/>
              <w:bottom w:val="none" w:sz="0" w:space="0" w:color="auto"/>
            </w:tcBorders>
          </w:tcPr>
          <w:p w:rsidR="0061286A" w:rsidRPr="003F5A77" w:rsidRDefault="0061286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61286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80%</w:t>
            </w:r>
          </w:p>
        </w:tc>
        <w:tc>
          <w:tcPr>
            <w:tcW w:w="1701" w:type="dxa"/>
            <w:tcBorders>
              <w:top w:val="none" w:sz="0" w:space="0" w:color="auto"/>
              <w:bottom w:val="none" w:sz="0" w:space="0" w:color="auto"/>
            </w:tcBorders>
            <w:shd w:val="clear" w:color="auto" w:fill="B8CCE4" w:themeFill="accent1" w:themeFillTint="66"/>
          </w:tcPr>
          <w:p w:rsidR="008141EF" w:rsidRPr="003F5A77" w:rsidRDefault="008141EF"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8141EF"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-412</w:t>
            </w:r>
          </w:p>
        </w:tc>
      </w:tr>
      <w:tr w:rsidR="003D3331" w:rsidRPr="003F5A77" w:rsidTr="00CD4827">
        <w:tc>
          <w:tcPr>
            <w:cnfStyle w:val="001000000000" w:firstRow="0" w:lastRow="0" w:firstColumn="1" w:lastColumn="0" w:oddVBand="0" w:evenVBand="0" w:oddHBand="0" w:evenHBand="0" w:firstRowFirstColumn="0" w:firstRowLastColumn="0" w:lastRowFirstColumn="0" w:lastRowLastColumn="0"/>
            <w:tcW w:w="1952" w:type="dxa"/>
            <w:tcBorders>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2036</w:t>
            </w:r>
          </w:p>
          <w:p w:rsidR="003D3331" w:rsidRPr="003F5A77" w:rsidRDefault="008D7C04" w:rsidP="00AC497D">
            <w:pPr>
              <w:ind w:left="26"/>
              <w:rPr>
                <w:rFonts w:asciiTheme="minorHAnsi" w:hAnsiTheme="minorHAnsi" w:cs="Arial"/>
                <w:color w:val="FF0000"/>
                <w:sz w:val="22"/>
                <w:szCs w:val="22"/>
              </w:rPr>
            </w:pPr>
            <w:r w:rsidRPr="003F5A77">
              <w:rPr>
                <w:rFonts w:asciiTheme="minorHAnsi" w:hAnsiTheme="minorHAnsi" w:cs="Arial"/>
                <w:color w:val="FF0000"/>
                <w:sz w:val="22"/>
                <w:szCs w:val="22"/>
              </w:rPr>
              <w:t>(55,331)</w:t>
            </w:r>
            <w:r w:rsidRPr="003F5A77">
              <w:rPr>
                <w:rStyle w:val="FootnoteReference"/>
                <w:rFonts w:asciiTheme="minorHAnsi" w:hAnsiTheme="minorHAnsi" w:cs="Arial"/>
                <w:color w:val="FF0000"/>
                <w:sz w:val="22"/>
                <w:szCs w:val="22"/>
              </w:rPr>
              <w:t xml:space="preserve"> </w:t>
            </w:r>
            <w:r w:rsidRPr="003F5A77">
              <w:rPr>
                <w:rStyle w:val="FootnoteReference"/>
                <w:rFonts w:asciiTheme="minorHAnsi" w:hAnsiTheme="minorHAnsi" w:cs="Arial"/>
                <w:color w:val="FF0000"/>
                <w:sz w:val="22"/>
                <w:szCs w:val="22"/>
              </w:rPr>
              <w:footnoteReference w:id="11"/>
            </w:r>
          </w:p>
          <w:p w:rsidR="003D3331" w:rsidRPr="003F5A77" w:rsidRDefault="003D3331" w:rsidP="00AC497D">
            <w:pPr>
              <w:ind w:left="26"/>
              <w:rPr>
                <w:rFonts w:asciiTheme="minorHAnsi" w:hAnsiTheme="minorHAnsi" w:cs="Arial"/>
                <w:color w:val="000000" w:themeColor="text1"/>
                <w:sz w:val="22"/>
                <w:szCs w:val="22"/>
              </w:rPr>
            </w:pPr>
          </w:p>
        </w:tc>
        <w:tc>
          <w:tcPr>
            <w:tcW w:w="1363" w:type="dxa"/>
          </w:tcPr>
          <w:p w:rsidR="00FA4D97" w:rsidRPr="003F5A77" w:rsidRDefault="00FA4D97" w:rsidP="00AC497D">
            <w:pPr>
              <w:ind w:left="26"/>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4722E7" w:rsidRPr="003F5A77" w:rsidRDefault="008D7C0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2213</w:t>
            </w:r>
          </w:p>
        </w:tc>
        <w:tc>
          <w:tcPr>
            <w:tcW w:w="1319"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1347</w:t>
            </w:r>
          </w:p>
        </w:tc>
        <w:tc>
          <w:tcPr>
            <w:tcW w:w="1604" w:type="dxa"/>
          </w:tcPr>
          <w:p w:rsidR="00FA4D97" w:rsidRPr="003F5A77" w:rsidRDefault="00FA4D9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8D7C0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361</w:t>
            </w:r>
          </w:p>
        </w:tc>
        <w:tc>
          <w:tcPr>
            <w:tcW w:w="1701" w:type="dxa"/>
          </w:tcPr>
          <w:p w:rsidR="0061286A" w:rsidRPr="003F5A77" w:rsidRDefault="0061286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8D7C0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77</w:t>
            </w:r>
            <w:r w:rsidR="0061286A" w:rsidRPr="003F5A77">
              <w:rPr>
                <w:rFonts w:asciiTheme="minorHAnsi" w:hAnsiTheme="minorHAnsi" w:cs="Arial"/>
                <w:sz w:val="22"/>
                <w:szCs w:val="22"/>
              </w:rPr>
              <w:t>%</w:t>
            </w:r>
          </w:p>
        </w:tc>
        <w:tc>
          <w:tcPr>
            <w:tcW w:w="1701" w:type="dxa"/>
            <w:shd w:val="clear" w:color="auto" w:fill="B8CCE4" w:themeFill="accent1" w:themeFillTint="66"/>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A45C3C" w:rsidRPr="003F5A77" w:rsidRDefault="008D7C0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-505</w:t>
            </w:r>
          </w:p>
        </w:tc>
      </w:tr>
    </w:tbl>
    <w:p w:rsidR="00CC0C90" w:rsidRPr="003F5A77" w:rsidRDefault="00CC0C90" w:rsidP="000044F0">
      <w:pPr>
        <w:ind w:left="-851"/>
        <w:rPr>
          <w:rFonts w:asciiTheme="minorHAnsi" w:hAnsiTheme="minorHAnsi" w:cs="Arial"/>
          <w:b/>
          <w:sz w:val="22"/>
          <w:szCs w:val="22"/>
        </w:rPr>
      </w:pPr>
      <w:r w:rsidRPr="003F5A77">
        <w:rPr>
          <w:rFonts w:asciiTheme="minorHAnsi" w:hAnsiTheme="minorHAnsi" w:cs="Arial"/>
          <w:b/>
          <w:sz w:val="22"/>
          <w:szCs w:val="22"/>
        </w:rPr>
        <w:t>Source; 2016 Census of Population &amp; Housing (ABS) customised data; 2015 local government area (LGA) profiles (DHHS, 2016); .id population &amp; household forecast (2016 preliminary rebase) &amp; Victoria in Future (2016)</w:t>
      </w:r>
    </w:p>
    <w:p w:rsidR="003D3331" w:rsidRPr="003F5A77" w:rsidRDefault="003D3331" w:rsidP="000044F0">
      <w:pPr>
        <w:ind w:left="-851"/>
        <w:rPr>
          <w:rFonts w:asciiTheme="minorHAnsi" w:hAnsiTheme="minorHAnsi" w:cs="Arial"/>
          <w:b/>
          <w:sz w:val="22"/>
          <w:szCs w:val="22"/>
        </w:rPr>
      </w:pPr>
    </w:p>
    <w:p w:rsidR="003D3331" w:rsidRPr="003F5A77" w:rsidRDefault="003D3331" w:rsidP="000044F0">
      <w:pPr>
        <w:ind w:left="-851"/>
        <w:rPr>
          <w:rFonts w:asciiTheme="minorHAnsi" w:hAnsiTheme="minorHAnsi" w:cs="Arial"/>
          <w:b/>
          <w:sz w:val="22"/>
          <w:szCs w:val="22"/>
        </w:rPr>
      </w:pPr>
      <w:r w:rsidRPr="003F5A77">
        <w:rPr>
          <w:rFonts w:asciiTheme="minorHAnsi" w:hAnsiTheme="minorHAnsi" w:cs="Arial"/>
          <w:b/>
          <w:sz w:val="22"/>
          <w:szCs w:val="22"/>
        </w:rPr>
        <w:br w:type="page"/>
      </w:r>
    </w:p>
    <w:tbl>
      <w:tblPr>
        <w:tblStyle w:val="ListTable3-Accent1"/>
        <w:tblW w:w="9640" w:type="dxa"/>
        <w:tblInd w:w="-289" w:type="dxa"/>
        <w:tblBorders>
          <w:insideH w:val="single" w:sz="4" w:space="0" w:color="4F81BD" w:themeColor="accent1"/>
          <w:insideV w:val="single" w:sz="4" w:space="0" w:color="4F81BD" w:themeColor="accent1"/>
        </w:tblBorders>
        <w:tblLook w:val="04A0" w:firstRow="1" w:lastRow="0" w:firstColumn="1" w:lastColumn="0" w:noHBand="0" w:noVBand="1"/>
      </w:tblPr>
      <w:tblGrid>
        <w:gridCol w:w="1952"/>
        <w:gridCol w:w="1363"/>
        <w:gridCol w:w="1319"/>
        <w:gridCol w:w="1322"/>
        <w:gridCol w:w="1983"/>
        <w:gridCol w:w="1701"/>
      </w:tblGrid>
      <w:tr w:rsidR="003D3331" w:rsidRPr="003F5A77" w:rsidTr="000D72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40" w:type="dxa"/>
            <w:gridSpan w:val="6"/>
            <w:tcBorders>
              <w:bottom w:val="none" w:sz="0" w:space="0" w:color="auto"/>
              <w:right w:val="none" w:sz="0" w:space="0" w:color="auto"/>
            </w:tcBorders>
          </w:tcPr>
          <w:p w:rsidR="003D3331" w:rsidRPr="003F5A77" w:rsidRDefault="003D3331" w:rsidP="00AC497D">
            <w:pPr>
              <w:ind w:left="26"/>
              <w:rPr>
                <w:rFonts w:asciiTheme="minorHAnsi" w:hAnsiTheme="minorHAnsi" w:cs="Arial"/>
                <w:color w:val="FF0000"/>
                <w:sz w:val="22"/>
                <w:szCs w:val="22"/>
              </w:rPr>
            </w:pPr>
            <w:r w:rsidRPr="003F5A77">
              <w:rPr>
                <w:rFonts w:asciiTheme="minorHAnsi" w:hAnsiTheme="minorHAnsi" w:cs="Arial"/>
                <w:sz w:val="22"/>
                <w:szCs w:val="22"/>
              </w:rPr>
              <w:lastRenderedPageBreak/>
              <w:t>Table 2.5 Social housing needs, Monash, 2016-3036</w:t>
            </w:r>
          </w:p>
          <w:p w:rsidR="003D3331" w:rsidRPr="003F5A77" w:rsidRDefault="003D3331" w:rsidP="00AC497D">
            <w:pPr>
              <w:ind w:left="26"/>
              <w:rPr>
                <w:rFonts w:asciiTheme="minorHAnsi" w:hAnsiTheme="minorHAnsi" w:cs="Arial"/>
                <w:sz w:val="22"/>
                <w:szCs w:val="22"/>
              </w:rPr>
            </w:pPr>
          </w:p>
        </w:tc>
      </w:tr>
      <w:tr w:rsidR="003D3331"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bottom w:val="none" w:sz="0" w:space="0" w:color="auto"/>
              <w:right w:val="none" w:sz="0" w:space="0" w:color="auto"/>
            </w:tcBorders>
          </w:tcPr>
          <w:p w:rsidR="003D3331" w:rsidRPr="00CD4827" w:rsidRDefault="003D3331" w:rsidP="00AC497D">
            <w:pPr>
              <w:ind w:left="26"/>
              <w:rPr>
                <w:rFonts w:asciiTheme="minorHAnsi" w:hAnsiTheme="minorHAnsi" w:cs="Arial"/>
                <w:sz w:val="22"/>
                <w:szCs w:val="22"/>
              </w:rPr>
            </w:pPr>
            <w:r w:rsidRPr="00CD4827">
              <w:rPr>
                <w:rFonts w:asciiTheme="minorHAnsi" w:hAnsiTheme="minorHAnsi" w:cs="Arial"/>
                <w:sz w:val="22"/>
                <w:szCs w:val="22"/>
              </w:rPr>
              <w:t>Year</w:t>
            </w:r>
          </w:p>
        </w:tc>
        <w:tc>
          <w:tcPr>
            <w:tcW w:w="1363"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‘Need’ Est. number of very low income households that do not own their own home</w:t>
            </w: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(7.3% of total households at 2016 Census)</w:t>
            </w:r>
          </w:p>
        </w:tc>
        <w:tc>
          <w:tcPr>
            <w:tcW w:w="1319"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Number of social housing dwellings</w:t>
            </w: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CC0C90" w:rsidRPr="003F5A77" w:rsidRDefault="00CC0C90"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1808 as at 2014-15 (DHHS)</w:t>
            </w:r>
          </w:p>
        </w:tc>
        <w:tc>
          <w:tcPr>
            <w:tcW w:w="1322"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Estimated number of affordable private lettings @</w:t>
            </w:r>
          </w:p>
          <w:p w:rsidR="003D3331" w:rsidRPr="003F5A77" w:rsidRDefault="009245FA"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2.3</w:t>
            </w:r>
            <w:r w:rsidR="003D3331" w:rsidRPr="003F5A77">
              <w:rPr>
                <w:rFonts w:asciiTheme="minorHAnsi" w:hAnsiTheme="minorHAnsi" w:cs="Arial"/>
                <w:b/>
                <w:sz w:val="22"/>
                <w:szCs w:val="22"/>
              </w:rPr>
              <w:t>% of private rentals</w:t>
            </w:r>
          </w:p>
          <w:p w:rsidR="00CC0C90" w:rsidRPr="003F5A77" w:rsidRDefault="00CC0C90"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B6541" w:rsidRPr="003F5A77" w:rsidRDefault="005B654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w:t>
            </w:r>
            <w:proofErr w:type="gramStart"/>
            <w:r w:rsidRPr="003F5A77">
              <w:rPr>
                <w:rFonts w:asciiTheme="minorHAnsi" w:hAnsiTheme="minorHAnsi" w:cs="Arial"/>
                <w:b/>
                <w:sz w:val="22"/>
                <w:szCs w:val="22"/>
              </w:rPr>
              <w:t>2 year</w:t>
            </w:r>
            <w:proofErr w:type="gramEnd"/>
            <w:r w:rsidRPr="003F5A77">
              <w:rPr>
                <w:rFonts w:asciiTheme="minorHAnsi" w:hAnsiTheme="minorHAnsi" w:cs="Arial"/>
                <w:b/>
                <w:sz w:val="22"/>
                <w:szCs w:val="22"/>
              </w:rPr>
              <w:t xml:space="preserve"> average, 2015-2017)</w:t>
            </w:r>
          </w:p>
        </w:tc>
        <w:tc>
          <w:tcPr>
            <w:tcW w:w="1983" w:type="dxa"/>
            <w:tcBorders>
              <w:top w:val="none" w:sz="0" w:space="0" w:color="auto"/>
              <w:bottom w:val="none" w:sz="0" w:space="0" w:color="auto"/>
            </w:tcBorders>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 of need met by existing</w:t>
            </w:r>
            <w:r w:rsidRPr="003F5A77">
              <w:rPr>
                <w:rFonts w:asciiTheme="minorHAnsi" w:hAnsiTheme="minorHAnsi" w:cs="Arial"/>
                <w:sz w:val="22"/>
                <w:szCs w:val="22"/>
              </w:rPr>
              <w:t xml:space="preserve"> </w:t>
            </w:r>
            <w:r w:rsidRPr="003F5A77">
              <w:rPr>
                <w:rFonts w:asciiTheme="minorHAnsi" w:hAnsiTheme="minorHAnsi" w:cs="Arial"/>
                <w:b/>
                <w:sz w:val="22"/>
                <w:szCs w:val="22"/>
              </w:rPr>
              <w:t>social housing &amp; estimated affordable private lettings</w:t>
            </w:r>
          </w:p>
        </w:tc>
        <w:tc>
          <w:tcPr>
            <w:tcW w:w="1701" w:type="dxa"/>
            <w:tcBorders>
              <w:top w:val="none" w:sz="0" w:space="0" w:color="auto"/>
              <w:bottom w:val="none" w:sz="0" w:space="0" w:color="auto"/>
            </w:tcBorders>
            <w:shd w:val="clear" w:color="auto" w:fill="B8CCE4" w:themeFill="accent1" w:themeFillTint="66"/>
          </w:tcPr>
          <w:p w:rsidR="003D3331" w:rsidRPr="003F5A77" w:rsidRDefault="003D3331" w:rsidP="00AC497D">
            <w:pPr>
              <w:ind w:left="2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Shortfall of social housing</w:t>
            </w:r>
          </w:p>
        </w:tc>
      </w:tr>
      <w:tr w:rsidR="003D3331" w:rsidRPr="003F5A77" w:rsidTr="00CD4827">
        <w:trPr>
          <w:trHeight w:val="1395"/>
        </w:trPr>
        <w:tc>
          <w:tcPr>
            <w:cnfStyle w:val="001000000000" w:firstRow="0" w:lastRow="0" w:firstColumn="1" w:lastColumn="0" w:oddVBand="0" w:evenVBand="0" w:oddHBand="0" w:evenHBand="0" w:firstRowFirstColumn="0" w:firstRowLastColumn="0" w:lastRowFirstColumn="0" w:lastRowLastColumn="0"/>
            <w:tcW w:w="1952" w:type="dxa"/>
            <w:tcBorders>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(2016, usual residence)</w:t>
            </w:r>
          </w:p>
          <w:p w:rsidR="003D3331" w:rsidRPr="003F5A77" w:rsidRDefault="004722E7"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(69,056</w:t>
            </w:r>
            <w:r w:rsidR="003D3331" w:rsidRPr="003F5A77">
              <w:rPr>
                <w:rFonts w:asciiTheme="minorHAnsi" w:hAnsiTheme="minorHAnsi" w:cs="Arial"/>
                <w:color w:val="000000" w:themeColor="text1"/>
                <w:sz w:val="22"/>
                <w:szCs w:val="22"/>
              </w:rPr>
              <w:t>, id 2016 prelim. rebase)</w:t>
            </w:r>
          </w:p>
        </w:tc>
        <w:tc>
          <w:tcPr>
            <w:tcW w:w="1363"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4722E7" w:rsidRPr="003F5A77" w:rsidRDefault="004722E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4722E7" w:rsidRPr="003F5A77" w:rsidRDefault="004722E7"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5041</w:t>
            </w:r>
          </w:p>
        </w:tc>
        <w:tc>
          <w:tcPr>
            <w:tcW w:w="1319"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9245F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1808</w:t>
            </w:r>
          </w:p>
        </w:tc>
        <w:tc>
          <w:tcPr>
            <w:tcW w:w="1322" w:type="dxa"/>
          </w:tcPr>
          <w:p w:rsidR="000465EC" w:rsidRPr="003F5A77" w:rsidRDefault="000465EC"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0465EC" w:rsidRPr="003F5A77" w:rsidRDefault="000465EC"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0465EC"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415</w:t>
            </w:r>
          </w:p>
        </w:tc>
        <w:tc>
          <w:tcPr>
            <w:tcW w:w="1983" w:type="dxa"/>
          </w:tcPr>
          <w:p w:rsidR="00A04B14"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A04B14"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0465EC"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44%</w:t>
            </w:r>
          </w:p>
        </w:tc>
        <w:tc>
          <w:tcPr>
            <w:tcW w:w="1701" w:type="dxa"/>
            <w:shd w:val="clear" w:color="auto" w:fill="B8CCE4" w:themeFill="accent1" w:themeFillTint="66"/>
          </w:tcPr>
          <w:p w:rsidR="003D3331"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-2818</w:t>
            </w:r>
          </w:p>
        </w:tc>
      </w:tr>
      <w:tr w:rsidR="003D3331"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bottom w:val="none" w:sz="0" w:space="0" w:color="auto"/>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2021</w:t>
            </w:r>
          </w:p>
          <w:p w:rsidR="003D3331" w:rsidRPr="003F5A77" w:rsidRDefault="00B8153E"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(72,862</w:t>
            </w:r>
            <w:r w:rsidR="003D3331" w:rsidRPr="003F5A77">
              <w:rPr>
                <w:rFonts w:asciiTheme="minorHAnsi" w:hAnsiTheme="minorHAnsi" w:cs="Arial"/>
                <w:color w:val="000000" w:themeColor="text1"/>
                <w:sz w:val="22"/>
                <w:szCs w:val="22"/>
              </w:rPr>
              <w:t>)</w:t>
            </w:r>
          </w:p>
          <w:p w:rsidR="003D3331" w:rsidRPr="003F5A77" w:rsidRDefault="003D3331" w:rsidP="00AC497D">
            <w:pPr>
              <w:ind w:left="26"/>
              <w:rPr>
                <w:rFonts w:asciiTheme="minorHAnsi" w:hAnsiTheme="minorHAnsi" w:cs="Arial"/>
                <w:color w:val="000000" w:themeColor="text1"/>
                <w:sz w:val="22"/>
                <w:szCs w:val="22"/>
              </w:rPr>
            </w:pPr>
          </w:p>
        </w:tc>
        <w:tc>
          <w:tcPr>
            <w:tcW w:w="1363" w:type="dxa"/>
            <w:tcBorders>
              <w:top w:val="none" w:sz="0" w:space="0" w:color="auto"/>
              <w:bottom w:val="none" w:sz="0" w:space="0" w:color="auto"/>
            </w:tcBorders>
          </w:tcPr>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B8153E" w:rsidRPr="003F5A77" w:rsidRDefault="00B8153E"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5319</w:t>
            </w:r>
          </w:p>
        </w:tc>
        <w:tc>
          <w:tcPr>
            <w:tcW w:w="1319" w:type="dxa"/>
            <w:tcBorders>
              <w:top w:val="none" w:sz="0" w:space="0" w:color="auto"/>
              <w:bottom w:val="none" w:sz="0" w:space="0" w:color="auto"/>
            </w:tcBorders>
          </w:tcPr>
          <w:p w:rsidR="009245FA" w:rsidRPr="003F5A77" w:rsidRDefault="009245F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9245F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1808</w:t>
            </w:r>
          </w:p>
        </w:tc>
        <w:tc>
          <w:tcPr>
            <w:tcW w:w="1322" w:type="dxa"/>
            <w:tcBorders>
              <w:top w:val="none" w:sz="0" w:space="0" w:color="auto"/>
              <w:bottom w:val="none" w:sz="0" w:space="0" w:color="auto"/>
            </w:tcBorders>
          </w:tcPr>
          <w:p w:rsidR="000465EC" w:rsidRPr="003F5A77" w:rsidRDefault="000465EC"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0465EC"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437</w:t>
            </w:r>
          </w:p>
        </w:tc>
        <w:tc>
          <w:tcPr>
            <w:tcW w:w="1983" w:type="dxa"/>
            <w:tcBorders>
              <w:top w:val="none" w:sz="0" w:space="0" w:color="auto"/>
              <w:bottom w:val="none" w:sz="0" w:space="0" w:color="auto"/>
            </w:tcBorders>
          </w:tcPr>
          <w:p w:rsidR="00A04B14" w:rsidRPr="003F5A77" w:rsidRDefault="00A04B14"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A04B14"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42%</w:t>
            </w:r>
          </w:p>
        </w:tc>
        <w:tc>
          <w:tcPr>
            <w:tcW w:w="1701" w:type="dxa"/>
            <w:tcBorders>
              <w:top w:val="none" w:sz="0" w:space="0" w:color="auto"/>
              <w:bottom w:val="none" w:sz="0" w:space="0" w:color="auto"/>
            </w:tcBorders>
            <w:shd w:val="clear" w:color="auto" w:fill="B8CCE4" w:themeFill="accent1" w:themeFillTint="66"/>
          </w:tcPr>
          <w:p w:rsidR="00C370E2" w:rsidRPr="003F5A77" w:rsidRDefault="00C370E2"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A04B14"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-3074</w:t>
            </w:r>
          </w:p>
        </w:tc>
      </w:tr>
      <w:tr w:rsidR="003D3331" w:rsidRPr="003F5A77" w:rsidTr="00CD4827">
        <w:tc>
          <w:tcPr>
            <w:cnfStyle w:val="001000000000" w:firstRow="0" w:lastRow="0" w:firstColumn="1" w:lastColumn="0" w:oddVBand="0" w:evenVBand="0" w:oddHBand="0" w:evenHBand="0" w:firstRowFirstColumn="0" w:firstRowLastColumn="0" w:lastRowFirstColumn="0" w:lastRowLastColumn="0"/>
            <w:tcW w:w="1952" w:type="dxa"/>
            <w:tcBorders>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2026</w:t>
            </w:r>
          </w:p>
          <w:p w:rsidR="003D3331" w:rsidRPr="003F5A77" w:rsidRDefault="00B8153E"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(75,606</w:t>
            </w:r>
            <w:r w:rsidR="003D3331" w:rsidRPr="003F5A77">
              <w:rPr>
                <w:rFonts w:asciiTheme="minorHAnsi" w:hAnsiTheme="minorHAnsi" w:cs="Arial"/>
                <w:color w:val="000000" w:themeColor="text1"/>
                <w:sz w:val="22"/>
                <w:szCs w:val="22"/>
              </w:rPr>
              <w:t>)</w:t>
            </w:r>
          </w:p>
          <w:p w:rsidR="003D3331" w:rsidRPr="003F5A77" w:rsidRDefault="003D3331" w:rsidP="00AC497D">
            <w:pPr>
              <w:ind w:left="26"/>
              <w:rPr>
                <w:rFonts w:asciiTheme="minorHAnsi" w:hAnsiTheme="minorHAnsi" w:cs="Arial"/>
                <w:color w:val="000000" w:themeColor="text1"/>
                <w:sz w:val="22"/>
                <w:szCs w:val="22"/>
              </w:rPr>
            </w:pPr>
          </w:p>
        </w:tc>
        <w:tc>
          <w:tcPr>
            <w:tcW w:w="1363" w:type="dxa"/>
          </w:tcPr>
          <w:p w:rsidR="003D3331" w:rsidRPr="003F5A77" w:rsidRDefault="003D3331"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B8153E" w:rsidRPr="003F5A77" w:rsidRDefault="00B8153E"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5519</w:t>
            </w:r>
          </w:p>
        </w:tc>
        <w:tc>
          <w:tcPr>
            <w:tcW w:w="1319" w:type="dxa"/>
          </w:tcPr>
          <w:p w:rsidR="009245FA" w:rsidRPr="003F5A77" w:rsidRDefault="009245F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9245F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1808</w:t>
            </w:r>
          </w:p>
        </w:tc>
        <w:tc>
          <w:tcPr>
            <w:tcW w:w="1322" w:type="dxa"/>
          </w:tcPr>
          <w:p w:rsidR="000465EC" w:rsidRPr="003F5A77" w:rsidRDefault="000465EC"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0465EC"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453</w:t>
            </w:r>
          </w:p>
        </w:tc>
        <w:tc>
          <w:tcPr>
            <w:tcW w:w="1983" w:type="dxa"/>
          </w:tcPr>
          <w:p w:rsidR="00A04B14"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41%</w:t>
            </w:r>
          </w:p>
        </w:tc>
        <w:tc>
          <w:tcPr>
            <w:tcW w:w="1701" w:type="dxa"/>
            <w:shd w:val="clear" w:color="auto" w:fill="B8CCE4" w:themeFill="accent1" w:themeFillTint="66"/>
          </w:tcPr>
          <w:p w:rsidR="00C370E2" w:rsidRPr="003F5A77" w:rsidRDefault="00C370E2"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3D3331"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-3258</w:t>
            </w:r>
          </w:p>
        </w:tc>
      </w:tr>
      <w:tr w:rsidR="003D3331"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bottom w:val="none" w:sz="0" w:space="0" w:color="auto"/>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2031</w:t>
            </w:r>
          </w:p>
          <w:p w:rsidR="003D3331" w:rsidRPr="003F5A77" w:rsidRDefault="00B8153E"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(78,377</w:t>
            </w:r>
            <w:r w:rsidR="003D3331" w:rsidRPr="003F5A77">
              <w:rPr>
                <w:rFonts w:asciiTheme="minorHAnsi" w:hAnsiTheme="minorHAnsi" w:cs="Arial"/>
                <w:color w:val="000000" w:themeColor="text1"/>
                <w:sz w:val="22"/>
                <w:szCs w:val="22"/>
              </w:rPr>
              <w:t xml:space="preserve">) </w:t>
            </w:r>
          </w:p>
          <w:p w:rsidR="003D3331" w:rsidRPr="003F5A77" w:rsidRDefault="003D3331" w:rsidP="00AC497D">
            <w:pPr>
              <w:ind w:left="26"/>
              <w:rPr>
                <w:rFonts w:asciiTheme="minorHAnsi" w:hAnsiTheme="minorHAnsi" w:cs="Arial"/>
                <w:color w:val="000000" w:themeColor="text1"/>
                <w:sz w:val="22"/>
                <w:szCs w:val="22"/>
              </w:rPr>
            </w:pPr>
          </w:p>
        </w:tc>
        <w:tc>
          <w:tcPr>
            <w:tcW w:w="1363" w:type="dxa"/>
            <w:tcBorders>
              <w:top w:val="none" w:sz="0" w:space="0" w:color="auto"/>
              <w:bottom w:val="none" w:sz="0" w:space="0" w:color="auto"/>
            </w:tcBorders>
          </w:tcPr>
          <w:p w:rsidR="003D3331" w:rsidRPr="003F5A77" w:rsidRDefault="003D3331"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B8153E" w:rsidRPr="003F5A77" w:rsidRDefault="00B8153E"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5722</w:t>
            </w:r>
          </w:p>
        </w:tc>
        <w:tc>
          <w:tcPr>
            <w:tcW w:w="1319" w:type="dxa"/>
            <w:tcBorders>
              <w:top w:val="none" w:sz="0" w:space="0" w:color="auto"/>
              <w:bottom w:val="none" w:sz="0" w:space="0" w:color="auto"/>
            </w:tcBorders>
          </w:tcPr>
          <w:p w:rsidR="009245FA" w:rsidRPr="003F5A77" w:rsidRDefault="009245F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9245FA"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1808</w:t>
            </w:r>
          </w:p>
        </w:tc>
        <w:tc>
          <w:tcPr>
            <w:tcW w:w="1322" w:type="dxa"/>
            <w:tcBorders>
              <w:top w:val="none" w:sz="0" w:space="0" w:color="auto"/>
              <w:bottom w:val="none" w:sz="0" w:space="0" w:color="auto"/>
            </w:tcBorders>
          </w:tcPr>
          <w:p w:rsidR="000465EC" w:rsidRPr="003F5A77" w:rsidRDefault="000465EC"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0465EC"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470</w:t>
            </w:r>
          </w:p>
        </w:tc>
        <w:tc>
          <w:tcPr>
            <w:tcW w:w="1983" w:type="dxa"/>
            <w:tcBorders>
              <w:top w:val="none" w:sz="0" w:space="0" w:color="auto"/>
              <w:bottom w:val="none" w:sz="0" w:space="0" w:color="auto"/>
            </w:tcBorders>
          </w:tcPr>
          <w:p w:rsidR="00A04B14" w:rsidRPr="003F5A77" w:rsidRDefault="00A04B14"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3D3331" w:rsidRPr="003F5A77" w:rsidRDefault="00A04B14"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40%</w:t>
            </w:r>
          </w:p>
        </w:tc>
        <w:tc>
          <w:tcPr>
            <w:tcW w:w="1701" w:type="dxa"/>
            <w:tcBorders>
              <w:top w:val="none" w:sz="0" w:space="0" w:color="auto"/>
              <w:bottom w:val="none" w:sz="0" w:space="0" w:color="auto"/>
            </w:tcBorders>
            <w:shd w:val="clear" w:color="auto" w:fill="B8CCE4" w:themeFill="accent1" w:themeFillTint="66"/>
          </w:tcPr>
          <w:p w:rsidR="00C370E2" w:rsidRPr="003F5A77" w:rsidRDefault="00C370E2"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3D3331" w:rsidRPr="003F5A77" w:rsidRDefault="00A04B14" w:rsidP="00AC497D">
            <w:pPr>
              <w:ind w:lef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-3444</w:t>
            </w:r>
          </w:p>
        </w:tc>
      </w:tr>
      <w:tr w:rsidR="003D3331" w:rsidRPr="003F5A77" w:rsidTr="00CD4827">
        <w:tc>
          <w:tcPr>
            <w:cnfStyle w:val="001000000000" w:firstRow="0" w:lastRow="0" w:firstColumn="1" w:lastColumn="0" w:oddVBand="0" w:evenVBand="0" w:oddHBand="0" w:evenHBand="0" w:firstRowFirstColumn="0" w:firstRowLastColumn="0" w:lastRowFirstColumn="0" w:lastRowLastColumn="0"/>
            <w:tcW w:w="1952" w:type="dxa"/>
            <w:tcBorders>
              <w:right w:val="none" w:sz="0" w:space="0" w:color="auto"/>
            </w:tcBorders>
          </w:tcPr>
          <w:p w:rsidR="003D3331" w:rsidRPr="003F5A77" w:rsidRDefault="003D3331" w:rsidP="00AC497D">
            <w:pPr>
              <w:ind w:left="26"/>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2036</w:t>
            </w:r>
          </w:p>
          <w:p w:rsidR="007B13A5" w:rsidRPr="003F5A77" w:rsidRDefault="007B13A5" w:rsidP="00AC497D">
            <w:pPr>
              <w:ind w:left="26"/>
              <w:rPr>
                <w:rFonts w:asciiTheme="minorHAnsi" w:hAnsiTheme="minorHAnsi" w:cs="Arial"/>
                <w:color w:val="FF0000"/>
                <w:sz w:val="22"/>
                <w:szCs w:val="22"/>
              </w:rPr>
            </w:pPr>
            <w:r w:rsidRPr="003F5A77">
              <w:rPr>
                <w:rFonts w:asciiTheme="minorHAnsi" w:hAnsiTheme="minorHAnsi" w:cs="Arial"/>
                <w:color w:val="FF0000"/>
                <w:sz w:val="22"/>
                <w:szCs w:val="22"/>
              </w:rPr>
              <w:t>(81,166)</w:t>
            </w:r>
            <w:r w:rsidRPr="003F5A77">
              <w:rPr>
                <w:rStyle w:val="FootnoteReference"/>
                <w:rFonts w:asciiTheme="minorHAnsi" w:hAnsiTheme="minorHAnsi" w:cs="Arial"/>
                <w:color w:val="FF0000"/>
                <w:sz w:val="22"/>
                <w:szCs w:val="22"/>
              </w:rPr>
              <w:t xml:space="preserve"> </w:t>
            </w:r>
            <w:r w:rsidRPr="003F5A77">
              <w:rPr>
                <w:rStyle w:val="FootnoteReference"/>
                <w:rFonts w:asciiTheme="minorHAnsi" w:hAnsiTheme="minorHAnsi" w:cs="Arial"/>
                <w:color w:val="FF0000"/>
                <w:sz w:val="22"/>
                <w:szCs w:val="22"/>
              </w:rPr>
              <w:footnoteReference w:id="12"/>
            </w:r>
          </w:p>
          <w:p w:rsidR="003D3331" w:rsidRPr="003F5A77" w:rsidRDefault="003D3331" w:rsidP="00AC497D">
            <w:pPr>
              <w:ind w:left="26"/>
              <w:rPr>
                <w:rFonts w:asciiTheme="minorHAnsi" w:hAnsiTheme="minorHAnsi" w:cs="Arial"/>
                <w:color w:val="FF0000"/>
                <w:sz w:val="22"/>
                <w:szCs w:val="22"/>
              </w:rPr>
            </w:pPr>
          </w:p>
          <w:p w:rsidR="003D3331" w:rsidRPr="003F5A77" w:rsidRDefault="003D3331" w:rsidP="00AC497D">
            <w:pPr>
              <w:ind w:left="26"/>
              <w:rPr>
                <w:rFonts w:asciiTheme="minorHAnsi" w:hAnsiTheme="minorHAnsi" w:cs="Arial"/>
                <w:color w:val="000000" w:themeColor="text1"/>
                <w:sz w:val="22"/>
                <w:szCs w:val="22"/>
              </w:rPr>
            </w:pPr>
          </w:p>
        </w:tc>
        <w:tc>
          <w:tcPr>
            <w:tcW w:w="1363" w:type="dxa"/>
          </w:tcPr>
          <w:p w:rsidR="00B8153E" w:rsidRPr="003F5A77" w:rsidRDefault="00B8153E" w:rsidP="00AC497D">
            <w:pPr>
              <w:ind w:left="26"/>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B8153E" w:rsidRPr="003F5A77" w:rsidRDefault="007B13A5"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5925</w:t>
            </w:r>
          </w:p>
        </w:tc>
        <w:tc>
          <w:tcPr>
            <w:tcW w:w="1319" w:type="dxa"/>
          </w:tcPr>
          <w:p w:rsidR="009245FA" w:rsidRPr="003F5A77" w:rsidRDefault="009245F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9245FA"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1808</w:t>
            </w:r>
          </w:p>
        </w:tc>
        <w:tc>
          <w:tcPr>
            <w:tcW w:w="1322" w:type="dxa"/>
          </w:tcPr>
          <w:p w:rsidR="000465EC" w:rsidRPr="003F5A77" w:rsidRDefault="000465EC"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7B13A5"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487</w:t>
            </w:r>
          </w:p>
        </w:tc>
        <w:tc>
          <w:tcPr>
            <w:tcW w:w="1983" w:type="dxa"/>
          </w:tcPr>
          <w:p w:rsidR="00A04B14"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3D3331" w:rsidRPr="003F5A77" w:rsidRDefault="00A04B14"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39%</w:t>
            </w:r>
          </w:p>
        </w:tc>
        <w:tc>
          <w:tcPr>
            <w:tcW w:w="1701" w:type="dxa"/>
            <w:shd w:val="clear" w:color="auto" w:fill="B8CCE4" w:themeFill="accent1" w:themeFillTint="66"/>
          </w:tcPr>
          <w:p w:rsidR="00C370E2" w:rsidRPr="003F5A77" w:rsidRDefault="00C370E2"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3D3331" w:rsidRPr="003F5A77" w:rsidRDefault="007B13A5" w:rsidP="00AC497D">
            <w:pPr>
              <w:ind w:lef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-3630</w:t>
            </w:r>
          </w:p>
        </w:tc>
      </w:tr>
    </w:tbl>
    <w:p w:rsidR="00CC0C90" w:rsidRPr="003F5A77" w:rsidRDefault="00CC0C90" w:rsidP="000044F0">
      <w:pPr>
        <w:ind w:left="-851"/>
        <w:rPr>
          <w:rFonts w:asciiTheme="minorHAnsi" w:hAnsiTheme="minorHAnsi" w:cs="Arial"/>
          <w:b/>
          <w:sz w:val="22"/>
          <w:szCs w:val="22"/>
        </w:rPr>
      </w:pPr>
      <w:r w:rsidRPr="003F5A77">
        <w:rPr>
          <w:rFonts w:asciiTheme="minorHAnsi" w:hAnsiTheme="minorHAnsi" w:cs="Arial"/>
          <w:b/>
          <w:sz w:val="22"/>
          <w:szCs w:val="22"/>
        </w:rPr>
        <w:t>Source; 2016 Census of Population &amp; Housing (ABS) customised data; 2015 local government area (LGA) profiles (DHHS, 2016); .id population &amp; household forecast (2016 preliminary rebase) &amp; Victoria in Future (2016)</w:t>
      </w:r>
    </w:p>
    <w:p w:rsidR="009245FA" w:rsidRPr="003F5A77" w:rsidRDefault="009245FA" w:rsidP="000044F0">
      <w:pPr>
        <w:ind w:left="-851"/>
        <w:rPr>
          <w:rFonts w:asciiTheme="minorHAnsi" w:hAnsiTheme="minorHAnsi" w:cs="Arial"/>
          <w:b/>
          <w:sz w:val="22"/>
          <w:szCs w:val="22"/>
        </w:rPr>
      </w:pPr>
    </w:p>
    <w:p w:rsidR="009245FA" w:rsidRPr="003F5A77" w:rsidRDefault="009245FA" w:rsidP="000044F0">
      <w:pPr>
        <w:ind w:left="-851"/>
        <w:rPr>
          <w:rFonts w:asciiTheme="minorHAnsi" w:hAnsiTheme="minorHAnsi" w:cs="Arial"/>
          <w:b/>
          <w:sz w:val="22"/>
          <w:szCs w:val="22"/>
        </w:rPr>
      </w:pPr>
      <w:r w:rsidRPr="003F5A77">
        <w:rPr>
          <w:rFonts w:asciiTheme="minorHAnsi" w:hAnsiTheme="minorHAnsi" w:cs="Arial"/>
          <w:b/>
          <w:sz w:val="22"/>
          <w:szCs w:val="22"/>
        </w:rPr>
        <w:br w:type="page"/>
      </w:r>
    </w:p>
    <w:tbl>
      <w:tblPr>
        <w:tblStyle w:val="ListTable3-Accent1"/>
        <w:tblW w:w="0" w:type="auto"/>
        <w:tblInd w:w="-572" w:type="dxa"/>
        <w:tblBorders>
          <w:insideH w:val="single" w:sz="4" w:space="0" w:color="4F81BD" w:themeColor="accent1"/>
          <w:insideV w:val="single" w:sz="4" w:space="0" w:color="4F81BD" w:themeColor="accent1"/>
        </w:tblBorders>
        <w:tblLook w:val="04A0" w:firstRow="1" w:lastRow="0" w:firstColumn="1" w:lastColumn="0" w:noHBand="0" w:noVBand="1"/>
      </w:tblPr>
      <w:tblGrid>
        <w:gridCol w:w="2268"/>
        <w:gridCol w:w="1560"/>
        <w:gridCol w:w="1275"/>
        <w:gridCol w:w="1418"/>
        <w:gridCol w:w="1559"/>
        <w:gridCol w:w="1568"/>
      </w:tblGrid>
      <w:tr w:rsidR="009245FA" w:rsidRPr="003F5A77" w:rsidTr="000D72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48" w:type="dxa"/>
            <w:gridSpan w:val="6"/>
            <w:tcBorders>
              <w:bottom w:val="none" w:sz="0" w:space="0" w:color="auto"/>
              <w:right w:val="none" w:sz="0" w:space="0" w:color="auto"/>
            </w:tcBorders>
          </w:tcPr>
          <w:p w:rsidR="009245FA" w:rsidRPr="003F5A77" w:rsidRDefault="009245FA" w:rsidP="003B6CFF">
            <w:pPr>
              <w:rPr>
                <w:rFonts w:asciiTheme="minorHAnsi" w:hAnsiTheme="minorHAnsi" w:cs="Arial"/>
                <w:color w:val="FF0000"/>
                <w:sz w:val="22"/>
                <w:szCs w:val="22"/>
              </w:rPr>
            </w:pPr>
            <w:r w:rsidRPr="003F5A77">
              <w:rPr>
                <w:rFonts w:asciiTheme="minorHAnsi" w:hAnsiTheme="minorHAnsi" w:cs="Arial"/>
                <w:sz w:val="22"/>
                <w:szCs w:val="22"/>
              </w:rPr>
              <w:lastRenderedPageBreak/>
              <w:t>Table 2.6 Social housing needs, Whitehorse, 2016-3036</w:t>
            </w:r>
          </w:p>
          <w:p w:rsidR="009245FA" w:rsidRPr="003F5A77" w:rsidRDefault="009245FA" w:rsidP="003B6CFF">
            <w:pPr>
              <w:rPr>
                <w:rFonts w:asciiTheme="minorHAnsi" w:hAnsiTheme="minorHAnsi" w:cs="Arial"/>
                <w:sz w:val="22"/>
                <w:szCs w:val="22"/>
              </w:rPr>
            </w:pPr>
          </w:p>
        </w:tc>
      </w:tr>
      <w:tr w:rsidR="009245FA"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tcPr>
          <w:p w:rsidR="009245FA" w:rsidRPr="003F5A77" w:rsidRDefault="009245FA" w:rsidP="003B6CFF">
            <w:pPr>
              <w:rPr>
                <w:rFonts w:asciiTheme="minorHAnsi" w:hAnsiTheme="minorHAnsi" w:cs="Arial"/>
                <w:sz w:val="22"/>
                <w:szCs w:val="22"/>
              </w:rPr>
            </w:pPr>
            <w:r w:rsidRPr="003F5A77">
              <w:rPr>
                <w:rFonts w:asciiTheme="minorHAnsi" w:hAnsiTheme="minorHAnsi" w:cs="Arial"/>
                <w:sz w:val="22"/>
                <w:szCs w:val="22"/>
              </w:rPr>
              <w:t>Year</w:t>
            </w:r>
          </w:p>
        </w:tc>
        <w:tc>
          <w:tcPr>
            <w:tcW w:w="1560"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‘Need’ Est. number of very low income households that do not own their own home</w:t>
            </w: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(6.6% of total households at 2016 Census)</w:t>
            </w:r>
          </w:p>
        </w:tc>
        <w:tc>
          <w:tcPr>
            <w:tcW w:w="1275"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Number of social housing dwellings</w:t>
            </w: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CC0C90" w:rsidRPr="003F5A77" w:rsidRDefault="00CC0C90"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1577 as at 2014-15 (DHHS)</w:t>
            </w:r>
          </w:p>
        </w:tc>
        <w:tc>
          <w:tcPr>
            <w:tcW w:w="1418"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Estimated number of affordable private lettings @</w:t>
            </w: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2.0% of private rentals</w:t>
            </w:r>
          </w:p>
          <w:p w:rsidR="00CC0C90" w:rsidRPr="003F5A77" w:rsidRDefault="00CC0C90"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B6541" w:rsidRPr="003F5A77" w:rsidRDefault="005B6541"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w:t>
            </w:r>
            <w:proofErr w:type="gramStart"/>
            <w:r w:rsidRPr="003F5A77">
              <w:rPr>
                <w:rFonts w:asciiTheme="minorHAnsi" w:hAnsiTheme="minorHAnsi" w:cs="Arial"/>
                <w:b/>
                <w:sz w:val="22"/>
                <w:szCs w:val="22"/>
              </w:rPr>
              <w:t>2 year</w:t>
            </w:r>
            <w:proofErr w:type="gramEnd"/>
            <w:r w:rsidRPr="003F5A77">
              <w:rPr>
                <w:rFonts w:asciiTheme="minorHAnsi" w:hAnsiTheme="minorHAnsi" w:cs="Arial"/>
                <w:b/>
                <w:sz w:val="22"/>
                <w:szCs w:val="22"/>
              </w:rPr>
              <w:t xml:space="preserve"> average, 2015-2017)</w:t>
            </w:r>
          </w:p>
        </w:tc>
        <w:tc>
          <w:tcPr>
            <w:tcW w:w="1559"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 of need met by existing</w:t>
            </w:r>
            <w:r w:rsidRPr="003F5A77">
              <w:rPr>
                <w:rFonts w:asciiTheme="minorHAnsi" w:hAnsiTheme="minorHAnsi" w:cs="Arial"/>
                <w:sz w:val="22"/>
                <w:szCs w:val="22"/>
              </w:rPr>
              <w:t xml:space="preserve"> </w:t>
            </w:r>
            <w:r w:rsidRPr="003F5A77">
              <w:rPr>
                <w:rFonts w:asciiTheme="minorHAnsi" w:hAnsiTheme="minorHAnsi" w:cs="Arial"/>
                <w:b/>
                <w:sz w:val="22"/>
                <w:szCs w:val="22"/>
              </w:rPr>
              <w:t>social housing &amp; estimated affordable private lettings</w:t>
            </w:r>
          </w:p>
        </w:tc>
        <w:tc>
          <w:tcPr>
            <w:tcW w:w="1568" w:type="dxa"/>
            <w:tcBorders>
              <w:top w:val="none" w:sz="0" w:space="0" w:color="auto"/>
              <w:bottom w:val="none" w:sz="0" w:space="0" w:color="auto"/>
            </w:tcBorders>
            <w:shd w:val="clear" w:color="auto" w:fill="B8CCE4" w:themeFill="accent1" w:themeFillTint="66"/>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Shortfall of social housing</w:t>
            </w:r>
          </w:p>
        </w:tc>
      </w:tr>
      <w:tr w:rsidR="009245FA" w:rsidRPr="003F5A77" w:rsidTr="00CD4827">
        <w:trPr>
          <w:trHeight w:val="1395"/>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(2016, usual residence)</w:t>
            </w:r>
          </w:p>
          <w:p w:rsidR="009245FA" w:rsidRPr="003F5A77" w:rsidRDefault="00B8153E"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(64,247</w:t>
            </w:r>
            <w:r w:rsidR="009245FA" w:rsidRPr="003F5A77">
              <w:rPr>
                <w:rFonts w:asciiTheme="minorHAnsi" w:hAnsiTheme="minorHAnsi" w:cs="Arial"/>
                <w:color w:val="000000" w:themeColor="text1"/>
                <w:sz w:val="22"/>
                <w:szCs w:val="22"/>
              </w:rPr>
              <w:t>, id 2016 prelim. rebase)</w:t>
            </w:r>
          </w:p>
        </w:tc>
        <w:tc>
          <w:tcPr>
            <w:tcW w:w="1560"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B8153E" w:rsidRPr="003F5A77" w:rsidRDefault="00B8153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B8153E" w:rsidRPr="003F5A77" w:rsidRDefault="00B8153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B8153E" w:rsidRPr="003F5A77" w:rsidRDefault="00F42A5C"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4240</w:t>
            </w:r>
          </w:p>
        </w:tc>
        <w:tc>
          <w:tcPr>
            <w:tcW w:w="1275"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1577</w:t>
            </w:r>
          </w:p>
        </w:tc>
        <w:tc>
          <w:tcPr>
            <w:tcW w:w="1418" w:type="dxa"/>
          </w:tcPr>
          <w:p w:rsidR="00C370E2"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C370E2"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311</w:t>
            </w:r>
          </w:p>
        </w:tc>
        <w:tc>
          <w:tcPr>
            <w:tcW w:w="1559"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C370E2"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C370E2"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45%</w:t>
            </w:r>
          </w:p>
        </w:tc>
        <w:tc>
          <w:tcPr>
            <w:tcW w:w="1568" w:type="dxa"/>
            <w:shd w:val="clear" w:color="auto" w:fill="B8CCE4" w:themeFill="accent1" w:themeFillTint="66"/>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A15EBB" w:rsidRPr="003F5A77" w:rsidRDefault="00A15EBB"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A15EBB" w:rsidRPr="003F5A77" w:rsidRDefault="00A15EBB"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-2352</w:t>
            </w:r>
          </w:p>
        </w:tc>
      </w:tr>
      <w:tr w:rsidR="009245FA"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2021</w:t>
            </w:r>
          </w:p>
          <w:p w:rsidR="009245FA" w:rsidRPr="003F5A77" w:rsidRDefault="00F42A5C"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(69,312</w:t>
            </w:r>
            <w:r w:rsidR="009245FA" w:rsidRPr="003F5A77">
              <w:rPr>
                <w:rFonts w:asciiTheme="minorHAnsi" w:hAnsiTheme="minorHAnsi" w:cs="Arial"/>
                <w:color w:val="000000" w:themeColor="text1"/>
                <w:sz w:val="22"/>
                <w:szCs w:val="22"/>
              </w:rPr>
              <w:t>)</w:t>
            </w:r>
          </w:p>
          <w:p w:rsidR="009245FA" w:rsidRPr="003F5A77" w:rsidRDefault="009245FA" w:rsidP="003B6CFF">
            <w:pPr>
              <w:rPr>
                <w:rFonts w:asciiTheme="minorHAnsi" w:hAnsiTheme="minorHAnsi" w:cs="Arial"/>
                <w:color w:val="000000" w:themeColor="text1"/>
                <w:sz w:val="22"/>
                <w:szCs w:val="22"/>
              </w:rPr>
            </w:pPr>
          </w:p>
        </w:tc>
        <w:tc>
          <w:tcPr>
            <w:tcW w:w="1560"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F42A5C" w:rsidRPr="003F5A77" w:rsidRDefault="00F42A5C"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4575</w:t>
            </w:r>
          </w:p>
        </w:tc>
        <w:tc>
          <w:tcPr>
            <w:tcW w:w="1275"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1577</w:t>
            </w:r>
          </w:p>
        </w:tc>
        <w:tc>
          <w:tcPr>
            <w:tcW w:w="1418" w:type="dxa"/>
            <w:tcBorders>
              <w:top w:val="none" w:sz="0" w:space="0" w:color="auto"/>
              <w:bottom w:val="none" w:sz="0" w:space="0" w:color="auto"/>
            </w:tcBorders>
          </w:tcPr>
          <w:p w:rsidR="00C370E2" w:rsidRPr="003F5A77" w:rsidRDefault="00C370E2"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C370E2"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335</w:t>
            </w:r>
          </w:p>
        </w:tc>
        <w:tc>
          <w:tcPr>
            <w:tcW w:w="1559" w:type="dxa"/>
            <w:tcBorders>
              <w:top w:val="none" w:sz="0" w:space="0" w:color="auto"/>
              <w:bottom w:val="none" w:sz="0" w:space="0" w:color="auto"/>
            </w:tcBorders>
          </w:tcPr>
          <w:p w:rsidR="00A15EBB"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42%</w:t>
            </w:r>
          </w:p>
        </w:tc>
        <w:tc>
          <w:tcPr>
            <w:tcW w:w="1568" w:type="dxa"/>
            <w:tcBorders>
              <w:top w:val="none" w:sz="0" w:space="0" w:color="auto"/>
              <w:bottom w:val="none" w:sz="0" w:space="0" w:color="auto"/>
            </w:tcBorders>
            <w:shd w:val="clear" w:color="auto" w:fill="B8CCE4" w:themeFill="accent1" w:themeFillTint="66"/>
          </w:tcPr>
          <w:p w:rsidR="00A15EBB"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-2663</w:t>
            </w:r>
          </w:p>
        </w:tc>
      </w:tr>
      <w:tr w:rsidR="009245FA" w:rsidRPr="003F5A77" w:rsidTr="00CD4827">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2026</w:t>
            </w:r>
          </w:p>
          <w:p w:rsidR="009245FA" w:rsidRPr="003F5A77" w:rsidRDefault="00F42A5C"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(73,036</w:t>
            </w:r>
            <w:r w:rsidR="009245FA" w:rsidRPr="003F5A77">
              <w:rPr>
                <w:rFonts w:asciiTheme="minorHAnsi" w:hAnsiTheme="minorHAnsi" w:cs="Arial"/>
                <w:color w:val="000000" w:themeColor="text1"/>
                <w:sz w:val="22"/>
                <w:szCs w:val="22"/>
              </w:rPr>
              <w:t>)</w:t>
            </w:r>
          </w:p>
          <w:p w:rsidR="009245FA" w:rsidRPr="003F5A77" w:rsidRDefault="009245FA" w:rsidP="003B6CFF">
            <w:pPr>
              <w:rPr>
                <w:rFonts w:asciiTheme="minorHAnsi" w:hAnsiTheme="minorHAnsi" w:cs="Arial"/>
                <w:color w:val="000000" w:themeColor="text1"/>
                <w:sz w:val="22"/>
                <w:szCs w:val="22"/>
              </w:rPr>
            </w:pPr>
          </w:p>
        </w:tc>
        <w:tc>
          <w:tcPr>
            <w:tcW w:w="1560"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F42A5C" w:rsidRPr="003F5A77" w:rsidRDefault="00F42A5C"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4820</w:t>
            </w:r>
          </w:p>
        </w:tc>
        <w:tc>
          <w:tcPr>
            <w:tcW w:w="1275"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1577</w:t>
            </w:r>
          </w:p>
        </w:tc>
        <w:tc>
          <w:tcPr>
            <w:tcW w:w="1418" w:type="dxa"/>
          </w:tcPr>
          <w:p w:rsidR="00C370E2"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354</w:t>
            </w:r>
          </w:p>
        </w:tc>
        <w:tc>
          <w:tcPr>
            <w:tcW w:w="1559"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A15EBB" w:rsidRPr="003F5A77" w:rsidRDefault="00A15EBB"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40%</w:t>
            </w:r>
          </w:p>
        </w:tc>
        <w:tc>
          <w:tcPr>
            <w:tcW w:w="1568" w:type="dxa"/>
            <w:shd w:val="clear" w:color="auto" w:fill="B8CCE4" w:themeFill="accent1" w:themeFillTint="66"/>
          </w:tcPr>
          <w:p w:rsidR="00A15EBB" w:rsidRPr="003F5A77" w:rsidRDefault="00A15EBB"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9245FA" w:rsidRPr="003F5A77" w:rsidRDefault="00A15EBB"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-2889</w:t>
            </w:r>
          </w:p>
        </w:tc>
      </w:tr>
      <w:tr w:rsidR="009245FA" w:rsidRPr="003F5A77" w:rsidTr="00CD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2031</w:t>
            </w:r>
          </w:p>
          <w:p w:rsidR="009245FA" w:rsidRPr="003F5A77" w:rsidRDefault="00F42A5C"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(76,362</w:t>
            </w:r>
            <w:r w:rsidR="009245FA" w:rsidRPr="003F5A77">
              <w:rPr>
                <w:rFonts w:asciiTheme="minorHAnsi" w:hAnsiTheme="minorHAnsi" w:cs="Arial"/>
                <w:color w:val="000000" w:themeColor="text1"/>
                <w:sz w:val="22"/>
                <w:szCs w:val="22"/>
              </w:rPr>
              <w:t xml:space="preserve">) </w:t>
            </w:r>
          </w:p>
          <w:p w:rsidR="009245FA" w:rsidRPr="003F5A77" w:rsidRDefault="009245FA" w:rsidP="003B6CFF">
            <w:pPr>
              <w:rPr>
                <w:rFonts w:asciiTheme="minorHAnsi" w:hAnsiTheme="minorHAnsi" w:cs="Arial"/>
                <w:color w:val="000000" w:themeColor="text1"/>
                <w:sz w:val="22"/>
                <w:szCs w:val="22"/>
              </w:rPr>
            </w:pPr>
          </w:p>
        </w:tc>
        <w:tc>
          <w:tcPr>
            <w:tcW w:w="1560"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F42A5C" w:rsidRPr="003F5A77" w:rsidRDefault="00F42A5C"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5040</w:t>
            </w:r>
          </w:p>
          <w:p w:rsidR="00F42A5C" w:rsidRPr="003F5A77" w:rsidRDefault="00F42A5C"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tc>
        <w:tc>
          <w:tcPr>
            <w:tcW w:w="1275"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1577</w:t>
            </w:r>
          </w:p>
        </w:tc>
        <w:tc>
          <w:tcPr>
            <w:tcW w:w="1418" w:type="dxa"/>
            <w:tcBorders>
              <w:top w:val="none" w:sz="0" w:space="0" w:color="auto"/>
              <w:bottom w:val="none" w:sz="0" w:space="0" w:color="auto"/>
            </w:tcBorders>
          </w:tcPr>
          <w:p w:rsidR="00C370E2" w:rsidRPr="003F5A77" w:rsidRDefault="00C370E2"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C370E2"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370</w:t>
            </w:r>
          </w:p>
        </w:tc>
        <w:tc>
          <w:tcPr>
            <w:tcW w:w="1559" w:type="dxa"/>
            <w:tcBorders>
              <w:top w:val="none" w:sz="0" w:space="0" w:color="auto"/>
              <w:bottom w:val="none" w:sz="0" w:space="0" w:color="auto"/>
            </w:tcBorders>
          </w:tcPr>
          <w:p w:rsidR="00A15EBB"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39%</w:t>
            </w:r>
          </w:p>
        </w:tc>
        <w:tc>
          <w:tcPr>
            <w:tcW w:w="1568" w:type="dxa"/>
            <w:tcBorders>
              <w:top w:val="none" w:sz="0" w:space="0" w:color="auto"/>
              <w:bottom w:val="none" w:sz="0" w:space="0" w:color="auto"/>
            </w:tcBorders>
            <w:shd w:val="clear" w:color="auto" w:fill="B8CCE4" w:themeFill="accent1" w:themeFillTint="66"/>
          </w:tcPr>
          <w:p w:rsidR="00A15EBB"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A15EBB"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-3093</w:t>
            </w:r>
          </w:p>
        </w:tc>
      </w:tr>
      <w:tr w:rsidR="009245FA" w:rsidRPr="003F5A77" w:rsidTr="00CD4827">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2036</w:t>
            </w:r>
          </w:p>
          <w:p w:rsidR="009245FA" w:rsidRPr="003F5A77" w:rsidRDefault="007B13A5" w:rsidP="003B6CFF">
            <w:pPr>
              <w:rPr>
                <w:rFonts w:asciiTheme="minorHAnsi" w:hAnsiTheme="minorHAnsi" w:cs="Arial"/>
                <w:color w:val="FF0000"/>
                <w:sz w:val="22"/>
                <w:szCs w:val="22"/>
              </w:rPr>
            </w:pPr>
            <w:r w:rsidRPr="003F5A77">
              <w:rPr>
                <w:rFonts w:asciiTheme="minorHAnsi" w:hAnsiTheme="minorHAnsi" w:cs="Arial"/>
                <w:color w:val="FF0000"/>
                <w:sz w:val="22"/>
                <w:szCs w:val="22"/>
              </w:rPr>
              <w:t>(79,648)</w:t>
            </w:r>
            <w:r w:rsidRPr="003F5A77">
              <w:rPr>
                <w:rStyle w:val="FootnoteReference"/>
                <w:rFonts w:asciiTheme="minorHAnsi" w:hAnsiTheme="minorHAnsi" w:cs="Arial"/>
                <w:color w:val="FF0000"/>
                <w:sz w:val="22"/>
                <w:szCs w:val="22"/>
              </w:rPr>
              <w:t xml:space="preserve"> </w:t>
            </w:r>
            <w:r w:rsidRPr="003F5A77">
              <w:rPr>
                <w:rStyle w:val="FootnoteReference"/>
                <w:rFonts w:asciiTheme="minorHAnsi" w:hAnsiTheme="minorHAnsi" w:cs="Arial"/>
                <w:color w:val="FF0000"/>
                <w:sz w:val="22"/>
                <w:szCs w:val="22"/>
              </w:rPr>
              <w:footnoteReference w:id="13"/>
            </w:r>
          </w:p>
          <w:p w:rsidR="009245FA" w:rsidRPr="003F5A77" w:rsidRDefault="009245FA" w:rsidP="003B6CFF">
            <w:pPr>
              <w:rPr>
                <w:rFonts w:asciiTheme="minorHAnsi" w:hAnsiTheme="minorHAnsi" w:cs="Arial"/>
                <w:color w:val="000000" w:themeColor="text1"/>
                <w:sz w:val="22"/>
                <w:szCs w:val="22"/>
              </w:rPr>
            </w:pPr>
          </w:p>
        </w:tc>
        <w:tc>
          <w:tcPr>
            <w:tcW w:w="1560"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F42A5C" w:rsidRPr="003F5A77" w:rsidRDefault="007B13A5"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5257</w:t>
            </w:r>
          </w:p>
        </w:tc>
        <w:tc>
          <w:tcPr>
            <w:tcW w:w="1275"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1577</w:t>
            </w:r>
          </w:p>
        </w:tc>
        <w:tc>
          <w:tcPr>
            <w:tcW w:w="1418" w:type="dxa"/>
          </w:tcPr>
          <w:p w:rsidR="00C370E2" w:rsidRPr="003F5A77" w:rsidRDefault="00C370E2"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C351B0"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386</w:t>
            </w:r>
          </w:p>
        </w:tc>
        <w:tc>
          <w:tcPr>
            <w:tcW w:w="1559"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A15EBB" w:rsidRPr="003F5A77" w:rsidRDefault="00A15EBB"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37%</w:t>
            </w:r>
          </w:p>
        </w:tc>
        <w:tc>
          <w:tcPr>
            <w:tcW w:w="1568" w:type="dxa"/>
            <w:shd w:val="clear" w:color="auto" w:fill="B8CCE4" w:themeFill="accent1" w:themeFillTint="66"/>
          </w:tcPr>
          <w:p w:rsidR="00A15EBB" w:rsidRPr="003F5A77" w:rsidRDefault="00A15EBB"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9245FA" w:rsidRPr="003F5A77" w:rsidRDefault="00C351B0"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-3294</w:t>
            </w:r>
          </w:p>
        </w:tc>
      </w:tr>
    </w:tbl>
    <w:p w:rsidR="00CC0C90" w:rsidRPr="003F5A77" w:rsidRDefault="00CC0C90" w:rsidP="000044F0">
      <w:pPr>
        <w:ind w:left="-851"/>
        <w:rPr>
          <w:rFonts w:asciiTheme="minorHAnsi" w:hAnsiTheme="minorHAnsi" w:cs="Arial"/>
          <w:b/>
          <w:sz w:val="22"/>
          <w:szCs w:val="22"/>
        </w:rPr>
      </w:pPr>
      <w:r w:rsidRPr="003F5A77">
        <w:rPr>
          <w:rFonts w:asciiTheme="minorHAnsi" w:hAnsiTheme="minorHAnsi" w:cs="Arial"/>
          <w:b/>
          <w:sz w:val="22"/>
          <w:szCs w:val="22"/>
        </w:rPr>
        <w:t>Source; 2016 Census of Population &amp; Housing (ABS) customised data; 2015 local government area (LGA) profiles (DHHS, 2016); .id population &amp; household forecast (2016 preliminary rebase) &amp; Victoria in Future (2016)</w:t>
      </w:r>
    </w:p>
    <w:p w:rsidR="009245FA" w:rsidRPr="003F5A77" w:rsidRDefault="009245FA" w:rsidP="000044F0">
      <w:pPr>
        <w:ind w:left="-851"/>
        <w:rPr>
          <w:rFonts w:asciiTheme="minorHAnsi" w:hAnsiTheme="minorHAnsi" w:cs="Arial"/>
          <w:b/>
          <w:sz w:val="22"/>
          <w:szCs w:val="22"/>
        </w:rPr>
      </w:pPr>
    </w:p>
    <w:p w:rsidR="009245FA" w:rsidRPr="003F5A77" w:rsidRDefault="009245FA" w:rsidP="000044F0">
      <w:pPr>
        <w:ind w:left="-851"/>
        <w:rPr>
          <w:rFonts w:asciiTheme="minorHAnsi" w:hAnsiTheme="minorHAnsi" w:cs="Arial"/>
          <w:b/>
          <w:sz w:val="22"/>
          <w:szCs w:val="22"/>
        </w:rPr>
      </w:pPr>
      <w:r w:rsidRPr="003F5A77">
        <w:rPr>
          <w:rFonts w:asciiTheme="minorHAnsi" w:hAnsiTheme="minorHAnsi" w:cs="Arial"/>
          <w:b/>
          <w:sz w:val="22"/>
          <w:szCs w:val="22"/>
        </w:rPr>
        <w:br w:type="page"/>
      </w:r>
    </w:p>
    <w:tbl>
      <w:tblPr>
        <w:tblStyle w:val="ListTable3-Accent1"/>
        <w:tblW w:w="0" w:type="auto"/>
        <w:tblInd w:w="-714" w:type="dxa"/>
        <w:tblBorders>
          <w:insideH w:val="single" w:sz="4" w:space="0" w:color="4F81BD" w:themeColor="accent1"/>
          <w:insideV w:val="single" w:sz="4" w:space="0" w:color="4F81BD" w:themeColor="accent1"/>
        </w:tblBorders>
        <w:tblLook w:val="04A0" w:firstRow="1" w:lastRow="0" w:firstColumn="1" w:lastColumn="0" w:noHBand="0" w:noVBand="1"/>
      </w:tblPr>
      <w:tblGrid>
        <w:gridCol w:w="3084"/>
        <w:gridCol w:w="1329"/>
        <w:gridCol w:w="1272"/>
        <w:gridCol w:w="1284"/>
        <w:gridCol w:w="1284"/>
        <w:gridCol w:w="1566"/>
      </w:tblGrid>
      <w:tr w:rsidR="009245FA" w:rsidRPr="003F5A77" w:rsidTr="003B6C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19" w:type="dxa"/>
            <w:gridSpan w:val="6"/>
            <w:tcBorders>
              <w:bottom w:val="none" w:sz="0" w:space="0" w:color="auto"/>
              <w:right w:val="none" w:sz="0" w:space="0" w:color="auto"/>
            </w:tcBorders>
          </w:tcPr>
          <w:p w:rsidR="009245FA" w:rsidRPr="003F5A77" w:rsidRDefault="009245FA" w:rsidP="003B6CFF">
            <w:pPr>
              <w:rPr>
                <w:rFonts w:asciiTheme="minorHAnsi" w:hAnsiTheme="minorHAnsi" w:cs="Arial"/>
                <w:color w:val="FF0000"/>
                <w:sz w:val="22"/>
                <w:szCs w:val="22"/>
              </w:rPr>
            </w:pPr>
            <w:r w:rsidRPr="003F5A77">
              <w:rPr>
                <w:rFonts w:asciiTheme="minorHAnsi" w:hAnsiTheme="minorHAnsi" w:cs="Arial"/>
                <w:sz w:val="22"/>
                <w:szCs w:val="22"/>
              </w:rPr>
              <w:lastRenderedPageBreak/>
              <w:t>Table 2.7 Social housing needs, Yarra Ranges, 2016-3036</w:t>
            </w:r>
          </w:p>
          <w:p w:rsidR="009245FA" w:rsidRPr="003F5A77" w:rsidRDefault="009245FA" w:rsidP="003B6CFF">
            <w:pPr>
              <w:rPr>
                <w:rFonts w:asciiTheme="minorHAnsi" w:hAnsiTheme="minorHAnsi" w:cs="Arial"/>
                <w:sz w:val="22"/>
                <w:szCs w:val="22"/>
              </w:rPr>
            </w:pPr>
          </w:p>
        </w:tc>
      </w:tr>
      <w:tr w:rsidR="009245FA" w:rsidRPr="003F5A77" w:rsidTr="000D7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tcPr>
          <w:p w:rsidR="009245FA" w:rsidRPr="003F5A77" w:rsidRDefault="009245FA" w:rsidP="003B6CFF">
            <w:pPr>
              <w:rPr>
                <w:rFonts w:asciiTheme="minorHAnsi" w:hAnsiTheme="minorHAnsi" w:cs="Arial"/>
                <w:sz w:val="22"/>
                <w:szCs w:val="22"/>
              </w:rPr>
            </w:pPr>
            <w:r w:rsidRPr="003F5A77">
              <w:rPr>
                <w:rFonts w:asciiTheme="minorHAnsi" w:hAnsiTheme="minorHAnsi" w:cs="Arial"/>
                <w:sz w:val="22"/>
                <w:szCs w:val="22"/>
              </w:rPr>
              <w:t>Year</w:t>
            </w:r>
          </w:p>
        </w:tc>
        <w:tc>
          <w:tcPr>
            <w:tcW w:w="1329"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‘Need’ Est. number of very low income households that do not own their own home</w:t>
            </w: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(3.4% of total households at 2016 Census)</w:t>
            </w:r>
          </w:p>
        </w:tc>
        <w:tc>
          <w:tcPr>
            <w:tcW w:w="1272"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Number of social housing dwellings</w:t>
            </w: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CC0C90" w:rsidRPr="003F5A77" w:rsidRDefault="00CC0C90"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762 as at 2014-15 (DHHS)</w:t>
            </w:r>
          </w:p>
        </w:tc>
        <w:tc>
          <w:tcPr>
            <w:tcW w:w="1284"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Estimated number of affordable private lettings @</w:t>
            </w:r>
          </w:p>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7.5% of private rentals</w:t>
            </w:r>
          </w:p>
          <w:p w:rsidR="00CC0C90" w:rsidRPr="003F5A77" w:rsidRDefault="00CC0C90"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5B6541" w:rsidRPr="003F5A77" w:rsidRDefault="005B6541"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w:t>
            </w:r>
            <w:proofErr w:type="gramStart"/>
            <w:r w:rsidRPr="003F5A77">
              <w:rPr>
                <w:rFonts w:asciiTheme="minorHAnsi" w:hAnsiTheme="minorHAnsi" w:cs="Arial"/>
                <w:b/>
                <w:sz w:val="22"/>
                <w:szCs w:val="22"/>
              </w:rPr>
              <w:t>2 year</w:t>
            </w:r>
            <w:proofErr w:type="gramEnd"/>
            <w:r w:rsidRPr="003F5A77">
              <w:rPr>
                <w:rFonts w:asciiTheme="minorHAnsi" w:hAnsiTheme="minorHAnsi" w:cs="Arial"/>
                <w:b/>
                <w:sz w:val="22"/>
                <w:szCs w:val="22"/>
              </w:rPr>
              <w:t xml:space="preserve"> average, 2015-2017)</w:t>
            </w:r>
          </w:p>
        </w:tc>
        <w:tc>
          <w:tcPr>
            <w:tcW w:w="1284" w:type="dxa"/>
            <w:tcBorders>
              <w:top w:val="none" w:sz="0" w:space="0" w:color="auto"/>
              <w:bottom w:val="none" w:sz="0" w:space="0" w:color="auto"/>
            </w:tcBorders>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b/>
                <w:sz w:val="22"/>
                <w:szCs w:val="22"/>
              </w:rPr>
              <w:t>% of need met by existing</w:t>
            </w:r>
            <w:r w:rsidRPr="003F5A77">
              <w:rPr>
                <w:rFonts w:asciiTheme="minorHAnsi" w:hAnsiTheme="minorHAnsi" w:cs="Arial"/>
                <w:sz w:val="22"/>
                <w:szCs w:val="22"/>
              </w:rPr>
              <w:t xml:space="preserve"> </w:t>
            </w:r>
            <w:r w:rsidRPr="003F5A77">
              <w:rPr>
                <w:rFonts w:asciiTheme="minorHAnsi" w:hAnsiTheme="minorHAnsi" w:cs="Arial"/>
                <w:b/>
                <w:sz w:val="22"/>
                <w:szCs w:val="22"/>
              </w:rPr>
              <w:t>social housing &amp; estimated affordable private lettings</w:t>
            </w:r>
          </w:p>
        </w:tc>
        <w:tc>
          <w:tcPr>
            <w:tcW w:w="1566" w:type="dxa"/>
            <w:tcBorders>
              <w:top w:val="none" w:sz="0" w:space="0" w:color="auto"/>
              <w:bottom w:val="none" w:sz="0" w:space="0" w:color="auto"/>
            </w:tcBorders>
            <w:shd w:val="clear" w:color="auto" w:fill="B8CCE4" w:themeFill="accent1" w:themeFillTint="66"/>
          </w:tcPr>
          <w:p w:rsidR="009245FA" w:rsidRPr="003F5A77" w:rsidRDefault="009245FA" w:rsidP="003B6CFF">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Shortfall of social housing</w:t>
            </w:r>
          </w:p>
        </w:tc>
      </w:tr>
      <w:tr w:rsidR="009245FA" w:rsidRPr="003F5A77" w:rsidTr="000D725F">
        <w:trPr>
          <w:trHeight w:val="1395"/>
        </w:trPr>
        <w:tc>
          <w:tcPr>
            <w:cnfStyle w:val="001000000000" w:firstRow="0" w:lastRow="0" w:firstColumn="1" w:lastColumn="0" w:oddVBand="0" w:evenVBand="0" w:oddHBand="0" w:evenHBand="0" w:firstRowFirstColumn="0" w:firstRowLastColumn="0" w:lastRowFirstColumn="0" w:lastRowLastColumn="0"/>
            <w:tcW w:w="3084" w:type="dxa"/>
            <w:tcBorders>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Current (2016, usual residence)</w:t>
            </w:r>
          </w:p>
          <w:p w:rsidR="009245FA" w:rsidRPr="003F5A77" w:rsidRDefault="00F42A5C"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(57,616</w:t>
            </w:r>
            <w:r w:rsidR="009245FA" w:rsidRPr="003F5A77">
              <w:rPr>
                <w:rFonts w:asciiTheme="minorHAnsi" w:hAnsiTheme="minorHAnsi" w:cs="Arial"/>
                <w:color w:val="000000" w:themeColor="text1"/>
                <w:sz w:val="22"/>
                <w:szCs w:val="22"/>
              </w:rPr>
              <w:t>, id 2016 prelim. rebase)</w:t>
            </w:r>
          </w:p>
        </w:tc>
        <w:tc>
          <w:tcPr>
            <w:tcW w:w="1329" w:type="dxa"/>
          </w:tcPr>
          <w:p w:rsidR="00F42A5C" w:rsidRPr="003F5A77" w:rsidRDefault="00F42A5C" w:rsidP="003B6CF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F42A5C" w:rsidRPr="003F5A77" w:rsidRDefault="00F42A5C"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F42A5C" w:rsidRPr="003F5A77" w:rsidRDefault="008245DC"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1959</w:t>
            </w:r>
          </w:p>
        </w:tc>
        <w:tc>
          <w:tcPr>
            <w:tcW w:w="1272"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762</w:t>
            </w:r>
          </w:p>
        </w:tc>
        <w:tc>
          <w:tcPr>
            <w:tcW w:w="1284" w:type="dxa"/>
          </w:tcPr>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6F0613"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545</w:t>
            </w:r>
          </w:p>
        </w:tc>
        <w:tc>
          <w:tcPr>
            <w:tcW w:w="1284" w:type="dxa"/>
          </w:tcPr>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67%</w:t>
            </w:r>
          </w:p>
        </w:tc>
        <w:tc>
          <w:tcPr>
            <w:tcW w:w="1566" w:type="dxa"/>
            <w:shd w:val="clear" w:color="auto" w:fill="B8CCE4" w:themeFill="accent1" w:themeFillTint="66"/>
          </w:tcPr>
          <w:p w:rsidR="005E24B8" w:rsidRPr="003F5A77" w:rsidRDefault="005E24B8"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9245FA"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-652</w:t>
            </w:r>
          </w:p>
        </w:tc>
      </w:tr>
      <w:tr w:rsidR="009245FA" w:rsidRPr="003F5A77" w:rsidTr="000D7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2021</w:t>
            </w:r>
          </w:p>
          <w:p w:rsidR="009245FA" w:rsidRPr="003F5A77" w:rsidRDefault="00F67B23"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(60,719</w:t>
            </w:r>
            <w:r w:rsidR="009245FA" w:rsidRPr="003F5A77">
              <w:rPr>
                <w:rFonts w:asciiTheme="minorHAnsi" w:hAnsiTheme="minorHAnsi" w:cs="Arial"/>
                <w:color w:val="000000" w:themeColor="text1"/>
                <w:sz w:val="22"/>
                <w:szCs w:val="22"/>
              </w:rPr>
              <w:t>)</w:t>
            </w:r>
          </w:p>
          <w:p w:rsidR="009245FA" w:rsidRPr="003F5A77" w:rsidRDefault="009245FA" w:rsidP="003B6CFF">
            <w:pPr>
              <w:rPr>
                <w:rFonts w:asciiTheme="minorHAnsi" w:hAnsiTheme="minorHAnsi" w:cs="Arial"/>
                <w:color w:val="000000" w:themeColor="text1"/>
                <w:sz w:val="22"/>
                <w:szCs w:val="22"/>
              </w:rPr>
            </w:pPr>
          </w:p>
        </w:tc>
        <w:tc>
          <w:tcPr>
            <w:tcW w:w="1329"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F67B23" w:rsidRPr="003F5A77" w:rsidRDefault="00F67B23"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2064</w:t>
            </w:r>
          </w:p>
        </w:tc>
        <w:tc>
          <w:tcPr>
            <w:tcW w:w="1272"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762</w:t>
            </w:r>
          </w:p>
        </w:tc>
        <w:tc>
          <w:tcPr>
            <w:tcW w:w="1284" w:type="dxa"/>
            <w:tcBorders>
              <w:top w:val="none" w:sz="0" w:space="0" w:color="auto"/>
              <w:bottom w:val="none" w:sz="0" w:space="0" w:color="auto"/>
            </w:tcBorders>
          </w:tcPr>
          <w:p w:rsidR="00F5330E" w:rsidRPr="003F5A77" w:rsidRDefault="00F5330E"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6F0613"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574</w:t>
            </w:r>
          </w:p>
        </w:tc>
        <w:tc>
          <w:tcPr>
            <w:tcW w:w="1284" w:type="dxa"/>
            <w:tcBorders>
              <w:top w:val="none" w:sz="0" w:space="0" w:color="auto"/>
              <w:bottom w:val="none" w:sz="0" w:space="0" w:color="auto"/>
            </w:tcBorders>
          </w:tcPr>
          <w:p w:rsidR="00F5330E" w:rsidRPr="003F5A77" w:rsidRDefault="00F5330E"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F5330E"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65%</w:t>
            </w:r>
          </w:p>
        </w:tc>
        <w:tc>
          <w:tcPr>
            <w:tcW w:w="1566" w:type="dxa"/>
            <w:tcBorders>
              <w:top w:val="none" w:sz="0" w:space="0" w:color="auto"/>
              <w:bottom w:val="none" w:sz="0" w:space="0" w:color="auto"/>
            </w:tcBorders>
            <w:shd w:val="clear" w:color="auto" w:fill="B8CCE4" w:themeFill="accent1" w:themeFillTint="66"/>
          </w:tcPr>
          <w:p w:rsidR="005E24B8" w:rsidRPr="003F5A77" w:rsidRDefault="005E24B8"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F5330E"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-728</w:t>
            </w:r>
          </w:p>
        </w:tc>
      </w:tr>
      <w:tr w:rsidR="009245FA" w:rsidRPr="003F5A77" w:rsidTr="000D725F">
        <w:tc>
          <w:tcPr>
            <w:cnfStyle w:val="001000000000" w:firstRow="0" w:lastRow="0" w:firstColumn="1" w:lastColumn="0" w:oddVBand="0" w:evenVBand="0" w:oddHBand="0" w:evenHBand="0" w:firstRowFirstColumn="0" w:firstRowLastColumn="0" w:lastRowFirstColumn="0" w:lastRowLastColumn="0"/>
            <w:tcW w:w="3084" w:type="dxa"/>
            <w:tcBorders>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2026</w:t>
            </w:r>
          </w:p>
          <w:p w:rsidR="009245FA" w:rsidRPr="003F5A77" w:rsidRDefault="00F67B23"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(63,873</w:t>
            </w:r>
            <w:r w:rsidR="009245FA" w:rsidRPr="003F5A77">
              <w:rPr>
                <w:rFonts w:asciiTheme="minorHAnsi" w:hAnsiTheme="minorHAnsi" w:cs="Arial"/>
                <w:color w:val="000000" w:themeColor="text1"/>
                <w:sz w:val="22"/>
                <w:szCs w:val="22"/>
              </w:rPr>
              <w:t>)</w:t>
            </w:r>
          </w:p>
          <w:p w:rsidR="009245FA" w:rsidRPr="003F5A77" w:rsidRDefault="009245FA" w:rsidP="003B6CFF">
            <w:pPr>
              <w:rPr>
                <w:rFonts w:asciiTheme="minorHAnsi" w:hAnsiTheme="minorHAnsi" w:cs="Arial"/>
                <w:color w:val="000000" w:themeColor="text1"/>
                <w:sz w:val="22"/>
                <w:szCs w:val="22"/>
              </w:rPr>
            </w:pPr>
          </w:p>
        </w:tc>
        <w:tc>
          <w:tcPr>
            <w:tcW w:w="1329"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F67B23" w:rsidRPr="003F5A77" w:rsidRDefault="00F67B23"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2172</w:t>
            </w:r>
          </w:p>
          <w:p w:rsidR="00F67B23" w:rsidRPr="003F5A77" w:rsidRDefault="00F67B23" w:rsidP="003B6CFF">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tc>
        <w:tc>
          <w:tcPr>
            <w:tcW w:w="1272"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762</w:t>
            </w:r>
          </w:p>
        </w:tc>
        <w:tc>
          <w:tcPr>
            <w:tcW w:w="1284" w:type="dxa"/>
          </w:tcPr>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6F0613"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604</w:t>
            </w:r>
          </w:p>
        </w:tc>
        <w:tc>
          <w:tcPr>
            <w:tcW w:w="1284" w:type="dxa"/>
          </w:tcPr>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63%</w:t>
            </w:r>
          </w:p>
        </w:tc>
        <w:tc>
          <w:tcPr>
            <w:tcW w:w="1566" w:type="dxa"/>
            <w:shd w:val="clear" w:color="auto" w:fill="B8CCE4" w:themeFill="accent1" w:themeFillTint="66"/>
          </w:tcPr>
          <w:p w:rsidR="005E24B8" w:rsidRPr="003F5A77" w:rsidRDefault="005E24B8"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9245FA" w:rsidRPr="003F5A77" w:rsidRDefault="005E24B8"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-806</w:t>
            </w:r>
          </w:p>
        </w:tc>
      </w:tr>
      <w:tr w:rsidR="009245FA" w:rsidRPr="003F5A77" w:rsidTr="000D7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2031</w:t>
            </w:r>
          </w:p>
          <w:p w:rsidR="009245FA" w:rsidRPr="003F5A77" w:rsidRDefault="00F67B23"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(66,910</w:t>
            </w:r>
            <w:r w:rsidR="009245FA" w:rsidRPr="003F5A77">
              <w:rPr>
                <w:rFonts w:asciiTheme="minorHAnsi" w:hAnsiTheme="minorHAnsi" w:cs="Arial"/>
                <w:color w:val="000000" w:themeColor="text1"/>
                <w:sz w:val="22"/>
                <w:szCs w:val="22"/>
              </w:rPr>
              <w:t xml:space="preserve">) </w:t>
            </w:r>
          </w:p>
          <w:p w:rsidR="009245FA" w:rsidRPr="003F5A77" w:rsidRDefault="009245FA" w:rsidP="003B6CFF">
            <w:pPr>
              <w:rPr>
                <w:rFonts w:asciiTheme="minorHAnsi" w:hAnsiTheme="minorHAnsi" w:cs="Arial"/>
                <w:color w:val="000000" w:themeColor="text1"/>
                <w:sz w:val="22"/>
                <w:szCs w:val="22"/>
              </w:rPr>
            </w:pPr>
          </w:p>
        </w:tc>
        <w:tc>
          <w:tcPr>
            <w:tcW w:w="1329"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F67B23" w:rsidRPr="003F5A77" w:rsidRDefault="00F67B23"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2275</w:t>
            </w:r>
          </w:p>
        </w:tc>
        <w:tc>
          <w:tcPr>
            <w:tcW w:w="1272" w:type="dxa"/>
            <w:tcBorders>
              <w:top w:val="none" w:sz="0" w:space="0" w:color="auto"/>
              <w:bottom w:val="none" w:sz="0" w:space="0" w:color="auto"/>
            </w:tcBorders>
          </w:tcPr>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762</w:t>
            </w:r>
          </w:p>
        </w:tc>
        <w:tc>
          <w:tcPr>
            <w:tcW w:w="1284" w:type="dxa"/>
            <w:tcBorders>
              <w:top w:val="none" w:sz="0" w:space="0" w:color="auto"/>
              <w:bottom w:val="none" w:sz="0" w:space="0" w:color="auto"/>
            </w:tcBorders>
          </w:tcPr>
          <w:p w:rsidR="00F5330E" w:rsidRPr="003F5A77" w:rsidRDefault="00F5330E"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6F0613"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632</w:t>
            </w:r>
          </w:p>
        </w:tc>
        <w:tc>
          <w:tcPr>
            <w:tcW w:w="1284" w:type="dxa"/>
            <w:tcBorders>
              <w:top w:val="none" w:sz="0" w:space="0" w:color="auto"/>
              <w:bottom w:val="none" w:sz="0" w:space="0" w:color="auto"/>
            </w:tcBorders>
          </w:tcPr>
          <w:p w:rsidR="00F5330E" w:rsidRPr="003F5A77" w:rsidRDefault="00F5330E"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p w:rsidR="009245FA" w:rsidRPr="003F5A77" w:rsidRDefault="00F5330E"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61%</w:t>
            </w:r>
          </w:p>
        </w:tc>
        <w:tc>
          <w:tcPr>
            <w:tcW w:w="1566" w:type="dxa"/>
            <w:tcBorders>
              <w:top w:val="none" w:sz="0" w:space="0" w:color="auto"/>
              <w:bottom w:val="none" w:sz="0" w:space="0" w:color="auto"/>
            </w:tcBorders>
            <w:shd w:val="clear" w:color="auto" w:fill="B8CCE4" w:themeFill="accent1" w:themeFillTint="66"/>
          </w:tcPr>
          <w:p w:rsidR="005E24B8" w:rsidRPr="003F5A77" w:rsidRDefault="005E24B8"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245FA" w:rsidRPr="003F5A77" w:rsidRDefault="005E24B8" w:rsidP="003B6C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-881</w:t>
            </w:r>
          </w:p>
        </w:tc>
      </w:tr>
      <w:tr w:rsidR="009245FA" w:rsidRPr="003F5A77" w:rsidTr="000D725F">
        <w:tc>
          <w:tcPr>
            <w:cnfStyle w:val="001000000000" w:firstRow="0" w:lastRow="0" w:firstColumn="1" w:lastColumn="0" w:oddVBand="0" w:evenVBand="0" w:oddHBand="0" w:evenHBand="0" w:firstRowFirstColumn="0" w:firstRowLastColumn="0" w:lastRowFirstColumn="0" w:lastRowLastColumn="0"/>
            <w:tcW w:w="3084" w:type="dxa"/>
            <w:tcBorders>
              <w:right w:val="none" w:sz="0" w:space="0" w:color="auto"/>
            </w:tcBorders>
          </w:tcPr>
          <w:p w:rsidR="009245FA" w:rsidRPr="003F5A77" w:rsidRDefault="009245FA" w:rsidP="003B6CFF">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By 2036</w:t>
            </w:r>
          </w:p>
          <w:p w:rsidR="009245FA" w:rsidRPr="003F5A77" w:rsidRDefault="00C351B0" w:rsidP="003B6CFF">
            <w:pPr>
              <w:rPr>
                <w:rFonts w:asciiTheme="minorHAnsi" w:hAnsiTheme="minorHAnsi" w:cs="Arial"/>
                <w:color w:val="FF0000"/>
                <w:sz w:val="22"/>
                <w:szCs w:val="22"/>
              </w:rPr>
            </w:pPr>
            <w:r w:rsidRPr="003F5A77">
              <w:rPr>
                <w:rFonts w:asciiTheme="minorHAnsi" w:hAnsiTheme="minorHAnsi" w:cs="Arial"/>
                <w:color w:val="FF0000"/>
                <w:sz w:val="22"/>
                <w:szCs w:val="22"/>
              </w:rPr>
              <w:t>(69,910)</w:t>
            </w:r>
            <w:r w:rsidRPr="003F5A77">
              <w:rPr>
                <w:rStyle w:val="FootnoteReference"/>
                <w:rFonts w:asciiTheme="minorHAnsi" w:hAnsiTheme="minorHAnsi" w:cs="Arial"/>
                <w:color w:val="FF0000"/>
                <w:sz w:val="22"/>
                <w:szCs w:val="22"/>
              </w:rPr>
              <w:t xml:space="preserve"> </w:t>
            </w:r>
            <w:r w:rsidRPr="003F5A77">
              <w:rPr>
                <w:rStyle w:val="FootnoteReference"/>
                <w:rFonts w:asciiTheme="minorHAnsi" w:hAnsiTheme="minorHAnsi" w:cs="Arial"/>
                <w:color w:val="FF0000"/>
                <w:sz w:val="22"/>
                <w:szCs w:val="22"/>
              </w:rPr>
              <w:footnoteReference w:id="14"/>
            </w:r>
          </w:p>
          <w:p w:rsidR="009245FA" w:rsidRPr="003F5A77" w:rsidRDefault="009245FA" w:rsidP="003B6CFF">
            <w:pPr>
              <w:rPr>
                <w:rFonts w:asciiTheme="minorHAnsi" w:hAnsiTheme="minorHAnsi" w:cs="Arial"/>
                <w:color w:val="000000" w:themeColor="text1"/>
                <w:sz w:val="22"/>
                <w:szCs w:val="22"/>
              </w:rPr>
            </w:pPr>
          </w:p>
        </w:tc>
        <w:tc>
          <w:tcPr>
            <w:tcW w:w="1329"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281B7F" w:rsidRPr="003F5A77" w:rsidRDefault="00281B7F"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281B7F" w:rsidRPr="003F5A77" w:rsidRDefault="00C351B0"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sz w:val="22"/>
                <w:szCs w:val="22"/>
              </w:rPr>
              <w:t>2377</w:t>
            </w:r>
          </w:p>
        </w:tc>
        <w:tc>
          <w:tcPr>
            <w:tcW w:w="1272" w:type="dxa"/>
          </w:tcPr>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9245FA"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762</w:t>
            </w:r>
          </w:p>
        </w:tc>
        <w:tc>
          <w:tcPr>
            <w:tcW w:w="1284" w:type="dxa"/>
          </w:tcPr>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C351B0"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661</w:t>
            </w:r>
          </w:p>
        </w:tc>
        <w:tc>
          <w:tcPr>
            <w:tcW w:w="1284" w:type="dxa"/>
          </w:tcPr>
          <w:p w:rsidR="00F5330E" w:rsidRPr="003F5A77" w:rsidRDefault="00F5330E"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p w:rsidR="009245FA" w:rsidRPr="003F5A77" w:rsidRDefault="00C351B0"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3F5A77">
              <w:rPr>
                <w:rFonts w:asciiTheme="minorHAnsi" w:hAnsiTheme="minorHAnsi" w:cs="Arial"/>
                <w:sz w:val="22"/>
                <w:szCs w:val="22"/>
              </w:rPr>
              <w:t>60</w:t>
            </w:r>
            <w:r w:rsidR="00F5330E" w:rsidRPr="003F5A77">
              <w:rPr>
                <w:rFonts w:asciiTheme="minorHAnsi" w:hAnsiTheme="minorHAnsi" w:cs="Arial"/>
                <w:sz w:val="22"/>
                <w:szCs w:val="22"/>
              </w:rPr>
              <w:t>%</w:t>
            </w:r>
          </w:p>
        </w:tc>
        <w:tc>
          <w:tcPr>
            <w:tcW w:w="1566" w:type="dxa"/>
            <w:shd w:val="clear" w:color="auto" w:fill="B8CCE4" w:themeFill="accent1" w:themeFillTint="66"/>
          </w:tcPr>
          <w:p w:rsidR="005E24B8" w:rsidRPr="003F5A77" w:rsidRDefault="005E24B8"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p>
          <w:p w:rsidR="009245FA" w:rsidRPr="003F5A77" w:rsidRDefault="00C351B0" w:rsidP="003B6C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-954</w:t>
            </w:r>
          </w:p>
        </w:tc>
      </w:tr>
    </w:tbl>
    <w:p w:rsidR="00CC0C90" w:rsidRPr="003F5A77" w:rsidRDefault="00CC0C90" w:rsidP="000044F0">
      <w:pPr>
        <w:ind w:left="-851"/>
        <w:rPr>
          <w:rFonts w:asciiTheme="minorHAnsi" w:hAnsiTheme="minorHAnsi" w:cs="Arial"/>
          <w:b/>
          <w:sz w:val="22"/>
          <w:szCs w:val="22"/>
        </w:rPr>
      </w:pPr>
      <w:r w:rsidRPr="003F5A77">
        <w:rPr>
          <w:rFonts w:asciiTheme="minorHAnsi" w:hAnsiTheme="minorHAnsi" w:cs="Arial"/>
          <w:b/>
          <w:sz w:val="22"/>
          <w:szCs w:val="22"/>
        </w:rPr>
        <w:t>Source; 2016 Census of Population &amp; Housing (ABS) customised data; 2015 local government area (LGA) profiles (DHHS, 2016); .id population &amp; household forecast (2016 preliminary rebase) &amp; Victoria in Future (2016)</w:t>
      </w:r>
    </w:p>
    <w:p w:rsidR="00CC0C90" w:rsidRPr="003F5A77" w:rsidRDefault="00CC0C90" w:rsidP="000044F0">
      <w:pPr>
        <w:ind w:left="-851"/>
        <w:rPr>
          <w:rFonts w:asciiTheme="minorHAnsi" w:hAnsiTheme="minorHAnsi" w:cs="Arial"/>
          <w:sz w:val="22"/>
          <w:szCs w:val="22"/>
        </w:rPr>
      </w:pPr>
    </w:p>
    <w:p w:rsidR="00CC0C90" w:rsidRPr="003F5A77" w:rsidRDefault="00CC0C90" w:rsidP="000044F0">
      <w:pPr>
        <w:ind w:left="-851"/>
        <w:rPr>
          <w:rFonts w:asciiTheme="minorHAnsi" w:hAnsiTheme="minorHAnsi" w:cs="Arial"/>
          <w:sz w:val="22"/>
          <w:szCs w:val="22"/>
        </w:rPr>
      </w:pPr>
    </w:p>
    <w:p w:rsidR="00CC0C90" w:rsidRPr="003F5A77" w:rsidRDefault="00CC0C90" w:rsidP="000044F0">
      <w:pPr>
        <w:ind w:left="-851"/>
        <w:rPr>
          <w:rFonts w:ascii="Calibri" w:eastAsiaTheme="majorEastAsia" w:hAnsi="Calibri" w:cstheme="majorBidi"/>
          <w:b/>
          <w:color w:val="1F497D" w:themeColor="text2"/>
          <w:sz w:val="22"/>
          <w:szCs w:val="22"/>
          <w:lang w:val="en-US" w:eastAsia="en-US"/>
        </w:rPr>
      </w:pPr>
      <w:r w:rsidRPr="003F5A77">
        <w:rPr>
          <w:rFonts w:ascii="Calibri" w:eastAsiaTheme="majorEastAsia" w:hAnsi="Calibri" w:cstheme="majorBidi"/>
          <w:b/>
          <w:color w:val="1F497D" w:themeColor="text2"/>
          <w:sz w:val="22"/>
          <w:szCs w:val="22"/>
          <w:lang w:val="en-US" w:eastAsia="en-US"/>
        </w:rPr>
        <w:t>Notes on definitions &amp; methodology:</w:t>
      </w:r>
    </w:p>
    <w:p w:rsidR="00CC0C90" w:rsidRPr="003F5A77" w:rsidRDefault="00CC0C90" w:rsidP="000044F0">
      <w:pPr>
        <w:ind w:left="-851"/>
        <w:rPr>
          <w:rFonts w:asciiTheme="minorHAnsi" w:hAnsiTheme="minorHAnsi" w:cs="Arial"/>
          <w:sz w:val="22"/>
          <w:szCs w:val="22"/>
        </w:rPr>
      </w:pPr>
    </w:p>
    <w:p w:rsidR="00CC0C90" w:rsidRPr="003F5A77" w:rsidRDefault="000D36BB" w:rsidP="003B6CFF">
      <w:pPr>
        <w:pStyle w:val="ListParagraph"/>
        <w:numPr>
          <w:ilvl w:val="0"/>
          <w:numId w:val="5"/>
        </w:numPr>
        <w:ind w:left="-426" w:hanging="425"/>
        <w:rPr>
          <w:rFonts w:asciiTheme="minorHAnsi" w:hAnsiTheme="minorHAnsi" w:cs="Arial"/>
          <w:sz w:val="22"/>
          <w:szCs w:val="22"/>
        </w:rPr>
      </w:pPr>
      <w:r w:rsidRPr="003F5A77">
        <w:rPr>
          <w:rFonts w:asciiTheme="minorHAnsi" w:hAnsiTheme="minorHAnsi" w:cs="Arial"/>
          <w:sz w:val="22"/>
          <w:szCs w:val="22"/>
        </w:rPr>
        <w:t>Current household number</w:t>
      </w:r>
      <w:r w:rsidR="00CC0C90" w:rsidRPr="003F5A77">
        <w:rPr>
          <w:rFonts w:asciiTheme="minorHAnsi" w:hAnsiTheme="minorHAnsi" w:cs="Arial"/>
          <w:sz w:val="22"/>
          <w:szCs w:val="22"/>
        </w:rPr>
        <w:t xml:space="preserve"> (2016) is based on ‘usual residence’ as per the .id 2016 preliminary rebase. This rebases the current (2014) forecast data so that it matches 2016 Census based Estimated Resident Population and dwelling counts. A comprehensive population forecast update, including a fresh set of residential development assumptions will be rolled out to subscribing municipalities during 2018</w:t>
      </w:r>
      <w:r w:rsidR="00CC0C90" w:rsidRPr="003F5A77">
        <w:rPr>
          <w:rStyle w:val="FootnoteReference"/>
          <w:rFonts w:asciiTheme="minorHAnsi" w:hAnsiTheme="minorHAnsi" w:cs="Arial"/>
          <w:sz w:val="22"/>
          <w:szCs w:val="22"/>
        </w:rPr>
        <w:footnoteReference w:id="15"/>
      </w:r>
      <w:r w:rsidR="00CC0C90" w:rsidRPr="003F5A77">
        <w:rPr>
          <w:rFonts w:asciiTheme="minorHAnsi" w:hAnsiTheme="minorHAnsi" w:cs="Arial"/>
          <w:sz w:val="22"/>
          <w:szCs w:val="22"/>
        </w:rPr>
        <w:t>. This will also push the forecast out an additional five years enabling the social housing shortfa</w:t>
      </w:r>
      <w:r w:rsidR="00785A08" w:rsidRPr="003F5A77">
        <w:rPr>
          <w:rFonts w:asciiTheme="minorHAnsi" w:hAnsiTheme="minorHAnsi" w:cs="Arial"/>
          <w:sz w:val="22"/>
          <w:szCs w:val="22"/>
        </w:rPr>
        <w:t>ll to be calculated out to 2041 in the next review.</w:t>
      </w:r>
    </w:p>
    <w:p w:rsidR="00EE2597" w:rsidRPr="003F5A77" w:rsidRDefault="00EE2597" w:rsidP="000044F0">
      <w:pPr>
        <w:pStyle w:val="ListParagraph"/>
        <w:ind w:left="-851"/>
        <w:rPr>
          <w:rFonts w:asciiTheme="minorHAnsi" w:hAnsiTheme="minorHAnsi" w:cs="Arial"/>
          <w:sz w:val="22"/>
          <w:szCs w:val="22"/>
        </w:rPr>
      </w:pPr>
    </w:p>
    <w:p w:rsidR="00CC0C90" w:rsidRPr="003F5A77" w:rsidRDefault="00EE2597" w:rsidP="003B6CFF">
      <w:pPr>
        <w:pStyle w:val="ListParagraph"/>
        <w:numPr>
          <w:ilvl w:val="0"/>
          <w:numId w:val="5"/>
        </w:numPr>
        <w:spacing w:after="120"/>
        <w:ind w:left="-426" w:hanging="425"/>
        <w:contextualSpacing w:val="0"/>
        <w:rPr>
          <w:rFonts w:asciiTheme="minorHAnsi" w:hAnsiTheme="minorHAnsi" w:cs="Arial"/>
          <w:i/>
          <w:sz w:val="22"/>
          <w:szCs w:val="22"/>
        </w:rPr>
      </w:pPr>
      <w:r w:rsidRPr="003F5A77">
        <w:rPr>
          <w:rFonts w:asciiTheme="minorHAnsi" w:hAnsiTheme="minorHAnsi" w:cs="Arial"/>
          <w:sz w:val="22"/>
          <w:szCs w:val="22"/>
        </w:rPr>
        <w:t xml:space="preserve">Future household </w:t>
      </w:r>
      <w:r w:rsidR="00785A08" w:rsidRPr="003F5A77">
        <w:rPr>
          <w:rFonts w:asciiTheme="minorHAnsi" w:hAnsiTheme="minorHAnsi" w:cs="Arial"/>
          <w:sz w:val="22"/>
          <w:szCs w:val="22"/>
        </w:rPr>
        <w:t>numbers (2021, 2026, 2031</w:t>
      </w:r>
      <w:r w:rsidR="00041AB6" w:rsidRPr="003F5A77">
        <w:rPr>
          <w:rFonts w:asciiTheme="minorHAnsi" w:hAnsiTheme="minorHAnsi" w:cs="Arial"/>
          <w:color w:val="000000" w:themeColor="text1"/>
          <w:sz w:val="22"/>
          <w:szCs w:val="22"/>
        </w:rPr>
        <w:t>) are based on averaging .id forecast figures (2016 preliminary rebase) and Victoria in Future (2016)</w:t>
      </w:r>
      <w:r w:rsidR="00041AB6" w:rsidRPr="003F5A77">
        <w:rPr>
          <w:rStyle w:val="FootnoteReference"/>
          <w:rFonts w:asciiTheme="minorHAnsi" w:hAnsiTheme="minorHAnsi" w:cs="Arial"/>
          <w:color w:val="000000" w:themeColor="text1"/>
          <w:sz w:val="22"/>
          <w:szCs w:val="22"/>
        </w:rPr>
        <w:footnoteReference w:id="16"/>
      </w:r>
      <w:r w:rsidR="00152609" w:rsidRPr="003F5A77">
        <w:rPr>
          <w:rFonts w:asciiTheme="minorHAnsi" w:hAnsiTheme="minorHAnsi" w:cs="Arial"/>
          <w:color w:val="000000" w:themeColor="text1"/>
          <w:sz w:val="22"/>
          <w:szCs w:val="22"/>
        </w:rPr>
        <w:t xml:space="preserve"> for projected households</w:t>
      </w:r>
      <w:r w:rsidR="00F5057B" w:rsidRPr="003F5A77">
        <w:rPr>
          <w:rFonts w:asciiTheme="minorHAnsi" w:hAnsiTheme="minorHAnsi" w:cs="Arial"/>
          <w:color w:val="000000" w:themeColor="text1"/>
          <w:sz w:val="22"/>
          <w:szCs w:val="22"/>
        </w:rPr>
        <w:t xml:space="preserve"> </w:t>
      </w:r>
      <w:proofErr w:type="gramStart"/>
      <w:r w:rsidR="00F5057B" w:rsidRPr="003F5A77">
        <w:rPr>
          <w:rFonts w:asciiTheme="minorHAnsi" w:hAnsiTheme="minorHAnsi" w:cs="Arial"/>
          <w:color w:val="000000" w:themeColor="text1"/>
          <w:sz w:val="22"/>
          <w:szCs w:val="22"/>
        </w:rPr>
        <w:t>in order</w:t>
      </w:r>
      <w:r w:rsidR="00152609" w:rsidRPr="003F5A77">
        <w:rPr>
          <w:rFonts w:asciiTheme="minorHAnsi" w:hAnsiTheme="minorHAnsi" w:cs="Arial"/>
          <w:color w:val="000000" w:themeColor="text1"/>
          <w:sz w:val="22"/>
          <w:szCs w:val="22"/>
        </w:rPr>
        <w:t xml:space="preserve"> to</w:t>
      </w:r>
      <w:proofErr w:type="gramEnd"/>
      <w:r w:rsidR="00152609" w:rsidRPr="003F5A77">
        <w:rPr>
          <w:rFonts w:asciiTheme="minorHAnsi" w:hAnsiTheme="minorHAnsi" w:cs="Arial"/>
          <w:color w:val="000000" w:themeColor="text1"/>
          <w:sz w:val="22"/>
          <w:szCs w:val="22"/>
        </w:rPr>
        <w:t xml:space="preserve"> moderate the difference between the two.</w:t>
      </w:r>
      <w:r w:rsidR="00F5057B" w:rsidRPr="003F5A77">
        <w:rPr>
          <w:rFonts w:asciiTheme="minorHAnsi" w:hAnsiTheme="minorHAnsi" w:cs="Arial"/>
          <w:color w:val="000000" w:themeColor="text1"/>
          <w:sz w:val="22"/>
          <w:szCs w:val="22"/>
        </w:rPr>
        <w:t xml:space="preserve"> As noted above (Quantifying social housing need</w:t>
      </w:r>
      <w:proofErr w:type="gramStart"/>
      <w:r w:rsidR="00F5057B" w:rsidRPr="003F5A77">
        <w:rPr>
          <w:rFonts w:asciiTheme="minorHAnsi" w:hAnsiTheme="minorHAnsi" w:cs="Arial"/>
          <w:color w:val="000000" w:themeColor="text1"/>
          <w:sz w:val="22"/>
          <w:szCs w:val="22"/>
        </w:rPr>
        <w:t xml:space="preserve">), </w:t>
      </w:r>
      <w:r w:rsidR="00785A08" w:rsidRPr="003F5A77">
        <w:rPr>
          <w:rFonts w:asciiTheme="minorHAnsi" w:hAnsiTheme="minorHAnsi" w:cs="Arial"/>
          <w:color w:val="000000" w:themeColor="text1"/>
          <w:sz w:val="22"/>
          <w:szCs w:val="22"/>
        </w:rPr>
        <w:t xml:space="preserve"> future</w:t>
      </w:r>
      <w:proofErr w:type="gramEnd"/>
      <w:r w:rsidR="00785A08" w:rsidRPr="003F5A77">
        <w:rPr>
          <w:rFonts w:asciiTheme="minorHAnsi" w:hAnsiTheme="minorHAnsi" w:cs="Arial"/>
          <w:color w:val="000000" w:themeColor="text1"/>
          <w:sz w:val="22"/>
          <w:szCs w:val="22"/>
        </w:rPr>
        <w:t xml:space="preserve"> household forecast numbers for 2036 are based on averaging the .id forecast figure</w:t>
      </w:r>
      <w:r w:rsidR="00F5057B" w:rsidRPr="003F5A77">
        <w:rPr>
          <w:rFonts w:asciiTheme="minorHAnsi" w:hAnsiTheme="minorHAnsi" w:cs="Arial"/>
          <w:color w:val="000000" w:themeColor="text1"/>
          <w:sz w:val="22"/>
          <w:szCs w:val="22"/>
        </w:rPr>
        <w:t xml:space="preserve"> </w:t>
      </w:r>
      <w:r w:rsidR="00785A08" w:rsidRPr="003F5A77">
        <w:rPr>
          <w:rFonts w:asciiTheme="minorHAnsi" w:hAnsiTheme="minorHAnsi" w:cs="Arial"/>
          <w:color w:val="000000" w:themeColor="text1"/>
          <w:sz w:val="22"/>
          <w:szCs w:val="22"/>
        </w:rPr>
        <w:t xml:space="preserve">(2016 preliminary rebase) and an </w:t>
      </w:r>
      <w:r w:rsidR="00785A08" w:rsidRPr="003F5A77">
        <w:rPr>
          <w:rFonts w:asciiTheme="minorHAnsi" w:hAnsiTheme="minorHAnsi" w:cs="Arial"/>
          <w:i/>
          <w:color w:val="000000" w:themeColor="text1"/>
          <w:sz w:val="22"/>
          <w:szCs w:val="22"/>
        </w:rPr>
        <w:t>estimated VIF forecast</w:t>
      </w:r>
      <w:r w:rsidR="00F5057B" w:rsidRPr="003F5A77">
        <w:rPr>
          <w:rFonts w:asciiTheme="minorHAnsi" w:hAnsiTheme="minorHAnsi" w:cs="Arial"/>
          <w:i/>
          <w:color w:val="000000" w:themeColor="text1"/>
          <w:sz w:val="22"/>
          <w:szCs w:val="22"/>
        </w:rPr>
        <w:t xml:space="preserve"> based on the latter’s trajectory as established in previous years.</w:t>
      </w:r>
    </w:p>
    <w:p w:rsidR="00CC0C90" w:rsidRPr="003F5A77" w:rsidRDefault="00CC0C90" w:rsidP="003B6CFF">
      <w:pPr>
        <w:pStyle w:val="ListParagraph"/>
        <w:numPr>
          <w:ilvl w:val="0"/>
          <w:numId w:val="5"/>
        </w:numPr>
        <w:spacing w:after="120"/>
        <w:ind w:left="-426" w:hanging="425"/>
        <w:contextualSpacing w:val="0"/>
        <w:rPr>
          <w:rFonts w:asciiTheme="minorHAnsi" w:hAnsiTheme="minorHAnsi" w:cs="Arial"/>
          <w:sz w:val="22"/>
          <w:szCs w:val="22"/>
        </w:rPr>
      </w:pPr>
      <w:r w:rsidRPr="003F5A77">
        <w:rPr>
          <w:rFonts w:asciiTheme="minorHAnsi" w:hAnsiTheme="minorHAnsi" w:cs="Arial"/>
          <w:sz w:val="22"/>
          <w:szCs w:val="22"/>
        </w:rPr>
        <w:t>‘Social housing dwellings’ includes both public housing provided directly by the Department of Health and Human Services, and housing provided by the not-for-profit housing sector. Note that the figure</w:t>
      </w:r>
      <w:r w:rsidR="00934542" w:rsidRPr="003F5A77">
        <w:rPr>
          <w:rFonts w:asciiTheme="minorHAnsi" w:hAnsiTheme="minorHAnsi" w:cs="Arial"/>
          <w:sz w:val="22"/>
          <w:szCs w:val="22"/>
        </w:rPr>
        <w:t>s</w:t>
      </w:r>
      <w:r w:rsidRPr="003F5A77">
        <w:rPr>
          <w:rFonts w:asciiTheme="minorHAnsi" w:hAnsiTheme="minorHAnsi" w:cs="Arial"/>
          <w:sz w:val="22"/>
          <w:szCs w:val="22"/>
        </w:rPr>
        <w:t xml:space="preserve"> for </w:t>
      </w:r>
      <w:r w:rsidR="00934542" w:rsidRPr="003F5A77">
        <w:rPr>
          <w:rFonts w:asciiTheme="minorHAnsi" w:hAnsiTheme="minorHAnsi" w:cs="Arial"/>
          <w:sz w:val="22"/>
          <w:szCs w:val="22"/>
        </w:rPr>
        <w:t>all EAH</w:t>
      </w:r>
      <w:r w:rsidR="00F5057B" w:rsidRPr="003F5A77">
        <w:rPr>
          <w:rFonts w:asciiTheme="minorHAnsi" w:hAnsiTheme="minorHAnsi" w:cs="Arial"/>
          <w:sz w:val="22"/>
          <w:szCs w:val="22"/>
        </w:rPr>
        <w:t>A</w:t>
      </w:r>
      <w:r w:rsidR="00F610AD" w:rsidRPr="003F5A77">
        <w:rPr>
          <w:rFonts w:asciiTheme="minorHAnsi" w:hAnsiTheme="minorHAnsi" w:cs="Arial"/>
          <w:sz w:val="22"/>
          <w:szCs w:val="22"/>
        </w:rPr>
        <w:t xml:space="preserve"> </w:t>
      </w:r>
      <w:r w:rsidR="00934542" w:rsidRPr="003F5A77">
        <w:rPr>
          <w:rFonts w:asciiTheme="minorHAnsi" w:hAnsiTheme="minorHAnsi" w:cs="Arial"/>
          <w:sz w:val="22"/>
          <w:szCs w:val="22"/>
        </w:rPr>
        <w:t xml:space="preserve">councils are higher than those </w:t>
      </w:r>
      <w:r w:rsidRPr="003F5A77">
        <w:rPr>
          <w:rFonts w:asciiTheme="minorHAnsi" w:hAnsiTheme="minorHAnsi" w:cs="Arial"/>
          <w:sz w:val="22"/>
          <w:szCs w:val="22"/>
        </w:rPr>
        <w:t>identified at the 2016 Census. This discrepancy may be explained by a proportion of rental households that do not state tenure (</w:t>
      </w:r>
      <w:proofErr w:type="spellStart"/>
      <w:r w:rsidRPr="003F5A77">
        <w:rPr>
          <w:rFonts w:asciiTheme="minorHAnsi" w:hAnsiTheme="minorHAnsi" w:cs="Arial"/>
          <w:sz w:val="22"/>
          <w:szCs w:val="22"/>
        </w:rPr>
        <w:t>ie</w:t>
      </w:r>
      <w:proofErr w:type="spellEnd"/>
      <w:r w:rsidRPr="003F5A77">
        <w:rPr>
          <w:rFonts w:asciiTheme="minorHAnsi" w:hAnsiTheme="minorHAnsi" w:cs="Arial"/>
          <w:sz w:val="22"/>
          <w:szCs w:val="22"/>
        </w:rPr>
        <w:t xml:space="preserve"> public or private) on their Cens</w:t>
      </w:r>
      <w:r w:rsidR="00934542" w:rsidRPr="003F5A77">
        <w:rPr>
          <w:rFonts w:asciiTheme="minorHAnsi" w:hAnsiTheme="minorHAnsi" w:cs="Arial"/>
          <w:sz w:val="22"/>
          <w:szCs w:val="22"/>
        </w:rPr>
        <w:t>us form</w:t>
      </w:r>
      <w:r w:rsidRPr="003F5A77">
        <w:rPr>
          <w:rFonts w:asciiTheme="minorHAnsi" w:hAnsiTheme="minorHAnsi" w:cs="Arial"/>
          <w:sz w:val="22"/>
          <w:szCs w:val="22"/>
        </w:rPr>
        <w:t>, and/or dwellings that are vacant at Census time.</w:t>
      </w:r>
    </w:p>
    <w:p w:rsidR="00CC0C90" w:rsidRPr="003F5A77" w:rsidRDefault="00CC0C90" w:rsidP="003B6CFF">
      <w:pPr>
        <w:pStyle w:val="ListParagraph"/>
        <w:numPr>
          <w:ilvl w:val="0"/>
          <w:numId w:val="5"/>
        </w:numPr>
        <w:spacing w:after="120"/>
        <w:ind w:left="-426" w:hanging="425"/>
        <w:contextualSpacing w:val="0"/>
        <w:rPr>
          <w:rFonts w:asciiTheme="minorHAnsi" w:hAnsiTheme="minorHAnsi" w:cs="Arial"/>
          <w:sz w:val="22"/>
          <w:szCs w:val="22"/>
        </w:rPr>
      </w:pPr>
      <w:r w:rsidRPr="003F5A77">
        <w:rPr>
          <w:rFonts w:asciiTheme="minorHAnsi" w:hAnsiTheme="minorHAnsi" w:cs="Arial"/>
          <w:sz w:val="22"/>
          <w:szCs w:val="22"/>
        </w:rPr>
        <w:t xml:space="preserve">‘Need’ is defined as ‘very low income’ households – that is, those in the lowest 10% of household incomes nationally, that </w:t>
      </w:r>
      <w:r w:rsidRPr="003F5A77">
        <w:rPr>
          <w:rFonts w:asciiTheme="minorHAnsi" w:hAnsiTheme="minorHAnsi" w:cs="Arial"/>
          <w:i/>
          <w:sz w:val="22"/>
          <w:szCs w:val="22"/>
        </w:rPr>
        <w:t>do not own their own home.</w:t>
      </w:r>
    </w:p>
    <w:p w:rsidR="00CC0C90" w:rsidRPr="003F5A77" w:rsidRDefault="00CC0C90" w:rsidP="003B6CFF">
      <w:pPr>
        <w:pStyle w:val="ListParagraph"/>
        <w:numPr>
          <w:ilvl w:val="0"/>
          <w:numId w:val="5"/>
        </w:numPr>
        <w:spacing w:after="120"/>
        <w:ind w:left="-426" w:hanging="425"/>
        <w:contextualSpacing w:val="0"/>
        <w:rPr>
          <w:rFonts w:asciiTheme="minorHAnsi" w:hAnsiTheme="minorHAnsi" w:cs="Arial"/>
          <w:sz w:val="22"/>
          <w:szCs w:val="22"/>
        </w:rPr>
      </w:pPr>
      <w:r w:rsidRPr="003F5A77">
        <w:rPr>
          <w:rFonts w:asciiTheme="minorHAnsi" w:hAnsiTheme="minorHAnsi" w:cs="Arial"/>
          <w:sz w:val="22"/>
          <w:szCs w:val="22"/>
        </w:rPr>
        <w:t xml:space="preserve">Note that the </w:t>
      </w:r>
      <w:proofErr w:type="gramStart"/>
      <w:r w:rsidRPr="003F5A77">
        <w:rPr>
          <w:rFonts w:asciiTheme="minorHAnsi" w:hAnsiTheme="minorHAnsi" w:cs="Arial"/>
          <w:sz w:val="22"/>
          <w:szCs w:val="22"/>
        </w:rPr>
        <w:t>identification  of</w:t>
      </w:r>
      <w:proofErr w:type="gramEnd"/>
      <w:r w:rsidRPr="003F5A77">
        <w:rPr>
          <w:rFonts w:asciiTheme="minorHAnsi" w:hAnsiTheme="minorHAnsi" w:cs="Arial"/>
          <w:sz w:val="22"/>
          <w:szCs w:val="22"/>
        </w:rPr>
        <w:t xml:space="preserve"> ‘very low income’ households is based on </w:t>
      </w:r>
      <w:r w:rsidRPr="003F5A77">
        <w:rPr>
          <w:rFonts w:asciiTheme="minorHAnsi" w:hAnsiTheme="minorHAnsi" w:cs="Arial"/>
          <w:i/>
          <w:sz w:val="22"/>
          <w:szCs w:val="22"/>
        </w:rPr>
        <w:t xml:space="preserve">equivalised </w:t>
      </w:r>
      <w:r w:rsidRPr="003F5A77">
        <w:rPr>
          <w:rFonts w:asciiTheme="minorHAnsi" w:hAnsiTheme="minorHAnsi" w:cs="Arial"/>
          <w:sz w:val="22"/>
          <w:szCs w:val="22"/>
        </w:rPr>
        <w:t xml:space="preserve"> household income – that is, adjusted using equivalence factors to remove the effect of household size on income.</w:t>
      </w:r>
    </w:p>
    <w:p w:rsidR="00CC0C90" w:rsidRPr="003F5A77" w:rsidRDefault="00934542" w:rsidP="003B6CFF">
      <w:pPr>
        <w:pStyle w:val="ListParagraph"/>
        <w:numPr>
          <w:ilvl w:val="0"/>
          <w:numId w:val="5"/>
        </w:numPr>
        <w:spacing w:after="120"/>
        <w:ind w:left="-426" w:hanging="425"/>
        <w:contextualSpacing w:val="0"/>
        <w:rPr>
          <w:rFonts w:asciiTheme="minorHAnsi" w:hAnsiTheme="minorHAnsi" w:cs="Arial"/>
          <w:sz w:val="22"/>
          <w:szCs w:val="22"/>
        </w:rPr>
      </w:pPr>
      <w:r w:rsidRPr="003F5A77">
        <w:rPr>
          <w:rFonts w:asciiTheme="minorHAnsi" w:hAnsiTheme="minorHAnsi" w:cs="Arial"/>
          <w:sz w:val="22"/>
          <w:szCs w:val="22"/>
        </w:rPr>
        <w:t>The proportion of total housing stock in each EAH</w:t>
      </w:r>
      <w:r w:rsidR="00F5057B" w:rsidRPr="003F5A77">
        <w:rPr>
          <w:rFonts w:asciiTheme="minorHAnsi" w:hAnsiTheme="minorHAnsi" w:cs="Arial"/>
          <w:sz w:val="22"/>
          <w:szCs w:val="22"/>
        </w:rPr>
        <w:t>A</w:t>
      </w:r>
      <w:r w:rsidRPr="003F5A77">
        <w:rPr>
          <w:rFonts w:asciiTheme="minorHAnsi" w:hAnsiTheme="minorHAnsi" w:cs="Arial"/>
          <w:sz w:val="22"/>
          <w:szCs w:val="22"/>
        </w:rPr>
        <w:t xml:space="preserve"> council with private rental tenure is based on what was found at the most recent, 2016 Census and projected into the future</w:t>
      </w:r>
      <w:r w:rsidR="00CC0C90" w:rsidRPr="003F5A77">
        <w:rPr>
          <w:rStyle w:val="FootnoteReference"/>
          <w:rFonts w:asciiTheme="minorHAnsi" w:hAnsiTheme="minorHAnsi" w:cs="Arial"/>
          <w:sz w:val="22"/>
          <w:szCs w:val="22"/>
        </w:rPr>
        <w:footnoteReference w:id="17"/>
      </w:r>
      <w:r w:rsidR="00CC0C90" w:rsidRPr="003F5A77">
        <w:rPr>
          <w:rFonts w:asciiTheme="minorHAnsi" w:hAnsiTheme="minorHAnsi" w:cs="Arial"/>
          <w:sz w:val="22"/>
          <w:szCs w:val="22"/>
        </w:rPr>
        <w:t xml:space="preserve">. The proportion of this stock that is deemed ‘affordable’ to low-income households is based on a </w:t>
      </w:r>
      <w:r w:rsidR="00CC0C90" w:rsidRPr="003F5A77">
        <w:rPr>
          <w:rFonts w:asciiTheme="minorHAnsi" w:hAnsiTheme="minorHAnsi" w:cs="Arial"/>
          <w:i/>
          <w:sz w:val="22"/>
          <w:szCs w:val="22"/>
        </w:rPr>
        <w:t xml:space="preserve">two-year average </w:t>
      </w:r>
      <w:r w:rsidR="00F031B0" w:rsidRPr="003F5A77">
        <w:rPr>
          <w:rFonts w:asciiTheme="minorHAnsi" w:hAnsiTheme="minorHAnsi" w:cs="Arial"/>
          <w:sz w:val="22"/>
          <w:szCs w:val="22"/>
        </w:rPr>
        <w:t>of affordable lettings in each EAH</w:t>
      </w:r>
      <w:r w:rsidR="00F5057B" w:rsidRPr="003F5A77">
        <w:rPr>
          <w:rFonts w:asciiTheme="minorHAnsi" w:hAnsiTheme="minorHAnsi" w:cs="Arial"/>
          <w:sz w:val="22"/>
          <w:szCs w:val="22"/>
        </w:rPr>
        <w:t>A</w:t>
      </w:r>
      <w:r w:rsidR="00F031B0" w:rsidRPr="003F5A77">
        <w:rPr>
          <w:rFonts w:asciiTheme="minorHAnsi" w:hAnsiTheme="minorHAnsi" w:cs="Arial"/>
          <w:sz w:val="22"/>
          <w:szCs w:val="22"/>
        </w:rPr>
        <w:t xml:space="preserve"> council</w:t>
      </w:r>
      <w:r w:rsidR="00CC0C90" w:rsidRPr="003F5A77">
        <w:rPr>
          <w:rFonts w:asciiTheme="minorHAnsi" w:hAnsiTheme="minorHAnsi" w:cs="Arial"/>
          <w:sz w:val="22"/>
          <w:szCs w:val="22"/>
        </w:rPr>
        <w:t xml:space="preserve"> (total, all bedrooms) –September quarter, 2015 to June quarter, 2017, the latest available at the time of preparation (November, 2017) </w:t>
      </w:r>
      <w:r w:rsidR="00F031B0" w:rsidRPr="003F5A77">
        <w:rPr>
          <w:rFonts w:asciiTheme="minorHAnsi" w:hAnsiTheme="minorHAnsi" w:cs="Arial"/>
          <w:sz w:val="22"/>
          <w:szCs w:val="22"/>
        </w:rPr>
        <w:t>–</w:t>
      </w:r>
      <w:r w:rsidR="00CC0C90" w:rsidRPr="003F5A77">
        <w:rPr>
          <w:rFonts w:asciiTheme="minorHAnsi" w:hAnsiTheme="minorHAnsi" w:cs="Arial"/>
          <w:sz w:val="22"/>
          <w:szCs w:val="22"/>
        </w:rPr>
        <w:t xml:space="preserve"> </w:t>
      </w:r>
      <w:r w:rsidR="00F031B0" w:rsidRPr="003F5A77">
        <w:rPr>
          <w:rFonts w:asciiTheme="minorHAnsi" w:hAnsiTheme="minorHAnsi" w:cs="Arial"/>
          <w:sz w:val="22"/>
          <w:szCs w:val="22"/>
        </w:rPr>
        <w:t xml:space="preserve">as </w:t>
      </w:r>
      <w:r w:rsidR="00CC0C90" w:rsidRPr="003F5A77">
        <w:rPr>
          <w:rFonts w:asciiTheme="minorHAnsi" w:hAnsiTheme="minorHAnsi" w:cs="Arial"/>
          <w:sz w:val="22"/>
          <w:szCs w:val="22"/>
        </w:rPr>
        <w:t>drawn from the DHHS quarterly rental report data.</w:t>
      </w:r>
    </w:p>
    <w:p w:rsidR="00CC0C90" w:rsidRPr="003F5A77" w:rsidRDefault="00F031B0" w:rsidP="003B6CFF">
      <w:pPr>
        <w:pStyle w:val="ListParagraph"/>
        <w:ind w:left="-426"/>
        <w:rPr>
          <w:rFonts w:asciiTheme="minorHAnsi" w:hAnsiTheme="minorHAnsi" w:cs="Arial"/>
          <w:sz w:val="22"/>
          <w:szCs w:val="22"/>
        </w:rPr>
      </w:pPr>
      <w:r w:rsidRPr="003F5A77">
        <w:rPr>
          <w:rFonts w:asciiTheme="minorHAnsi" w:hAnsiTheme="minorHAnsi" w:cs="Arial"/>
          <w:sz w:val="22"/>
          <w:szCs w:val="22"/>
        </w:rPr>
        <w:t xml:space="preserve">Note that </w:t>
      </w:r>
      <w:r w:rsidR="00CC0C90" w:rsidRPr="003F5A77">
        <w:rPr>
          <w:rFonts w:asciiTheme="minorHAnsi" w:hAnsiTheme="minorHAnsi" w:cs="Arial"/>
          <w:sz w:val="22"/>
          <w:szCs w:val="22"/>
        </w:rPr>
        <w:t xml:space="preserve">DHHS affordable rent calculations are based on what is affordable for households receiving Centrelink incomes </w:t>
      </w:r>
      <w:proofErr w:type="spellStart"/>
      <w:r w:rsidR="00CC0C90" w:rsidRPr="003F5A77">
        <w:rPr>
          <w:rFonts w:asciiTheme="minorHAnsi" w:hAnsiTheme="minorHAnsi" w:cs="Arial"/>
          <w:sz w:val="22"/>
          <w:szCs w:val="22"/>
        </w:rPr>
        <w:t>ie</w:t>
      </w:r>
      <w:proofErr w:type="spellEnd"/>
      <w:r w:rsidR="00CC0C90" w:rsidRPr="003F5A77">
        <w:rPr>
          <w:rFonts w:asciiTheme="minorHAnsi" w:hAnsiTheme="minorHAnsi" w:cs="Arial"/>
          <w:sz w:val="22"/>
          <w:szCs w:val="22"/>
        </w:rPr>
        <w:t xml:space="preserve"> not exceeding 30% of the income of indicative household types on a Centrelink income (plus rent assistance).</w:t>
      </w:r>
    </w:p>
    <w:p w:rsidR="003D3331" w:rsidRPr="003F5A77" w:rsidRDefault="003D3331" w:rsidP="000044F0">
      <w:pPr>
        <w:ind w:left="-851"/>
        <w:rPr>
          <w:rFonts w:asciiTheme="minorHAnsi" w:hAnsiTheme="minorHAnsi" w:cs="Arial"/>
          <w:b/>
          <w:sz w:val="22"/>
          <w:szCs w:val="22"/>
        </w:rPr>
      </w:pPr>
    </w:p>
    <w:p w:rsidR="00F5057B" w:rsidRPr="003F5A77" w:rsidRDefault="00F5057B" w:rsidP="000044F0">
      <w:pPr>
        <w:ind w:left="-851"/>
        <w:rPr>
          <w:rFonts w:asciiTheme="minorHAnsi" w:hAnsiTheme="minorHAnsi" w:cs="Arial"/>
          <w:b/>
          <w:sz w:val="22"/>
          <w:szCs w:val="22"/>
        </w:rPr>
      </w:pPr>
      <w:r w:rsidRPr="003F5A77">
        <w:rPr>
          <w:rFonts w:asciiTheme="minorHAnsi" w:hAnsiTheme="minorHAnsi" w:cs="Arial"/>
          <w:b/>
          <w:sz w:val="22"/>
          <w:szCs w:val="22"/>
        </w:rPr>
        <w:br w:type="page"/>
      </w:r>
    </w:p>
    <w:p w:rsidR="00F031B0" w:rsidRPr="003F5A77" w:rsidRDefault="00F031B0" w:rsidP="000044F0">
      <w:pPr>
        <w:ind w:left="-851"/>
        <w:rPr>
          <w:rFonts w:asciiTheme="minorHAnsi" w:hAnsiTheme="minorHAnsi" w:cs="Arial"/>
          <w:b/>
          <w:sz w:val="22"/>
          <w:szCs w:val="22"/>
        </w:rPr>
      </w:pPr>
    </w:p>
    <w:p w:rsidR="00F031B0" w:rsidRPr="00B11EB4" w:rsidRDefault="00F031B0" w:rsidP="003B6CFF">
      <w:pPr>
        <w:pStyle w:val="ListParagraph"/>
        <w:numPr>
          <w:ilvl w:val="0"/>
          <w:numId w:val="14"/>
        </w:numPr>
        <w:rPr>
          <w:rFonts w:ascii="Calibri" w:eastAsiaTheme="majorEastAsia" w:hAnsi="Calibri" w:cstheme="majorBidi"/>
          <w:color w:val="1F497D" w:themeColor="text2"/>
          <w:sz w:val="30"/>
          <w:szCs w:val="30"/>
          <w:lang w:val="en-US" w:eastAsia="en-US"/>
        </w:rPr>
      </w:pPr>
      <w:r w:rsidRPr="00B11EB4">
        <w:rPr>
          <w:rFonts w:ascii="Calibri" w:eastAsiaTheme="majorEastAsia" w:hAnsi="Calibri" w:cstheme="majorBidi"/>
          <w:color w:val="1F497D" w:themeColor="text2"/>
          <w:sz w:val="30"/>
          <w:szCs w:val="30"/>
          <w:lang w:val="en-US" w:eastAsia="en-US"/>
        </w:rPr>
        <w:t xml:space="preserve">Social housing needs in the </w:t>
      </w:r>
      <w:proofErr w:type="gramStart"/>
      <w:r w:rsidRPr="00B11EB4">
        <w:rPr>
          <w:rFonts w:ascii="Calibri" w:eastAsiaTheme="majorEastAsia" w:hAnsi="Calibri" w:cstheme="majorBidi"/>
          <w:color w:val="1F497D" w:themeColor="text2"/>
          <w:sz w:val="30"/>
          <w:szCs w:val="30"/>
          <w:lang w:val="en-US" w:eastAsia="en-US"/>
        </w:rPr>
        <w:t>EAH</w:t>
      </w:r>
      <w:r w:rsidR="00F5057B" w:rsidRPr="00B11EB4">
        <w:rPr>
          <w:rFonts w:ascii="Calibri" w:eastAsiaTheme="majorEastAsia" w:hAnsi="Calibri" w:cstheme="majorBidi"/>
          <w:color w:val="1F497D" w:themeColor="text2"/>
          <w:sz w:val="30"/>
          <w:szCs w:val="30"/>
          <w:lang w:val="en-US" w:eastAsia="en-US"/>
        </w:rPr>
        <w:t xml:space="preserve">A </w:t>
      </w:r>
      <w:r w:rsidRPr="00B11EB4">
        <w:rPr>
          <w:rFonts w:ascii="Calibri" w:eastAsiaTheme="majorEastAsia" w:hAnsi="Calibri" w:cstheme="majorBidi"/>
          <w:color w:val="1F497D" w:themeColor="text2"/>
          <w:sz w:val="30"/>
          <w:szCs w:val="30"/>
          <w:lang w:val="en-US" w:eastAsia="en-US"/>
        </w:rPr>
        <w:t xml:space="preserve"> –</w:t>
      </w:r>
      <w:proofErr w:type="gramEnd"/>
      <w:r w:rsidRPr="00B11EB4">
        <w:rPr>
          <w:rFonts w:ascii="Calibri" w:eastAsiaTheme="majorEastAsia" w:hAnsi="Calibri" w:cstheme="majorBidi"/>
          <w:color w:val="1F497D" w:themeColor="text2"/>
          <w:sz w:val="30"/>
          <w:szCs w:val="30"/>
          <w:lang w:val="en-US" w:eastAsia="en-US"/>
        </w:rPr>
        <w:t xml:space="preserve"> an analysis of change – 2010, 2014, </w:t>
      </w:r>
      <w:r w:rsidR="009A7B22" w:rsidRPr="00B11EB4">
        <w:rPr>
          <w:rFonts w:ascii="Calibri" w:eastAsiaTheme="majorEastAsia" w:hAnsi="Calibri" w:cstheme="majorBidi"/>
          <w:color w:val="1F497D" w:themeColor="text2"/>
          <w:sz w:val="30"/>
          <w:szCs w:val="30"/>
          <w:lang w:val="en-US" w:eastAsia="en-US"/>
        </w:rPr>
        <w:t>2017 reviews</w:t>
      </w:r>
    </w:p>
    <w:p w:rsidR="00F031B0" w:rsidRPr="003F5A77" w:rsidRDefault="00F031B0" w:rsidP="000044F0">
      <w:pPr>
        <w:ind w:left="-851"/>
        <w:rPr>
          <w:rFonts w:asciiTheme="minorHAnsi" w:hAnsiTheme="minorHAnsi" w:cs="Arial"/>
          <w:b/>
          <w:color w:val="000000" w:themeColor="text1"/>
          <w:sz w:val="22"/>
          <w:szCs w:val="22"/>
        </w:rPr>
      </w:pPr>
    </w:p>
    <w:p w:rsidR="00F031B0" w:rsidRPr="003F5A77" w:rsidRDefault="00820F8D"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previous (second) analysis of social housing need (</w:t>
      </w:r>
      <w:r w:rsidRPr="003F5A77">
        <w:rPr>
          <w:rFonts w:asciiTheme="minorHAnsi" w:hAnsiTheme="minorHAnsi" w:cs="Arial"/>
          <w:b/>
          <w:color w:val="000000" w:themeColor="text1"/>
          <w:sz w:val="22"/>
          <w:szCs w:val="22"/>
        </w:rPr>
        <w:t>May, 2014</w:t>
      </w:r>
      <w:r w:rsidRPr="003F5A77">
        <w:rPr>
          <w:rFonts w:asciiTheme="minorHAnsi" w:hAnsiTheme="minorHAnsi" w:cs="Arial"/>
          <w:color w:val="000000" w:themeColor="text1"/>
          <w:sz w:val="22"/>
          <w:szCs w:val="22"/>
        </w:rPr>
        <w:t xml:space="preserve">) reviewed social and affordable housing calculations in the region based </w:t>
      </w:r>
      <w:proofErr w:type="gramStart"/>
      <w:r w:rsidRPr="003F5A77">
        <w:rPr>
          <w:rFonts w:asciiTheme="minorHAnsi" w:hAnsiTheme="minorHAnsi" w:cs="Arial"/>
          <w:color w:val="000000" w:themeColor="text1"/>
          <w:sz w:val="22"/>
          <w:szCs w:val="22"/>
        </w:rPr>
        <w:t>on :</w:t>
      </w:r>
      <w:proofErr w:type="gramEnd"/>
    </w:p>
    <w:p w:rsidR="00F031B0" w:rsidRPr="003F5A77" w:rsidRDefault="00F031B0" w:rsidP="000044F0">
      <w:pPr>
        <w:ind w:left="-851"/>
        <w:rPr>
          <w:rFonts w:asciiTheme="minorHAnsi" w:hAnsiTheme="minorHAnsi" w:cs="Arial"/>
          <w:b/>
          <w:sz w:val="22"/>
          <w:szCs w:val="22"/>
        </w:rPr>
      </w:pPr>
    </w:p>
    <w:p w:rsidR="00820F8D" w:rsidRPr="003F5A77" w:rsidRDefault="00820F8D" w:rsidP="003F5A77">
      <w:pPr>
        <w:pStyle w:val="ListParagraph"/>
        <w:numPr>
          <w:ilvl w:val="0"/>
          <w:numId w:val="6"/>
        </w:numPr>
        <w:spacing w:after="120"/>
        <w:ind w:left="-426" w:hanging="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2011 Census (ABS) data;</w:t>
      </w:r>
    </w:p>
    <w:p w:rsidR="00820F8D" w:rsidRPr="003F5A77" w:rsidRDefault="00820F8D" w:rsidP="003F5A77">
      <w:pPr>
        <w:pStyle w:val="ListParagraph"/>
        <w:numPr>
          <w:ilvl w:val="0"/>
          <w:numId w:val="6"/>
        </w:numPr>
        <w:spacing w:after="120"/>
        <w:ind w:left="-426" w:hanging="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household projections based on .id 2014 and VIF 2014; and</w:t>
      </w:r>
    </w:p>
    <w:p w:rsidR="00820F8D" w:rsidRPr="003F5A77" w:rsidRDefault="00820F8D" w:rsidP="003F5A77">
      <w:pPr>
        <w:pStyle w:val="ListParagraph"/>
        <w:numPr>
          <w:ilvl w:val="0"/>
          <w:numId w:val="6"/>
        </w:numPr>
        <w:spacing w:after="120"/>
        <w:ind w:left="-426" w:hanging="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affordable rental statistics (DHS</w:t>
      </w:r>
      <w:proofErr w:type="gramStart"/>
      <w:r w:rsidRPr="003F5A77">
        <w:rPr>
          <w:rFonts w:asciiTheme="minorHAnsi" w:hAnsiTheme="minorHAnsi" w:cs="Arial"/>
          <w:color w:val="000000" w:themeColor="text1"/>
          <w:sz w:val="22"/>
          <w:szCs w:val="22"/>
        </w:rPr>
        <w:t>),  June</w:t>
      </w:r>
      <w:proofErr w:type="gramEnd"/>
      <w:r w:rsidRPr="003F5A77">
        <w:rPr>
          <w:rFonts w:asciiTheme="minorHAnsi" w:hAnsiTheme="minorHAnsi" w:cs="Arial"/>
          <w:color w:val="000000" w:themeColor="text1"/>
          <w:sz w:val="22"/>
          <w:szCs w:val="22"/>
        </w:rPr>
        <w:t xml:space="preserve"> quarter, 2012 to March quarter, 2014).</w:t>
      </w:r>
    </w:p>
    <w:p w:rsidR="00790EC5" w:rsidRPr="003F5A77" w:rsidRDefault="00790EC5" w:rsidP="000044F0">
      <w:pPr>
        <w:pStyle w:val="ListParagraph"/>
        <w:ind w:left="-851"/>
        <w:rPr>
          <w:rFonts w:asciiTheme="minorHAnsi" w:hAnsiTheme="minorHAnsi" w:cs="Arial"/>
          <w:color w:val="000000" w:themeColor="text1"/>
          <w:sz w:val="22"/>
          <w:szCs w:val="22"/>
        </w:rPr>
      </w:pPr>
    </w:p>
    <w:p w:rsidR="00790EC5" w:rsidRPr="003F5A77" w:rsidRDefault="00790EC5"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current analysis (November, 2017) revis</w:t>
      </w:r>
      <w:r w:rsidR="003F5A77">
        <w:rPr>
          <w:rFonts w:asciiTheme="minorHAnsi" w:hAnsiTheme="minorHAnsi" w:cs="Arial"/>
          <w:color w:val="000000" w:themeColor="text1"/>
          <w:sz w:val="22"/>
          <w:szCs w:val="22"/>
        </w:rPr>
        <w:t xml:space="preserve">es the calculations </w:t>
      </w:r>
      <w:proofErr w:type="gramStart"/>
      <w:r w:rsidR="003F5A77">
        <w:rPr>
          <w:rFonts w:asciiTheme="minorHAnsi" w:hAnsiTheme="minorHAnsi" w:cs="Arial"/>
          <w:color w:val="000000" w:themeColor="text1"/>
          <w:sz w:val="22"/>
          <w:szCs w:val="22"/>
        </w:rPr>
        <w:t>in light of</w:t>
      </w:r>
      <w:proofErr w:type="gramEnd"/>
      <w:r w:rsidR="003F5A77">
        <w:rPr>
          <w:rFonts w:asciiTheme="minorHAnsi" w:hAnsiTheme="minorHAnsi" w:cs="Arial"/>
          <w:color w:val="000000" w:themeColor="text1"/>
          <w:sz w:val="22"/>
          <w:szCs w:val="22"/>
        </w:rPr>
        <w:t>:</w:t>
      </w:r>
    </w:p>
    <w:p w:rsidR="00790EC5" w:rsidRPr="003F5A77" w:rsidRDefault="00790EC5" w:rsidP="000044F0">
      <w:pPr>
        <w:ind w:left="-851"/>
        <w:rPr>
          <w:rFonts w:asciiTheme="minorHAnsi" w:hAnsiTheme="minorHAnsi" w:cs="Arial"/>
          <w:color w:val="000000" w:themeColor="text1"/>
          <w:sz w:val="22"/>
          <w:szCs w:val="22"/>
        </w:rPr>
      </w:pPr>
    </w:p>
    <w:p w:rsidR="00790EC5" w:rsidRPr="003F5A77" w:rsidRDefault="00790EC5" w:rsidP="003F5A77">
      <w:pPr>
        <w:pStyle w:val="ListParagraph"/>
        <w:numPr>
          <w:ilvl w:val="0"/>
          <w:numId w:val="7"/>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2016 Census</w:t>
      </w:r>
      <w:r w:rsidRPr="003F5A77">
        <w:rPr>
          <w:rFonts w:asciiTheme="minorHAnsi" w:hAnsiTheme="minorHAnsi" w:cs="Arial"/>
          <w:color w:val="000000" w:themeColor="text1"/>
          <w:sz w:val="22"/>
          <w:szCs w:val="22"/>
        </w:rPr>
        <w:t xml:space="preserve"> </w:t>
      </w:r>
      <w:r w:rsidRPr="003F5A77">
        <w:rPr>
          <w:rFonts w:asciiTheme="minorHAnsi" w:hAnsiTheme="minorHAnsi" w:cs="Arial"/>
          <w:b/>
          <w:color w:val="000000" w:themeColor="text1"/>
          <w:sz w:val="22"/>
          <w:szCs w:val="22"/>
        </w:rPr>
        <w:t>(ABS)</w:t>
      </w:r>
      <w:r w:rsidRPr="003F5A77">
        <w:rPr>
          <w:rFonts w:asciiTheme="minorHAnsi" w:hAnsiTheme="minorHAnsi" w:cs="Arial"/>
          <w:color w:val="000000" w:themeColor="text1"/>
          <w:sz w:val="22"/>
          <w:szCs w:val="22"/>
        </w:rPr>
        <w:t xml:space="preserve"> </w:t>
      </w:r>
      <w:r w:rsidRPr="003F5A77">
        <w:rPr>
          <w:rFonts w:asciiTheme="minorHAnsi" w:hAnsiTheme="minorHAnsi" w:cs="Arial"/>
          <w:b/>
          <w:color w:val="000000" w:themeColor="text1"/>
          <w:sz w:val="22"/>
          <w:szCs w:val="22"/>
        </w:rPr>
        <w:t>data</w:t>
      </w:r>
      <w:r w:rsidR="003F5A77">
        <w:rPr>
          <w:rFonts w:asciiTheme="minorHAnsi" w:hAnsiTheme="minorHAnsi" w:cs="Arial"/>
          <w:b/>
          <w:color w:val="000000" w:themeColor="text1"/>
          <w:sz w:val="22"/>
          <w:szCs w:val="22"/>
        </w:rPr>
        <w:t>;</w:t>
      </w:r>
    </w:p>
    <w:p w:rsidR="00790EC5" w:rsidRPr="003F5A77" w:rsidRDefault="00790EC5" w:rsidP="003F5A77">
      <w:pPr>
        <w:pStyle w:val="ListParagraph"/>
        <w:numPr>
          <w:ilvl w:val="0"/>
          <w:numId w:val="7"/>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color w:val="000000" w:themeColor="text1"/>
          <w:sz w:val="22"/>
          <w:szCs w:val="22"/>
        </w:rPr>
        <w:t>updated household projections (</w:t>
      </w:r>
      <w:r w:rsidRPr="003F5A77">
        <w:rPr>
          <w:rFonts w:asciiTheme="minorHAnsi" w:hAnsiTheme="minorHAnsi" w:cs="Arial"/>
          <w:b/>
          <w:color w:val="000000" w:themeColor="text1"/>
          <w:sz w:val="22"/>
          <w:szCs w:val="22"/>
        </w:rPr>
        <w:t xml:space="preserve">.id 2016 preliminary rebase </w:t>
      </w:r>
      <w:r w:rsidRPr="003F5A77">
        <w:rPr>
          <w:rFonts w:asciiTheme="minorHAnsi" w:hAnsiTheme="minorHAnsi" w:cs="Arial"/>
          <w:color w:val="000000" w:themeColor="text1"/>
          <w:sz w:val="22"/>
          <w:szCs w:val="22"/>
        </w:rPr>
        <w:t xml:space="preserve">and </w:t>
      </w:r>
      <w:r w:rsidRPr="003F5A77">
        <w:rPr>
          <w:rFonts w:asciiTheme="minorHAnsi" w:hAnsiTheme="minorHAnsi" w:cs="Arial"/>
          <w:b/>
          <w:color w:val="000000" w:themeColor="text1"/>
          <w:sz w:val="22"/>
          <w:szCs w:val="22"/>
        </w:rPr>
        <w:t>VIF 2016</w:t>
      </w:r>
      <w:r w:rsidRPr="003F5A77">
        <w:rPr>
          <w:rFonts w:asciiTheme="minorHAnsi" w:hAnsiTheme="minorHAnsi" w:cs="Arial"/>
          <w:color w:val="000000" w:themeColor="text1"/>
          <w:sz w:val="22"/>
          <w:szCs w:val="22"/>
        </w:rPr>
        <w:t>); and</w:t>
      </w:r>
    </w:p>
    <w:p w:rsidR="00790EC5" w:rsidRPr="003F5A77" w:rsidRDefault="00790EC5" w:rsidP="003F5A77">
      <w:pPr>
        <w:pStyle w:val="ListParagraph"/>
        <w:numPr>
          <w:ilvl w:val="0"/>
          <w:numId w:val="7"/>
        </w:numPr>
        <w:spacing w:after="120"/>
        <w:ind w:left="-426" w:hanging="425"/>
        <w:contextualSpacing w:val="0"/>
        <w:rPr>
          <w:rFonts w:asciiTheme="minorHAnsi" w:hAnsiTheme="minorHAnsi" w:cs="Arial"/>
          <w:b/>
          <w:color w:val="000000" w:themeColor="text1"/>
          <w:sz w:val="22"/>
          <w:szCs w:val="22"/>
        </w:rPr>
      </w:pPr>
      <w:r w:rsidRPr="003F5A77">
        <w:rPr>
          <w:rFonts w:asciiTheme="minorHAnsi" w:hAnsiTheme="minorHAnsi" w:cs="Arial"/>
          <w:color w:val="000000" w:themeColor="text1"/>
          <w:sz w:val="22"/>
          <w:szCs w:val="22"/>
        </w:rPr>
        <w:t>affordable rental statistics (</w:t>
      </w:r>
      <w:r w:rsidRPr="003F5A77">
        <w:rPr>
          <w:rFonts w:asciiTheme="minorHAnsi" w:hAnsiTheme="minorHAnsi" w:cs="Arial"/>
          <w:b/>
          <w:color w:val="000000" w:themeColor="text1"/>
          <w:sz w:val="22"/>
          <w:szCs w:val="22"/>
        </w:rPr>
        <w:t>DHHS</w:t>
      </w:r>
      <w:r w:rsidRPr="003F5A77">
        <w:rPr>
          <w:rFonts w:asciiTheme="minorHAnsi" w:hAnsiTheme="minorHAnsi" w:cs="Arial"/>
          <w:color w:val="000000" w:themeColor="text1"/>
          <w:sz w:val="22"/>
          <w:szCs w:val="22"/>
        </w:rPr>
        <w:t>), September quarter, 2015 to June quarter, 2017)</w:t>
      </w:r>
      <w:r w:rsidR="003F5A77">
        <w:rPr>
          <w:rFonts w:asciiTheme="minorHAnsi" w:hAnsiTheme="minorHAnsi" w:cs="Arial"/>
          <w:color w:val="000000" w:themeColor="text1"/>
          <w:sz w:val="22"/>
          <w:szCs w:val="22"/>
        </w:rPr>
        <w:t>.</w:t>
      </w:r>
    </w:p>
    <w:p w:rsidR="00790EC5" w:rsidRPr="003F5A77" w:rsidRDefault="00790EC5" w:rsidP="000044F0">
      <w:pPr>
        <w:ind w:left="-851"/>
        <w:rPr>
          <w:rFonts w:asciiTheme="minorHAnsi" w:hAnsiTheme="minorHAnsi" w:cs="Arial"/>
          <w:b/>
          <w:sz w:val="22"/>
          <w:szCs w:val="22"/>
        </w:rPr>
      </w:pPr>
    </w:p>
    <w:p w:rsidR="00790EC5" w:rsidRPr="003F5A77" w:rsidRDefault="00790EC5"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ability to review shortfall calculations in line with updated data on local (and possibly changing conditions) was seen to be a major benefit of the method for defining a minimum supply of social housing.</w:t>
      </w:r>
    </w:p>
    <w:p w:rsidR="00790EC5" w:rsidRPr="003F5A77" w:rsidRDefault="00790EC5" w:rsidP="000044F0">
      <w:pPr>
        <w:ind w:left="-851"/>
        <w:rPr>
          <w:rFonts w:asciiTheme="minorHAnsi" w:hAnsiTheme="minorHAnsi" w:cs="Arial"/>
          <w:color w:val="000000" w:themeColor="text1"/>
          <w:sz w:val="22"/>
          <w:szCs w:val="22"/>
        </w:rPr>
      </w:pPr>
    </w:p>
    <w:p w:rsidR="00790EC5" w:rsidRPr="003F5A77" w:rsidRDefault="00790EC5"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following</w:t>
      </w:r>
      <w:r w:rsidR="00066B98" w:rsidRPr="003F5A77">
        <w:rPr>
          <w:rFonts w:asciiTheme="minorHAnsi" w:hAnsiTheme="minorHAnsi" w:cs="Arial"/>
          <w:color w:val="000000" w:themeColor="text1"/>
          <w:sz w:val="22"/>
          <w:szCs w:val="22"/>
        </w:rPr>
        <w:t xml:space="preserve"> discussion</w:t>
      </w:r>
      <w:r w:rsidRPr="003F5A77">
        <w:rPr>
          <w:rFonts w:asciiTheme="minorHAnsi" w:hAnsiTheme="minorHAnsi" w:cs="Arial"/>
          <w:color w:val="000000" w:themeColor="text1"/>
          <w:sz w:val="22"/>
          <w:szCs w:val="22"/>
        </w:rPr>
        <w:t xml:space="preserve"> updates components of the social housing supply calculation and summarises change in social/low-cost housing need between reviews undertaken in 2010, 2014 and most recently, 2017.</w:t>
      </w:r>
    </w:p>
    <w:p w:rsidR="00790EC5" w:rsidRPr="003F5A77" w:rsidRDefault="00790EC5" w:rsidP="000044F0">
      <w:pPr>
        <w:ind w:left="-851"/>
        <w:rPr>
          <w:rFonts w:asciiTheme="minorHAnsi" w:hAnsiTheme="minorHAnsi" w:cs="Arial"/>
          <w:b/>
          <w:sz w:val="22"/>
          <w:szCs w:val="22"/>
        </w:rPr>
      </w:pPr>
    </w:p>
    <w:p w:rsidR="00790EC5" w:rsidRPr="003F5A77" w:rsidRDefault="00790EC5" w:rsidP="000044F0">
      <w:pPr>
        <w:ind w:left="-851"/>
        <w:rPr>
          <w:rFonts w:asciiTheme="minorHAnsi" w:hAnsiTheme="minorHAnsi" w:cs="Arial"/>
          <w:b/>
          <w:sz w:val="22"/>
          <w:szCs w:val="22"/>
        </w:rPr>
      </w:pPr>
    </w:p>
    <w:p w:rsidR="00790EC5" w:rsidRPr="003F5A77" w:rsidRDefault="00790EC5" w:rsidP="000044F0">
      <w:pPr>
        <w:ind w:left="-851"/>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The target market </w:t>
      </w:r>
      <w:r w:rsidRPr="003F5A77">
        <w:rPr>
          <w:rFonts w:asciiTheme="minorHAnsi" w:hAnsiTheme="minorHAnsi" w:cs="Arial"/>
          <w:color w:val="000000" w:themeColor="text1"/>
          <w:sz w:val="22"/>
          <w:szCs w:val="22"/>
        </w:rPr>
        <w:t>(Data source; ABS Census, 2006, 2011, 2016)</w:t>
      </w:r>
    </w:p>
    <w:p w:rsidR="00790EC5" w:rsidRPr="003F5A77" w:rsidRDefault="00790EC5" w:rsidP="000044F0">
      <w:pPr>
        <w:ind w:left="-851"/>
        <w:rPr>
          <w:rFonts w:asciiTheme="minorHAnsi" w:hAnsiTheme="minorHAnsi" w:cs="Arial"/>
          <w:color w:val="000000" w:themeColor="text1"/>
          <w:sz w:val="22"/>
          <w:szCs w:val="22"/>
        </w:rPr>
      </w:pPr>
    </w:p>
    <w:p w:rsidR="00790EC5" w:rsidRPr="003F5A77" w:rsidRDefault="00790EC5" w:rsidP="000044F0">
      <w:pPr>
        <w:ind w:left="-851"/>
        <w:rPr>
          <w:rFonts w:asciiTheme="minorHAnsi" w:hAnsiTheme="minorHAnsi" w:cs="Arial"/>
          <w:sz w:val="22"/>
          <w:szCs w:val="22"/>
        </w:rPr>
      </w:pPr>
      <w:r w:rsidRPr="003F5A77">
        <w:rPr>
          <w:rFonts w:asciiTheme="minorHAnsi" w:hAnsiTheme="minorHAnsi" w:cs="Arial"/>
          <w:color w:val="000000" w:themeColor="text1"/>
          <w:sz w:val="22"/>
          <w:szCs w:val="22"/>
        </w:rPr>
        <w:t xml:space="preserve">Defined as </w:t>
      </w:r>
      <w:r w:rsidRPr="003F5A77">
        <w:rPr>
          <w:rFonts w:asciiTheme="minorHAnsi" w:hAnsiTheme="minorHAnsi" w:cs="Arial"/>
          <w:sz w:val="22"/>
          <w:szCs w:val="22"/>
        </w:rPr>
        <w:t xml:space="preserve">those in the lowest 10% of household incomes nationally, that </w:t>
      </w:r>
      <w:r w:rsidRPr="003F5A77">
        <w:rPr>
          <w:rFonts w:asciiTheme="minorHAnsi" w:hAnsiTheme="minorHAnsi" w:cs="Arial"/>
          <w:i/>
          <w:sz w:val="22"/>
          <w:szCs w:val="22"/>
        </w:rPr>
        <w:t>do not own their own home.</w:t>
      </w:r>
    </w:p>
    <w:p w:rsidR="00790EC5" w:rsidRPr="003F5A77" w:rsidRDefault="00790EC5" w:rsidP="000044F0">
      <w:pPr>
        <w:ind w:left="-851"/>
        <w:rPr>
          <w:rFonts w:asciiTheme="minorHAnsi" w:hAnsiTheme="minorHAnsi" w:cs="Arial"/>
          <w:b/>
          <w:sz w:val="22"/>
          <w:szCs w:val="22"/>
        </w:rPr>
      </w:pPr>
    </w:p>
    <w:p w:rsidR="00E846C5" w:rsidRPr="003F5A77" w:rsidRDefault="00790EC5" w:rsidP="00232A15">
      <w:pPr>
        <w:pStyle w:val="ListParagraph"/>
        <w:numPr>
          <w:ilvl w:val="0"/>
          <w:numId w:val="8"/>
        </w:numPr>
        <w:spacing w:after="120"/>
        <w:ind w:left="-425" w:hanging="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Since the</w:t>
      </w:r>
      <w:r w:rsidR="003E214D" w:rsidRPr="003F5A77">
        <w:rPr>
          <w:rFonts w:asciiTheme="minorHAnsi" w:hAnsiTheme="minorHAnsi" w:cs="Arial"/>
          <w:color w:val="000000" w:themeColor="text1"/>
          <w:sz w:val="22"/>
          <w:szCs w:val="22"/>
        </w:rPr>
        <w:t xml:space="preserve"> 2014 review (based on</w:t>
      </w:r>
      <w:r w:rsidRPr="003F5A77">
        <w:rPr>
          <w:rFonts w:asciiTheme="minorHAnsi" w:hAnsiTheme="minorHAnsi" w:cs="Arial"/>
          <w:color w:val="000000" w:themeColor="text1"/>
          <w:sz w:val="22"/>
          <w:szCs w:val="22"/>
        </w:rPr>
        <w:t xml:space="preserve"> 2011 Census</w:t>
      </w:r>
      <w:r w:rsidR="003A6BB0" w:rsidRPr="003F5A77">
        <w:rPr>
          <w:rFonts w:asciiTheme="minorHAnsi" w:hAnsiTheme="minorHAnsi" w:cs="Arial"/>
          <w:color w:val="000000" w:themeColor="text1"/>
          <w:sz w:val="22"/>
          <w:szCs w:val="22"/>
        </w:rPr>
        <w:t>)</w:t>
      </w:r>
      <w:r w:rsidRPr="003F5A77">
        <w:rPr>
          <w:rFonts w:asciiTheme="minorHAnsi" w:hAnsiTheme="minorHAnsi" w:cs="Arial"/>
          <w:color w:val="000000" w:themeColor="text1"/>
          <w:sz w:val="22"/>
          <w:szCs w:val="22"/>
        </w:rPr>
        <w:t xml:space="preserve"> there has been a</w:t>
      </w:r>
      <w:r w:rsidR="00EB5DBD" w:rsidRPr="003F5A77">
        <w:rPr>
          <w:rFonts w:asciiTheme="minorHAnsi" w:hAnsiTheme="minorHAnsi" w:cs="Arial"/>
          <w:color w:val="000000" w:themeColor="text1"/>
          <w:sz w:val="22"/>
          <w:szCs w:val="22"/>
        </w:rPr>
        <w:t>n</w:t>
      </w:r>
      <w:r w:rsidRPr="003F5A77">
        <w:rPr>
          <w:rFonts w:asciiTheme="minorHAnsi" w:hAnsiTheme="minorHAnsi" w:cs="Arial"/>
          <w:color w:val="000000" w:themeColor="text1"/>
          <w:sz w:val="22"/>
          <w:szCs w:val="22"/>
        </w:rPr>
        <w:t xml:space="preserve"> </w:t>
      </w:r>
      <w:r w:rsidR="001577ED" w:rsidRPr="003F5A77">
        <w:rPr>
          <w:rFonts w:asciiTheme="minorHAnsi" w:hAnsiTheme="minorHAnsi" w:cs="Arial"/>
          <w:b/>
          <w:color w:val="000000" w:themeColor="text1"/>
          <w:sz w:val="22"/>
          <w:szCs w:val="22"/>
        </w:rPr>
        <w:t>7</w:t>
      </w:r>
      <w:r w:rsidR="003E214D" w:rsidRPr="003F5A77">
        <w:rPr>
          <w:rFonts w:asciiTheme="minorHAnsi" w:hAnsiTheme="minorHAnsi" w:cs="Arial"/>
          <w:b/>
          <w:color w:val="000000" w:themeColor="text1"/>
          <w:sz w:val="22"/>
          <w:szCs w:val="22"/>
        </w:rPr>
        <w:t>%</w:t>
      </w:r>
      <w:r w:rsidR="003E214D" w:rsidRPr="003F5A77">
        <w:rPr>
          <w:rFonts w:asciiTheme="minorHAnsi" w:hAnsiTheme="minorHAnsi" w:cs="Arial"/>
          <w:color w:val="000000" w:themeColor="text1"/>
          <w:sz w:val="22"/>
          <w:szCs w:val="22"/>
        </w:rPr>
        <w:t xml:space="preserve"> </w:t>
      </w:r>
      <w:r w:rsidR="00EB5DBD" w:rsidRPr="003F5A77">
        <w:rPr>
          <w:rFonts w:asciiTheme="minorHAnsi" w:hAnsiTheme="minorHAnsi" w:cs="Arial"/>
          <w:b/>
          <w:i/>
          <w:color w:val="000000" w:themeColor="text1"/>
          <w:sz w:val="22"/>
          <w:szCs w:val="22"/>
        </w:rPr>
        <w:t>increase</w:t>
      </w:r>
      <w:r w:rsidRPr="003F5A77">
        <w:rPr>
          <w:rFonts w:asciiTheme="minorHAnsi" w:hAnsiTheme="minorHAnsi" w:cs="Arial"/>
          <w:b/>
          <w:color w:val="000000" w:themeColor="text1"/>
          <w:sz w:val="22"/>
          <w:szCs w:val="22"/>
        </w:rPr>
        <w:t xml:space="preserve"> </w:t>
      </w:r>
      <w:r w:rsidRPr="003F5A77">
        <w:rPr>
          <w:rFonts w:asciiTheme="minorHAnsi" w:hAnsiTheme="minorHAnsi" w:cs="Arial"/>
          <w:color w:val="000000" w:themeColor="text1"/>
          <w:sz w:val="22"/>
          <w:szCs w:val="22"/>
        </w:rPr>
        <w:t>in the number and percentage of households</w:t>
      </w:r>
      <w:r w:rsidR="00EB5DBD" w:rsidRPr="003F5A77">
        <w:rPr>
          <w:rFonts w:asciiTheme="minorHAnsi" w:hAnsiTheme="minorHAnsi" w:cs="Arial"/>
          <w:color w:val="000000" w:themeColor="text1"/>
          <w:sz w:val="22"/>
          <w:szCs w:val="22"/>
        </w:rPr>
        <w:t xml:space="preserve"> in the </w:t>
      </w:r>
      <w:r w:rsidR="00EB5DBD" w:rsidRPr="003F5A77">
        <w:rPr>
          <w:rFonts w:asciiTheme="minorHAnsi" w:hAnsiTheme="minorHAnsi" w:cs="Arial"/>
          <w:i/>
          <w:color w:val="000000" w:themeColor="text1"/>
          <w:sz w:val="22"/>
          <w:szCs w:val="22"/>
        </w:rPr>
        <w:t>lowest</w:t>
      </w:r>
      <w:r w:rsidR="00EB5DBD" w:rsidRPr="003F5A77">
        <w:rPr>
          <w:rFonts w:asciiTheme="minorHAnsi" w:hAnsiTheme="minorHAnsi" w:cs="Arial"/>
          <w:color w:val="000000" w:themeColor="text1"/>
          <w:sz w:val="22"/>
          <w:szCs w:val="22"/>
        </w:rPr>
        <w:t xml:space="preserve"> 10% of household incomes </w:t>
      </w:r>
      <w:r w:rsidR="003E214D" w:rsidRPr="003F5A77">
        <w:rPr>
          <w:rFonts w:asciiTheme="minorHAnsi" w:hAnsiTheme="minorHAnsi" w:cs="Arial"/>
          <w:color w:val="000000" w:themeColor="text1"/>
          <w:sz w:val="22"/>
          <w:szCs w:val="22"/>
        </w:rPr>
        <w:t>(</w:t>
      </w:r>
      <w:r w:rsidR="00EB5DBD" w:rsidRPr="003F5A77">
        <w:rPr>
          <w:rFonts w:asciiTheme="minorHAnsi" w:hAnsiTheme="minorHAnsi" w:cs="Arial"/>
          <w:color w:val="000000" w:themeColor="text1"/>
          <w:sz w:val="22"/>
          <w:szCs w:val="22"/>
        </w:rPr>
        <w:t>nationally</w:t>
      </w:r>
      <w:r w:rsidR="003E214D" w:rsidRPr="003F5A77">
        <w:rPr>
          <w:rFonts w:asciiTheme="minorHAnsi" w:hAnsiTheme="minorHAnsi" w:cs="Arial"/>
          <w:color w:val="000000" w:themeColor="text1"/>
          <w:sz w:val="22"/>
          <w:szCs w:val="22"/>
        </w:rPr>
        <w:t>)</w:t>
      </w:r>
      <w:r w:rsidR="00EB5DBD" w:rsidRPr="003F5A77">
        <w:rPr>
          <w:rFonts w:asciiTheme="minorHAnsi" w:hAnsiTheme="minorHAnsi" w:cs="Arial"/>
          <w:color w:val="000000" w:themeColor="text1"/>
          <w:sz w:val="22"/>
          <w:szCs w:val="22"/>
        </w:rPr>
        <w:t xml:space="preserve">, that do not own their own home </w:t>
      </w:r>
      <w:r w:rsidR="00F66142" w:rsidRPr="003F5A77">
        <w:rPr>
          <w:rFonts w:asciiTheme="minorHAnsi" w:hAnsiTheme="minorHAnsi" w:cs="Arial"/>
          <w:color w:val="000000" w:themeColor="text1"/>
          <w:sz w:val="22"/>
          <w:szCs w:val="22"/>
        </w:rPr>
        <w:t>–</w:t>
      </w:r>
      <w:r w:rsidR="00EE7834" w:rsidRPr="003F5A77">
        <w:rPr>
          <w:rFonts w:asciiTheme="minorHAnsi" w:hAnsiTheme="minorHAnsi" w:cs="Arial"/>
          <w:color w:val="000000" w:themeColor="text1"/>
          <w:sz w:val="22"/>
          <w:szCs w:val="22"/>
        </w:rPr>
        <w:t xml:space="preserve"> </w:t>
      </w:r>
      <w:r w:rsidR="003A6BB0" w:rsidRPr="003F5A77">
        <w:rPr>
          <w:rFonts w:asciiTheme="minorHAnsi" w:hAnsiTheme="minorHAnsi" w:cs="Arial"/>
          <w:color w:val="000000" w:themeColor="text1"/>
          <w:sz w:val="22"/>
          <w:szCs w:val="22"/>
        </w:rPr>
        <w:t xml:space="preserve">that </w:t>
      </w:r>
      <w:proofErr w:type="gramStart"/>
      <w:r w:rsidR="003A6BB0" w:rsidRPr="003F5A77">
        <w:rPr>
          <w:rFonts w:asciiTheme="minorHAnsi" w:hAnsiTheme="minorHAnsi" w:cs="Arial"/>
          <w:color w:val="000000" w:themeColor="text1"/>
          <w:sz w:val="22"/>
          <w:szCs w:val="22"/>
        </w:rPr>
        <w:t>are</w:t>
      </w:r>
      <w:r w:rsidR="00EB5DBD" w:rsidRPr="003F5A77">
        <w:rPr>
          <w:rFonts w:asciiTheme="minorHAnsi" w:hAnsiTheme="minorHAnsi" w:cs="Arial"/>
          <w:color w:val="000000" w:themeColor="text1"/>
          <w:sz w:val="22"/>
          <w:szCs w:val="22"/>
        </w:rPr>
        <w:t xml:space="preserve"> located</w:t>
      </w:r>
      <w:r w:rsidR="00066B98" w:rsidRPr="003F5A77">
        <w:rPr>
          <w:rFonts w:asciiTheme="minorHAnsi" w:hAnsiTheme="minorHAnsi" w:cs="Arial"/>
          <w:color w:val="000000" w:themeColor="text1"/>
          <w:sz w:val="22"/>
          <w:szCs w:val="22"/>
        </w:rPr>
        <w:t xml:space="preserve"> in</w:t>
      </w:r>
      <w:proofErr w:type="gramEnd"/>
      <w:r w:rsidR="00066B98" w:rsidRPr="003F5A77">
        <w:rPr>
          <w:rFonts w:asciiTheme="minorHAnsi" w:hAnsiTheme="minorHAnsi" w:cs="Arial"/>
          <w:color w:val="000000" w:themeColor="text1"/>
          <w:sz w:val="22"/>
          <w:szCs w:val="22"/>
        </w:rPr>
        <w:t xml:space="preserve"> the EAHA region.</w:t>
      </w:r>
      <w:r w:rsidR="00EB5DBD" w:rsidRPr="003F5A77">
        <w:rPr>
          <w:rFonts w:asciiTheme="minorHAnsi" w:hAnsiTheme="minorHAnsi" w:cs="Arial"/>
          <w:color w:val="000000" w:themeColor="text1"/>
          <w:sz w:val="22"/>
          <w:szCs w:val="22"/>
        </w:rPr>
        <w:t xml:space="preserve"> </w:t>
      </w:r>
    </w:p>
    <w:p w:rsidR="003A6BB0" w:rsidRPr="003F5A77" w:rsidRDefault="00EB5DBD" w:rsidP="00232A15">
      <w:pPr>
        <w:pStyle w:val="ListParagraph"/>
        <w:spacing w:after="120"/>
        <w:ind w:left="-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The regional average has increased from </w:t>
      </w:r>
      <w:r w:rsidR="004E17D9" w:rsidRPr="003F5A77">
        <w:rPr>
          <w:rFonts w:asciiTheme="minorHAnsi" w:hAnsiTheme="minorHAnsi" w:cs="Arial"/>
          <w:color w:val="000000" w:themeColor="text1"/>
          <w:sz w:val="22"/>
          <w:szCs w:val="22"/>
        </w:rPr>
        <w:t>4.9% of households</w:t>
      </w:r>
      <w:r w:rsidR="001577ED" w:rsidRPr="003F5A77">
        <w:rPr>
          <w:rFonts w:asciiTheme="minorHAnsi" w:hAnsiTheme="minorHAnsi" w:cs="Arial"/>
          <w:color w:val="000000" w:themeColor="text1"/>
          <w:sz w:val="22"/>
          <w:szCs w:val="22"/>
        </w:rPr>
        <w:t xml:space="preserve"> in 2014</w:t>
      </w:r>
      <w:r w:rsidR="004E17D9" w:rsidRPr="003F5A77">
        <w:rPr>
          <w:rFonts w:asciiTheme="minorHAnsi" w:hAnsiTheme="minorHAnsi" w:cs="Arial"/>
          <w:color w:val="000000" w:themeColor="text1"/>
          <w:sz w:val="22"/>
          <w:szCs w:val="22"/>
        </w:rPr>
        <w:t xml:space="preserve"> to 5.1%</w:t>
      </w:r>
      <w:r w:rsidR="00615282" w:rsidRPr="003F5A77">
        <w:rPr>
          <w:rFonts w:asciiTheme="minorHAnsi" w:hAnsiTheme="minorHAnsi" w:cs="Arial"/>
          <w:color w:val="000000" w:themeColor="text1"/>
          <w:sz w:val="22"/>
          <w:szCs w:val="22"/>
        </w:rPr>
        <w:t xml:space="preserve"> by 2016</w:t>
      </w:r>
      <w:r w:rsidR="004E17D9" w:rsidRPr="003F5A77">
        <w:rPr>
          <w:rFonts w:asciiTheme="minorHAnsi" w:hAnsiTheme="minorHAnsi" w:cs="Arial"/>
          <w:color w:val="000000" w:themeColor="text1"/>
          <w:sz w:val="22"/>
          <w:szCs w:val="22"/>
        </w:rPr>
        <w:t>. Numerically th</w:t>
      </w:r>
      <w:r w:rsidR="001577ED" w:rsidRPr="003F5A77">
        <w:rPr>
          <w:rFonts w:asciiTheme="minorHAnsi" w:hAnsiTheme="minorHAnsi" w:cs="Arial"/>
          <w:color w:val="000000" w:themeColor="text1"/>
          <w:sz w:val="22"/>
          <w:szCs w:val="22"/>
        </w:rPr>
        <w:t>is represents an increase of 119</w:t>
      </w:r>
      <w:r w:rsidR="004E17D9" w:rsidRPr="003F5A77">
        <w:rPr>
          <w:rFonts w:asciiTheme="minorHAnsi" w:hAnsiTheme="minorHAnsi" w:cs="Arial"/>
          <w:color w:val="000000" w:themeColor="text1"/>
          <w:sz w:val="22"/>
          <w:szCs w:val="22"/>
        </w:rPr>
        <w:t>0</w:t>
      </w:r>
      <w:r w:rsidR="00F66142" w:rsidRPr="003F5A77">
        <w:rPr>
          <w:rFonts w:asciiTheme="minorHAnsi" w:hAnsiTheme="minorHAnsi" w:cs="Arial"/>
          <w:color w:val="000000" w:themeColor="text1"/>
          <w:sz w:val="22"/>
          <w:szCs w:val="22"/>
        </w:rPr>
        <w:t xml:space="preserve"> </w:t>
      </w:r>
      <w:r w:rsidR="004E17D9" w:rsidRPr="003F5A77">
        <w:rPr>
          <w:rFonts w:asciiTheme="minorHAnsi" w:hAnsiTheme="minorHAnsi" w:cs="Arial"/>
          <w:color w:val="000000" w:themeColor="text1"/>
          <w:sz w:val="22"/>
          <w:szCs w:val="22"/>
        </w:rPr>
        <w:t>households in the</w:t>
      </w:r>
      <w:r w:rsidR="001577ED" w:rsidRPr="003F5A77">
        <w:rPr>
          <w:rFonts w:asciiTheme="minorHAnsi" w:hAnsiTheme="minorHAnsi" w:cs="Arial"/>
          <w:color w:val="000000" w:themeColor="text1"/>
          <w:sz w:val="22"/>
          <w:szCs w:val="22"/>
        </w:rPr>
        <w:t xml:space="preserve"> region -</w:t>
      </w:r>
      <w:r w:rsidR="003E214D" w:rsidRPr="003F5A77">
        <w:rPr>
          <w:rFonts w:asciiTheme="minorHAnsi" w:hAnsiTheme="minorHAnsi" w:cs="Arial"/>
          <w:color w:val="000000" w:themeColor="text1"/>
          <w:sz w:val="22"/>
          <w:szCs w:val="22"/>
        </w:rPr>
        <w:t xml:space="preserve">from </w:t>
      </w:r>
      <w:r w:rsidR="001577ED" w:rsidRPr="003F5A77">
        <w:rPr>
          <w:rFonts w:asciiTheme="minorHAnsi" w:hAnsiTheme="minorHAnsi" w:cs="Arial"/>
          <w:color w:val="000000" w:themeColor="text1"/>
          <w:sz w:val="22"/>
          <w:szCs w:val="22"/>
        </w:rPr>
        <w:t>16,080</w:t>
      </w:r>
      <w:r w:rsidR="00E846C5" w:rsidRPr="003F5A77">
        <w:rPr>
          <w:rFonts w:asciiTheme="minorHAnsi" w:hAnsiTheme="minorHAnsi" w:cs="Arial"/>
          <w:color w:val="000000" w:themeColor="text1"/>
          <w:sz w:val="22"/>
          <w:szCs w:val="22"/>
        </w:rPr>
        <w:t xml:space="preserve"> </w:t>
      </w:r>
      <w:r w:rsidR="001577ED" w:rsidRPr="003F5A77">
        <w:rPr>
          <w:rFonts w:asciiTheme="minorHAnsi" w:hAnsiTheme="minorHAnsi" w:cs="Arial"/>
          <w:color w:val="000000" w:themeColor="text1"/>
          <w:sz w:val="22"/>
          <w:szCs w:val="22"/>
        </w:rPr>
        <w:t>at the</w:t>
      </w:r>
      <w:r w:rsidR="003A6BB0" w:rsidRPr="003F5A77">
        <w:rPr>
          <w:rFonts w:asciiTheme="minorHAnsi" w:hAnsiTheme="minorHAnsi" w:cs="Arial"/>
          <w:color w:val="000000" w:themeColor="text1"/>
          <w:sz w:val="22"/>
          <w:szCs w:val="22"/>
        </w:rPr>
        <w:t xml:space="preserve"> time of the </w:t>
      </w:r>
      <w:r w:rsidR="001577ED" w:rsidRPr="003F5A77">
        <w:rPr>
          <w:rFonts w:asciiTheme="minorHAnsi" w:hAnsiTheme="minorHAnsi" w:cs="Arial"/>
          <w:color w:val="000000" w:themeColor="text1"/>
          <w:sz w:val="22"/>
          <w:szCs w:val="22"/>
        </w:rPr>
        <w:t xml:space="preserve">2014 review- </w:t>
      </w:r>
      <w:proofErr w:type="gramStart"/>
      <w:r w:rsidR="001577ED" w:rsidRPr="003F5A77">
        <w:rPr>
          <w:rFonts w:asciiTheme="minorHAnsi" w:hAnsiTheme="minorHAnsi" w:cs="Arial"/>
          <w:color w:val="000000" w:themeColor="text1"/>
          <w:sz w:val="22"/>
          <w:szCs w:val="22"/>
        </w:rPr>
        <w:t>to  17,270</w:t>
      </w:r>
      <w:proofErr w:type="gramEnd"/>
      <w:r w:rsidR="001577ED" w:rsidRPr="003F5A77">
        <w:rPr>
          <w:rFonts w:asciiTheme="minorHAnsi" w:hAnsiTheme="minorHAnsi" w:cs="Arial"/>
          <w:color w:val="000000" w:themeColor="text1"/>
          <w:sz w:val="22"/>
          <w:szCs w:val="22"/>
        </w:rPr>
        <w:t xml:space="preserve"> by the time of the </w:t>
      </w:r>
      <w:r w:rsidR="003A6BB0" w:rsidRPr="003F5A77">
        <w:rPr>
          <w:rFonts w:asciiTheme="minorHAnsi" w:hAnsiTheme="minorHAnsi" w:cs="Arial"/>
          <w:color w:val="000000" w:themeColor="text1"/>
          <w:sz w:val="22"/>
          <w:szCs w:val="22"/>
        </w:rPr>
        <w:t>current (2017) edition</w:t>
      </w:r>
      <w:r w:rsidR="00615282" w:rsidRPr="003F5A77">
        <w:rPr>
          <w:rFonts w:asciiTheme="minorHAnsi" w:hAnsiTheme="minorHAnsi" w:cs="Arial"/>
          <w:color w:val="000000" w:themeColor="text1"/>
          <w:sz w:val="22"/>
          <w:szCs w:val="22"/>
        </w:rPr>
        <w:t>.</w:t>
      </w:r>
      <w:r w:rsidR="001577ED" w:rsidRPr="003F5A77">
        <w:rPr>
          <w:rFonts w:asciiTheme="minorHAnsi" w:hAnsiTheme="minorHAnsi" w:cs="Arial"/>
          <w:color w:val="000000" w:themeColor="text1"/>
          <w:sz w:val="22"/>
          <w:szCs w:val="22"/>
        </w:rPr>
        <w:t xml:space="preserve"> </w:t>
      </w:r>
    </w:p>
    <w:p w:rsidR="00B7724E" w:rsidRPr="003F5A77" w:rsidRDefault="001577ED" w:rsidP="00232A15">
      <w:pPr>
        <w:pStyle w:val="ListParagraph"/>
        <w:spacing w:after="120"/>
        <w:ind w:left="-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7</w:t>
      </w:r>
      <w:r w:rsidR="00F66142" w:rsidRPr="003F5A77">
        <w:rPr>
          <w:rFonts w:asciiTheme="minorHAnsi" w:hAnsiTheme="minorHAnsi" w:cs="Arial"/>
          <w:color w:val="000000" w:themeColor="text1"/>
          <w:sz w:val="22"/>
          <w:szCs w:val="22"/>
        </w:rPr>
        <w:t>% increase in number of households in the target market</w:t>
      </w:r>
      <w:r w:rsidR="00615282" w:rsidRPr="003F5A77">
        <w:rPr>
          <w:rFonts w:asciiTheme="minorHAnsi" w:hAnsiTheme="minorHAnsi" w:cs="Arial"/>
          <w:color w:val="000000" w:themeColor="text1"/>
          <w:sz w:val="22"/>
          <w:szCs w:val="22"/>
        </w:rPr>
        <w:t xml:space="preserve"> </w:t>
      </w:r>
      <w:r w:rsidR="00B7724E" w:rsidRPr="003F5A77">
        <w:rPr>
          <w:rFonts w:asciiTheme="minorHAnsi" w:hAnsiTheme="minorHAnsi" w:cs="Arial"/>
          <w:color w:val="000000" w:themeColor="text1"/>
          <w:sz w:val="22"/>
          <w:szCs w:val="22"/>
        </w:rPr>
        <w:t>across the EAHA</w:t>
      </w:r>
      <w:r w:rsidR="00F66142" w:rsidRPr="003F5A77">
        <w:rPr>
          <w:rFonts w:asciiTheme="minorHAnsi" w:hAnsiTheme="minorHAnsi" w:cs="Arial"/>
          <w:color w:val="000000" w:themeColor="text1"/>
          <w:sz w:val="22"/>
          <w:szCs w:val="22"/>
        </w:rPr>
        <w:t xml:space="preserve"> overall</w:t>
      </w:r>
      <w:r w:rsidRPr="003F5A77">
        <w:rPr>
          <w:rFonts w:asciiTheme="minorHAnsi" w:hAnsiTheme="minorHAnsi" w:cs="Arial"/>
          <w:color w:val="000000" w:themeColor="text1"/>
          <w:sz w:val="22"/>
          <w:szCs w:val="22"/>
        </w:rPr>
        <w:t>,</w:t>
      </w:r>
      <w:r w:rsidR="00F66142" w:rsidRPr="003F5A77">
        <w:rPr>
          <w:rFonts w:asciiTheme="minorHAnsi" w:hAnsiTheme="minorHAnsi" w:cs="Arial"/>
          <w:color w:val="000000" w:themeColor="text1"/>
          <w:sz w:val="22"/>
          <w:szCs w:val="22"/>
        </w:rPr>
        <w:t xml:space="preserve"> masks a fair degree of variation by municipality. Some experienced substantial increases while others</w:t>
      </w:r>
      <w:r w:rsidR="00EE7834" w:rsidRPr="003F5A77">
        <w:rPr>
          <w:rFonts w:asciiTheme="minorHAnsi" w:hAnsiTheme="minorHAnsi" w:cs="Arial"/>
          <w:color w:val="000000" w:themeColor="text1"/>
          <w:sz w:val="22"/>
          <w:szCs w:val="22"/>
        </w:rPr>
        <w:t xml:space="preserve"> had a reduction. </w:t>
      </w:r>
    </w:p>
    <w:p w:rsidR="00462159" w:rsidRPr="003F5A77" w:rsidRDefault="00EE7834" w:rsidP="00232A15">
      <w:pPr>
        <w:pStyle w:val="ListParagraph"/>
        <w:spacing w:after="120"/>
        <w:ind w:left="-425"/>
        <w:contextualSpacing w:val="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The situation local to each municipality is as set out below.</w:t>
      </w:r>
      <w:r w:rsidR="00F66142" w:rsidRPr="003F5A77">
        <w:rPr>
          <w:rFonts w:asciiTheme="minorHAnsi" w:hAnsiTheme="minorHAnsi" w:cs="Arial"/>
          <w:color w:val="000000" w:themeColor="text1"/>
          <w:sz w:val="22"/>
          <w:szCs w:val="22"/>
        </w:rPr>
        <w:t xml:space="preserve"> </w:t>
      </w:r>
    </w:p>
    <w:p w:rsidR="00615282" w:rsidRPr="003F5A77" w:rsidRDefault="00615282" w:rsidP="000044F0">
      <w:pPr>
        <w:ind w:left="-851"/>
        <w:rPr>
          <w:rFonts w:asciiTheme="minorHAnsi" w:hAnsiTheme="minorHAnsi" w:cs="Arial"/>
          <w:color w:val="000000" w:themeColor="text1"/>
          <w:sz w:val="22"/>
          <w:szCs w:val="22"/>
        </w:rPr>
      </w:pPr>
    </w:p>
    <w:p w:rsidR="00615282" w:rsidRPr="003F5A77" w:rsidRDefault="00615282" w:rsidP="000044F0">
      <w:pPr>
        <w:ind w:left="-851"/>
        <w:rPr>
          <w:rFonts w:asciiTheme="minorHAnsi" w:hAnsiTheme="minorHAnsi" w:cs="Arial"/>
          <w:color w:val="000000" w:themeColor="text1"/>
          <w:sz w:val="22"/>
          <w:szCs w:val="22"/>
        </w:rPr>
      </w:pPr>
    </w:p>
    <w:p w:rsidR="002B5174" w:rsidRPr="003F5A77" w:rsidRDefault="002B5174" w:rsidP="000044F0">
      <w:pPr>
        <w:ind w:left="-851"/>
        <w:rPr>
          <w:rFonts w:asciiTheme="minorHAnsi" w:hAnsiTheme="minorHAnsi" w:cs="Arial"/>
          <w:b/>
          <w:color w:val="000000" w:themeColor="text1"/>
          <w:sz w:val="22"/>
          <w:szCs w:val="22"/>
        </w:rPr>
      </w:pPr>
    </w:p>
    <w:p w:rsidR="007A1F4F" w:rsidRPr="003F5A77" w:rsidRDefault="007A1F4F" w:rsidP="000044F0">
      <w:pPr>
        <w:ind w:left="-851"/>
        <w:rPr>
          <w:rFonts w:asciiTheme="minorHAnsi" w:hAnsiTheme="minorHAnsi" w:cs="Arial"/>
          <w:color w:val="000000" w:themeColor="text1"/>
          <w:sz w:val="22"/>
          <w:szCs w:val="22"/>
        </w:rPr>
        <w:sectPr w:rsidR="007A1F4F" w:rsidRPr="003F5A77" w:rsidSect="00B059CE">
          <w:headerReference w:type="default" r:id="rId8"/>
          <w:footerReference w:type="default" r:id="rId9"/>
          <w:headerReference w:type="first" r:id="rId10"/>
          <w:pgSz w:w="11906" w:h="16838"/>
          <w:pgMar w:top="1440" w:right="991" w:bottom="1440" w:left="1800" w:header="708" w:footer="708" w:gutter="0"/>
          <w:cols w:space="708"/>
          <w:titlePg/>
          <w:docGrid w:linePitch="360"/>
        </w:sectPr>
      </w:pP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1752"/>
        <w:gridCol w:w="1256"/>
        <w:gridCol w:w="2188"/>
        <w:gridCol w:w="1128"/>
        <w:gridCol w:w="2188"/>
        <w:gridCol w:w="1070"/>
        <w:gridCol w:w="2279"/>
        <w:gridCol w:w="2234"/>
      </w:tblGrid>
      <w:tr w:rsidR="007A1F4F" w:rsidRPr="003F5A77" w:rsidTr="00232A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95" w:type="dxa"/>
            <w:gridSpan w:val="8"/>
            <w:tcBorders>
              <w:bottom w:val="none" w:sz="0" w:space="0" w:color="auto"/>
              <w:right w:val="none" w:sz="0" w:space="0" w:color="auto"/>
            </w:tcBorders>
          </w:tcPr>
          <w:p w:rsidR="007A1F4F" w:rsidRPr="003F5A77" w:rsidRDefault="007A1F4F" w:rsidP="00232A15">
            <w:pPr>
              <w:ind w:left="34"/>
              <w:rPr>
                <w:rFonts w:asciiTheme="minorHAnsi" w:hAnsiTheme="minorHAnsi" w:cs="Arial"/>
                <w:sz w:val="22"/>
                <w:szCs w:val="22"/>
              </w:rPr>
            </w:pPr>
            <w:r w:rsidRPr="003F5A77">
              <w:rPr>
                <w:rFonts w:asciiTheme="minorHAnsi" w:hAnsiTheme="minorHAnsi" w:cs="Arial"/>
                <w:sz w:val="22"/>
                <w:szCs w:val="22"/>
              </w:rPr>
              <w:lastRenderedPageBreak/>
              <w:t>Table 3.1 Change in target market</w:t>
            </w:r>
          </w:p>
          <w:p w:rsidR="007A1F4F" w:rsidRPr="003F5A77" w:rsidRDefault="007A1F4F" w:rsidP="00232A15">
            <w:pPr>
              <w:ind w:left="34"/>
              <w:rPr>
                <w:rFonts w:asciiTheme="minorHAnsi" w:hAnsiTheme="minorHAnsi" w:cs="Arial"/>
                <w:color w:val="000000" w:themeColor="text1"/>
                <w:sz w:val="22"/>
                <w:szCs w:val="22"/>
              </w:rPr>
            </w:pPr>
          </w:p>
        </w:tc>
      </w:tr>
      <w:tr w:rsidR="007A1F4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2" w:type="dxa"/>
            <w:tcBorders>
              <w:top w:val="none" w:sz="0" w:space="0" w:color="auto"/>
              <w:bottom w:val="none" w:sz="0" w:space="0" w:color="auto"/>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p>
        </w:tc>
        <w:tc>
          <w:tcPr>
            <w:tcW w:w="3444" w:type="dxa"/>
            <w:gridSpan w:val="2"/>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2010 Review</w:t>
            </w:r>
            <w:r w:rsidRPr="003F5A77">
              <w:rPr>
                <w:rFonts w:asciiTheme="minorHAnsi" w:hAnsiTheme="minorHAnsi" w:cs="Arial"/>
                <w:color w:val="000000" w:themeColor="text1"/>
                <w:sz w:val="22"/>
                <w:szCs w:val="22"/>
              </w:rPr>
              <w:t xml:space="preserve"> (</w:t>
            </w:r>
            <w:r w:rsidR="007745F3" w:rsidRPr="003F5A77">
              <w:rPr>
                <w:rFonts w:asciiTheme="minorHAnsi" w:hAnsiTheme="minorHAnsi" w:cs="Arial"/>
                <w:color w:val="000000" w:themeColor="text1"/>
                <w:sz w:val="22"/>
                <w:szCs w:val="22"/>
              </w:rPr>
              <w:t xml:space="preserve">based on </w:t>
            </w:r>
            <w:r w:rsidRPr="003F5A77">
              <w:rPr>
                <w:rFonts w:asciiTheme="minorHAnsi" w:hAnsiTheme="minorHAnsi" w:cs="Arial"/>
                <w:color w:val="000000" w:themeColor="text1"/>
                <w:sz w:val="22"/>
                <w:szCs w:val="22"/>
              </w:rPr>
              <w:t>2006 Census</w:t>
            </w:r>
            <w:r w:rsidR="007745F3" w:rsidRPr="003F5A77">
              <w:rPr>
                <w:rFonts w:asciiTheme="minorHAnsi" w:hAnsiTheme="minorHAnsi" w:cs="Arial"/>
                <w:color w:val="000000" w:themeColor="text1"/>
                <w:sz w:val="22"/>
                <w:szCs w:val="22"/>
              </w:rPr>
              <w:t xml:space="preserve"> %</w:t>
            </w:r>
            <w:r w:rsidRPr="003F5A77">
              <w:rPr>
                <w:rFonts w:asciiTheme="minorHAnsi" w:hAnsiTheme="minorHAnsi" w:cs="Arial"/>
                <w:color w:val="000000" w:themeColor="text1"/>
                <w:sz w:val="22"/>
                <w:szCs w:val="22"/>
              </w:rPr>
              <w:t>)</w:t>
            </w:r>
          </w:p>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tc>
        <w:tc>
          <w:tcPr>
            <w:tcW w:w="3316" w:type="dxa"/>
            <w:gridSpan w:val="2"/>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2014 Review</w:t>
            </w:r>
            <w:r w:rsidRPr="003F5A77">
              <w:rPr>
                <w:rFonts w:asciiTheme="minorHAnsi" w:hAnsiTheme="minorHAnsi" w:cs="Arial"/>
                <w:color w:val="000000" w:themeColor="text1"/>
                <w:sz w:val="22"/>
                <w:szCs w:val="22"/>
              </w:rPr>
              <w:t xml:space="preserve"> (</w:t>
            </w:r>
            <w:r w:rsidR="007745F3" w:rsidRPr="003F5A77">
              <w:rPr>
                <w:rFonts w:asciiTheme="minorHAnsi" w:hAnsiTheme="minorHAnsi" w:cs="Arial"/>
                <w:color w:val="000000" w:themeColor="text1"/>
                <w:sz w:val="22"/>
                <w:szCs w:val="22"/>
              </w:rPr>
              <w:t xml:space="preserve">based on </w:t>
            </w:r>
            <w:r w:rsidRPr="003F5A77">
              <w:rPr>
                <w:rFonts w:asciiTheme="minorHAnsi" w:hAnsiTheme="minorHAnsi" w:cs="Arial"/>
                <w:color w:val="000000" w:themeColor="text1"/>
                <w:sz w:val="22"/>
                <w:szCs w:val="22"/>
              </w:rPr>
              <w:t>2011 Census</w:t>
            </w:r>
            <w:r w:rsidR="007745F3" w:rsidRPr="003F5A77">
              <w:rPr>
                <w:rFonts w:asciiTheme="minorHAnsi" w:hAnsiTheme="minorHAnsi" w:cs="Arial"/>
                <w:color w:val="000000" w:themeColor="text1"/>
                <w:sz w:val="22"/>
                <w:szCs w:val="22"/>
              </w:rPr>
              <w:t xml:space="preserve"> %</w:t>
            </w:r>
            <w:r w:rsidRPr="003F5A77">
              <w:rPr>
                <w:rFonts w:asciiTheme="minorHAnsi" w:hAnsiTheme="minorHAnsi" w:cs="Arial"/>
                <w:color w:val="000000" w:themeColor="text1"/>
                <w:sz w:val="22"/>
                <w:szCs w:val="22"/>
              </w:rPr>
              <w:t>)</w:t>
            </w:r>
          </w:p>
        </w:tc>
        <w:tc>
          <w:tcPr>
            <w:tcW w:w="3349" w:type="dxa"/>
            <w:gridSpan w:val="2"/>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2017 Review</w:t>
            </w:r>
            <w:r w:rsidRPr="003F5A77">
              <w:rPr>
                <w:rFonts w:asciiTheme="minorHAnsi" w:hAnsiTheme="minorHAnsi" w:cs="Arial"/>
                <w:color w:val="000000" w:themeColor="text1"/>
                <w:sz w:val="22"/>
                <w:szCs w:val="22"/>
              </w:rPr>
              <w:t xml:space="preserve"> (</w:t>
            </w:r>
            <w:r w:rsidR="007745F3" w:rsidRPr="003F5A77">
              <w:rPr>
                <w:rFonts w:asciiTheme="minorHAnsi" w:hAnsiTheme="minorHAnsi" w:cs="Arial"/>
                <w:color w:val="000000" w:themeColor="text1"/>
                <w:sz w:val="22"/>
                <w:szCs w:val="22"/>
              </w:rPr>
              <w:t xml:space="preserve">based on </w:t>
            </w:r>
            <w:r w:rsidRPr="003F5A77">
              <w:rPr>
                <w:rFonts w:asciiTheme="minorHAnsi" w:hAnsiTheme="minorHAnsi" w:cs="Arial"/>
                <w:color w:val="000000" w:themeColor="text1"/>
                <w:sz w:val="22"/>
                <w:szCs w:val="22"/>
              </w:rPr>
              <w:t>2016 Census</w:t>
            </w:r>
            <w:r w:rsidR="007745F3" w:rsidRPr="003F5A77">
              <w:rPr>
                <w:rFonts w:asciiTheme="minorHAnsi" w:hAnsiTheme="minorHAnsi" w:cs="Arial"/>
                <w:color w:val="000000" w:themeColor="text1"/>
                <w:sz w:val="22"/>
                <w:szCs w:val="22"/>
              </w:rPr>
              <w:t xml:space="preserve"> %</w:t>
            </w:r>
            <w:r w:rsidRPr="003F5A77">
              <w:rPr>
                <w:rFonts w:asciiTheme="minorHAnsi" w:hAnsiTheme="minorHAnsi" w:cs="Arial"/>
                <w:color w:val="000000" w:themeColor="text1"/>
                <w:sz w:val="22"/>
                <w:szCs w:val="22"/>
              </w:rPr>
              <w:t>)</w:t>
            </w:r>
          </w:p>
        </w:tc>
        <w:tc>
          <w:tcPr>
            <w:tcW w:w="2234" w:type="dxa"/>
            <w:vMerge w:val="restart"/>
            <w:tcBorders>
              <w:top w:val="none" w:sz="0" w:space="0" w:color="auto"/>
              <w:bottom w:val="none" w:sz="0" w:space="0" w:color="auto"/>
            </w:tcBorders>
          </w:tcPr>
          <w:p w:rsidR="007A1F4F" w:rsidRPr="003F5A77" w:rsidRDefault="007A1F4F" w:rsidP="00232A15">
            <w:pPr>
              <w:ind w:lef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Change 2014-2017</w:t>
            </w:r>
          </w:p>
          <w:p w:rsidR="007A1F4F" w:rsidRPr="003F5A77" w:rsidRDefault="00EE4D55" w:rsidP="00232A15">
            <w:pPr>
              <w:ind w:lef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change</w:t>
            </w:r>
            <w:r w:rsidR="007A1F4F" w:rsidRPr="003F5A77">
              <w:rPr>
                <w:rFonts w:asciiTheme="minorHAnsi" w:hAnsiTheme="minorHAnsi" w:cs="Arial"/>
                <w:color w:val="000000" w:themeColor="text1"/>
                <w:sz w:val="22"/>
                <w:szCs w:val="22"/>
              </w:rPr>
              <w:t xml:space="preserve"> in number of households in target market</w:t>
            </w:r>
          </w:p>
        </w:tc>
      </w:tr>
      <w:tr w:rsidR="007A1F4F" w:rsidRPr="003F5A77" w:rsidTr="00232A15">
        <w:tc>
          <w:tcPr>
            <w:cnfStyle w:val="001000000000" w:firstRow="0" w:lastRow="0" w:firstColumn="1" w:lastColumn="0" w:oddVBand="0" w:evenVBand="0" w:oddHBand="0" w:evenHBand="0" w:firstRowFirstColumn="0" w:firstRowLastColumn="0" w:lastRowFirstColumn="0" w:lastRowLastColumn="0"/>
            <w:tcW w:w="1752" w:type="dxa"/>
            <w:tcBorders>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p>
        </w:tc>
        <w:tc>
          <w:tcPr>
            <w:tcW w:w="1256" w:type="dxa"/>
          </w:tcPr>
          <w:p w:rsidR="007A1F4F" w:rsidRPr="003F5A77" w:rsidRDefault="007A1F4F"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Number</w:t>
            </w:r>
          </w:p>
        </w:tc>
        <w:tc>
          <w:tcPr>
            <w:tcW w:w="2188" w:type="dxa"/>
          </w:tcPr>
          <w:p w:rsidR="004E5961" w:rsidRPr="003F5A77" w:rsidRDefault="004E5961"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total</w:t>
            </w:r>
          </w:p>
          <w:p w:rsidR="007A1F4F" w:rsidRPr="003F5A77" w:rsidRDefault="007A1F4F"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households</w:t>
            </w:r>
          </w:p>
        </w:tc>
        <w:tc>
          <w:tcPr>
            <w:tcW w:w="1128" w:type="dxa"/>
          </w:tcPr>
          <w:p w:rsidR="007A1F4F" w:rsidRPr="003F5A77" w:rsidRDefault="007A1F4F"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Number</w:t>
            </w:r>
          </w:p>
        </w:tc>
        <w:tc>
          <w:tcPr>
            <w:tcW w:w="2188" w:type="dxa"/>
          </w:tcPr>
          <w:p w:rsidR="007A1F4F" w:rsidRPr="003F5A77" w:rsidRDefault="007A1F4F"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total households</w:t>
            </w:r>
          </w:p>
        </w:tc>
        <w:tc>
          <w:tcPr>
            <w:tcW w:w="1070" w:type="dxa"/>
          </w:tcPr>
          <w:p w:rsidR="007A1F4F" w:rsidRPr="003F5A77" w:rsidRDefault="007A1F4F"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Number</w:t>
            </w:r>
          </w:p>
        </w:tc>
        <w:tc>
          <w:tcPr>
            <w:tcW w:w="2279" w:type="dxa"/>
          </w:tcPr>
          <w:p w:rsidR="007A1F4F" w:rsidRPr="003F5A77" w:rsidRDefault="007A1F4F"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total households</w:t>
            </w:r>
          </w:p>
        </w:tc>
        <w:tc>
          <w:tcPr>
            <w:tcW w:w="2234" w:type="dxa"/>
            <w:vMerge/>
          </w:tcPr>
          <w:p w:rsidR="007A1F4F" w:rsidRPr="003F5A77" w:rsidRDefault="007A1F4F" w:rsidP="00232A15">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p>
        </w:tc>
      </w:tr>
      <w:tr w:rsidR="007A1F4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2" w:type="dxa"/>
            <w:tcBorders>
              <w:top w:val="none" w:sz="0" w:space="0" w:color="auto"/>
              <w:bottom w:val="none" w:sz="0" w:space="0" w:color="auto"/>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Knox</w:t>
            </w:r>
          </w:p>
        </w:tc>
        <w:tc>
          <w:tcPr>
            <w:tcW w:w="1256" w:type="dxa"/>
            <w:tcBorders>
              <w:top w:val="none" w:sz="0" w:space="0" w:color="auto"/>
              <w:bottom w:val="none" w:sz="0" w:space="0" w:color="auto"/>
            </w:tcBorders>
          </w:tcPr>
          <w:p w:rsidR="007A1F4F" w:rsidRPr="003F5A77" w:rsidRDefault="00A073E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1820</w:t>
            </w:r>
          </w:p>
        </w:tc>
        <w:tc>
          <w:tcPr>
            <w:tcW w:w="2188"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3.3%</w:t>
            </w:r>
          </w:p>
        </w:tc>
        <w:tc>
          <w:tcPr>
            <w:tcW w:w="1128" w:type="dxa"/>
            <w:tcBorders>
              <w:top w:val="none" w:sz="0" w:space="0" w:color="auto"/>
              <w:bottom w:val="none" w:sz="0" w:space="0" w:color="auto"/>
            </w:tcBorders>
          </w:tcPr>
          <w:p w:rsidR="007A1F4F" w:rsidRPr="003F5A77" w:rsidRDefault="00A073E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2310</w:t>
            </w:r>
          </w:p>
        </w:tc>
        <w:tc>
          <w:tcPr>
            <w:tcW w:w="2188"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4.1%</w:t>
            </w:r>
          </w:p>
        </w:tc>
        <w:tc>
          <w:tcPr>
            <w:tcW w:w="1070" w:type="dxa"/>
            <w:tcBorders>
              <w:top w:val="none" w:sz="0" w:space="0" w:color="auto"/>
              <w:bottom w:val="none" w:sz="0" w:space="0" w:color="auto"/>
            </w:tcBorders>
          </w:tcPr>
          <w:p w:rsidR="007A1F4F" w:rsidRPr="003F5A77" w:rsidRDefault="001F467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220</w:t>
            </w:r>
            <w:r w:rsidR="005B3B60" w:rsidRPr="003F5A77">
              <w:rPr>
                <w:rFonts w:asciiTheme="minorHAnsi" w:hAnsiTheme="minorHAnsi" w:cs="Arial"/>
                <w:color w:val="000000" w:themeColor="text1"/>
                <w:sz w:val="22"/>
                <w:szCs w:val="22"/>
              </w:rPr>
              <w:t>0</w:t>
            </w:r>
          </w:p>
        </w:tc>
        <w:tc>
          <w:tcPr>
            <w:tcW w:w="2279"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3.8%</w:t>
            </w:r>
          </w:p>
        </w:tc>
        <w:tc>
          <w:tcPr>
            <w:tcW w:w="2234" w:type="dxa"/>
            <w:tcBorders>
              <w:top w:val="none" w:sz="0" w:space="0" w:color="auto"/>
              <w:bottom w:val="none" w:sz="0" w:space="0" w:color="auto"/>
            </w:tcBorders>
          </w:tcPr>
          <w:p w:rsidR="007A1F4F" w:rsidRPr="003F5A77" w:rsidRDefault="0042161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w:t>
            </w:r>
            <w:r w:rsidR="007A1F4F" w:rsidRPr="003F5A77">
              <w:rPr>
                <w:rFonts w:asciiTheme="minorHAnsi" w:hAnsiTheme="minorHAnsi" w:cs="Arial"/>
                <w:color w:val="000000" w:themeColor="text1"/>
                <w:sz w:val="22"/>
                <w:szCs w:val="22"/>
              </w:rPr>
              <w:t xml:space="preserve">% (n= </w:t>
            </w:r>
            <w:r w:rsidR="007A1F4F" w:rsidRPr="003F5A77">
              <w:rPr>
                <w:rFonts w:asciiTheme="minorHAnsi" w:hAnsiTheme="minorHAnsi" w:cs="Arial"/>
                <w:b/>
                <w:color w:val="000000" w:themeColor="text1"/>
                <w:sz w:val="22"/>
                <w:szCs w:val="22"/>
              </w:rPr>
              <w:t>-</w:t>
            </w:r>
            <w:r w:rsidRPr="003F5A77">
              <w:rPr>
                <w:rFonts w:asciiTheme="minorHAnsi" w:hAnsiTheme="minorHAnsi" w:cs="Arial"/>
                <w:color w:val="000000" w:themeColor="text1"/>
                <w:sz w:val="22"/>
                <w:szCs w:val="22"/>
              </w:rPr>
              <w:t>11</w:t>
            </w:r>
            <w:r w:rsidR="007A1F4F" w:rsidRPr="003F5A77">
              <w:rPr>
                <w:rFonts w:asciiTheme="minorHAnsi" w:hAnsiTheme="minorHAnsi" w:cs="Arial"/>
                <w:color w:val="000000" w:themeColor="text1"/>
                <w:sz w:val="22"/>
                <w:szCs w:val="22"/>
              </w:rPr>
              <w:t>0)</w:t>
            </w:r>
          </w:p>
        </w:tc>
      </w:tr>
      <w:tr w:rsidR="007A1F4F" w:rsidRPr="003F5A77" w:rsidTr="00232A15">
        <w:tc>
          <w:tcPr>
            <w:cnfStyle w:val="001000000000" w:firstRow="0" w:lastRow="0" w:firstColumn="1" w:lastColumn="0" w:oddVBand="0" w:evenVBand="0" w:oddHBand="0" w:evenHBand="0" w:firstRowFirstColumn="0" w:firstRowLastColumn="0" w:lastRowFirstColumn="0" w:lastRowLastColumn="0"/>
            <w:tcW w:w="1752" w:type="dxa"/>
            <w:tcBorders>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Manningham</w:t>
            </w:r>
          </w:p>
        </w:tc>
        <w:tc>
          <w:tcPr>
            <w:tcW w:w="1256" w:type="dxa"/>
          </w:tcPr>
          <w:p w:rsidR="007A1F4F" w:rsidRPr="003F5A77" w:rsidRDefault="00A073E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1270</w:t>
            </w:r>
          </w:p>
        </w:tc>
        <w:tc>
          <w:tcPr>
            <w:tcW w:w="2188"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3.0%</w:t>
            </w:r>
          </w:p>
        </w:tc>
        <w:tc>
          <w:tcPr>
            <w:tcW w:w="1128" w:type="dxa"/>
          </w:tcPr>
          <w:p w:rsidR="007A1F4F" w:rsidRPr="003F5A77" w:rsidRDefault="00A073E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1670</w:t>
            </w:r>
          </w:p>
        </w:tc>
        <w:tc>
          <w:tcPr>
            <w:tcW w:w="2188"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3.9%</w:t>
            </w:r>
          </w:p>
        </w:tc>
        <w:tc>
          <w:tcPr>
            <w:tcW w:w="1070" w:type="dxa"/>
          </w:tcPr>
          <w:p w:rsidR="007A1F4F" w:rsidRPr="003F5A77" w:rsidRDefault="005B3B60"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2070</w:t>
            </w:r>
          </w:p>
        </w:tc>
        <w:tc>
          <w:tcPr>
            <w:tcW w:w="2279"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4.7%</w:t>
            </w:r>
          </w:p>
        </w:tc>
        <w:tc>
          <w:tcPr>
            <w:tcW w:w="2234" w:type="dxa"/>
          </w:tcPr>
          <w:p w:rsidR="007A1F4F" w:rsidRPr="003F5A77" w:rsidRDefault="0042161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+24% (n=40</w:t>
            </w:r>
            <w:r w:rsidR="007A1F4F" w:rsidRPr="003F5A77">
              <w:rPr>
                <w:rFonts w:asciiTheme="minorHAnsi" w:hAnsiTheme="minorHAnsi" w:cs="Arial"/>
                <w:color w:val="000000" w:themeColor="text1"/>
                <w:sz w:val="22"/>
                <w:szCs w:val="22"/>
              </w:rPr>
              <w:t>0)</w:t>
            </w:r>
          </w:p>
        </w:tc>
      </w:tr>
      <w:tr w:rsidR="007A1F4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2" w:type="dxa"/>
            <w:tcBorders>
              <w:top w:val="none" w:sz="0" w:space="0" w:color="auto"/>
              <w:bottom w:val="none" w:sz="0" w:space="0" w:color="auto"/>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Maroondah</w:t>
            </w:r>
          </w:p>
        </w:tc>
        <w:tc>
          <w:tcPr>
            <w:tcW w:w="1256" w:type="dxa"/>
            <w:tcBorders>
              <w:top w:val="none" w:sz="0" w:space="0" w:color="auto"/>
              <w:bottom w:val="none" w:sz="0" w:space="0" w:color="auto"/>
            </w:tcBorders>
          </w:tcPr>
          <w:p w:rsidR="00A073EE" w:rsidRPr="003F5A77" w:rsidRDefault="00A073E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1520</w:t>
            </w:r>
          </w:p>
        </w:tc>
        <w:tc>
          <w:tcPr>
            <w:tcW w:w="2188"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3.7%</w:t>
            </w:r>
          </w:p>
        </w:tc>
        <w:tc>
          <w:tcPr>
            <w:tcW w:w="1128" w:type="dxa"/>
            <w:tcBorders>
              <w:top w:val="none" w:sz="0" w:space="0" w:color="auto"/>
              <w:bottom w:val="none" w:sz="0" w:space="0" w:color="auto"/>
            </w:tcBorders>
          </w:tcPr>
          <w:p w:rsidR="007A1F4F" w:rsidRPr="003F5A77" w:rsidRDefault="00A073E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1790</w:t>
            </w:r>
          </w:p>
        </w:tc>
        <w:tc>
          <w:tcPr>
            <w:tcW w:w="2188"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4.2%</w:t>
            </w:r>
          </w:p>
        </w:tc>
        <w:tc>
          <w:tcPr>
            <w:tcW w:w="1070" w:type="dxa"/>
            <w:tcBorders>
              <w:top w:val="none" w:sz="0" w:space="0" w:color="auto"/>
              <w:bottom w:val="none" w:sz="0" w:space="0" w:color="auto"/>
            </w:tcBorders>
          </w:tcPr>
          <w:p w:rsidR="007A1F4F" w:rsidRPr="003F5A77" w:rsidRDefault="005B3B60"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1760</w:t>
            </w:r>
          </w:p>
        </w:tc>
        <w:tc>
          <w:tcPr>
            <w:tcW w:w="2279"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4.0%</w:t>
            </w:r>
          </w:p>
        </w:tc>
        <w:tc>
          <w:tcPr>
            <w:tcW w:w="2234" w:type="dxa"/>
            <w:tcBorders>
              <w:top w:val="none" w:sz="0" w:space="0" w:color="auto"/>
              <w:bottom w:val="none" w:sz="0" w:space="0" w:color="auto"/>
            </w:tcBorders>
          </w:tcPr>
          <w:p w:rsidR="007A1F4F" w:rsidRPr="003F5A77" w:rsidRDefault="0042161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-1.7</w:t>
            </w:r>
            <w:r w:rsidR="007A1F4F" w:rsidRPr="003F5A77">
              <w:rPr>
                <w:rFonts w:asciiTheme="minorHAnsi" w:hAnsiTheme="minorHAnsi" w:cs="Arial"/>
                <w:color w:val="000000" w:themeColor="text1"/>
                <w:sz w:val="22"/>
                <w:szCs w:val="22"/>
              </w:rPr>
              <w:t xml:space="preserve">% (n= </w:t>
            </w:r>
            <w:r w:rsidR="007A1F4F" w:rsidRPr="003F5A77">
              <w:rPr>
                <w:rFonts w:asciiTheme="minorHAnsi" w:hAnsiTheme="minorHAnsi" w:cs="Arial"/>
                <w:b/>
                <w:color w:val="000000" w:themeColor="text1"/>
                <w:sz w:val="22"/>
                <w:szCs w:val="22"/>
              </w:rPr>
              <w:t>-</w:t>
            </w:r>
            <w:r w:rsidR="0014439A" w:rsidRPr="003F5A77">
              <w:rPr>
                <w:rFonts w:asciiTheme="minorHAnsi" w:hAnsiTheme="minorHAnsi" w:cs="Arial"/>
                <w:color w:val="000000" w:themeColor="text1"/>
                <w:sz w:val="22"/>
                <w:szCs w:val="22"/>
              </w:rPr>
              <w:t>30</w:t>
            </w:r>
            <w:r w:rsidR="007A1F4F" w:rsidRPr="003F5A77">
              <w:rPr>
                <w:rFonts w:asciiTheme="minorHAnsi" w:hAnsiTheme="minorHAnsi" w:cs="Arial"/>
                <w:color w:val="000000" w:themeColor="text1"/>
                <w:sz w:val="22"/>
                <w:szCs w:val="22"/>
              </w:rPr>
              <w:t>)</w:t>
            </w:r>
          </w:p>
        </w:tc>
      </w:tr>
      <w:tr w:rsidR="007A1F4F" w:rsidRPr="003F5A77" w:rsidTr="00232A15">
        <w:tc>
          <w:tcPr>
            <w:cnfStyle w:val="001000000000" w:firstRow="0" w:lastRow="0" w:firstColumn="1" w:lastColumn="0" w:oddVBand="0" w:evenVBand="0" w:oddHBand="0" w:evenHBand="0" w:firstRowFirstColumn="0" w:firstRowLastColumn="0" w:lastRowFirstColumn="0" w:lastRowLastColumn="0"/>
            <w:tcW w:w="1752" w:type="dxa"/>
            <w:tcBorders>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Monash</w:t>
            </w:r>
          </w:p>
        </w:tc>
        <w:tc>
          <w:tcPr>
            <w:tcW w:w="1256" w:type="dxa"/>
          </w:tcPr>
          <w:p w:rsidR="007A1F4F" w:rsidRPr="003F5A77" w:rsidRDefault="00A073E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3290</w:t>
            </w:r>
          </w:p>
        </w:tc>
        <w:tc>
          <w:tcPr>
            <w:tcW w:w="2188"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5.1%</w:t>
            </w:r>
          </w:p>
        </w:tc>
        <w:tc>
          <w:tcPr>
            <w:tcW w:w="1128" w:type="dxa"/>
          </w:tcPr>
          <w:p w:rsidR="007A1F4F" w:rsidRPr="003F5A77" w:rsidRDefault="00A073E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4230</w:t>
            </w:r>
          </w:p>
        </w:tc>
        <w:tc>
          <w:tcPr>
            <w:tcW w:w="2188"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6.4%</w:t>
            </w:r>
          </w:p>
        </w:tc>
        <w:tc>
          <w:tcPr>
            <w:tcW w:w="1070" w:type="dxa"/>
          </w:tcPr>
          <w:p w:rsidR="007A1F4F" w:rsidRPr="003F5A77" w:rsidRDefault="001F467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504</w:t>
            </w:r>
            <w:r w:rsidR="005B3B60" w:rsidRPr="003F5A77">
              <w:rPr>
                <w:rFonts w:asciiTheme="minorHAnsi" w:hAnsiTheme="minorHAnsi" w:cs="Arial"/>
                <w:color w:val="000000" w:themeColor="text1"/>
                <w:sz w:val="22"/>
                <w:szCs w:val="22"/>
              </w:rPr>
              <w:t>0</w:t>
            </w:r>
          </w:p>
        </w:tc>
        <w:tc>
          <w:tcPr>
            <w:tcW w:w="2279"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7.3%</w:t>
            </w:r>
          </w:p>
        </w:tc>
        <w:tc>
          <w:tcPr>
            <w:tcW w:w="2234" w:type="dxa"/>
          </w:tcPr>
          <w:p w:rsidR="007A1F4F" w:rsidRPr="003F5A77" w:rsidRDefault="0014439A"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+19% (n=81</w:t>
            </w:r>
            <w:r w:rsidR="007A1F4F" w:rsidRPr="003F5A77">
              <w:rPr>
                <w:rFonts w:asciiTheme="minorHAnsi" w:hAnsiTheme="minorHAnsi" w:cs="Arial"/>
                <w:color w:val="000000" w:themeColor="text1"/>
                <w:sz w:val="22"/>
                <w:szCs w:val="22"/>
              </w:rPr>
              <w:t>0)</w:t>
            </w:r>
          </w:p>
        </w:tc>
      </w:tr>
      <w:tr w:rsidR="007A1F4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2" w:type="dxa"/>
            <w:tcBorders>
              <w:top w:val="none" w:sz="0" w:space="0" w:color="auto"/>
              <w:bottom w:val="none" w:sz="0" w:space="0" w:color="auto"/>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Whitehorse</w:t>
            </w:r>
          </w:p>
        </w:tc>
        <w:tc>
          <w:tcPr>
            <w:tcW w:w="1256" w:type="dxa"/>
            <w:tcBorders>
              <w:top w:val="none" w:sz="0" w:space="0" w:color="auto"/>
              <w:bottom w:val="none" w:sz="0" w:space="0" w:color="auto"/>
            </w:tcBorders>
          </w:tcPr>
          <w:p w:rsidR="007A1F4F" w:rsidRPr="003F5A77" w:rsidRDefault="00A073E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2660</w:t>
            </w:r>
          </w:p>
        </w:tc>
        <w:tc>
          <w:tcPr>
            <w:tcW w:w="2188"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4.4%</w:t>
            </w:r>
          </w:p>
        </w:tc>
        <w:tc>
          <w:tcPr>
            <w:tcW w:w="1128" w:type="dxa"/>
            <w:tcBorders>
              <w:top w:val="none" w:sz="0" w:space="0" w:color="auto"/>
              <w:bottom w:val="none" w:sz="0" w:space="0" w:color="auto"/>
            </w:tcBorders>
          </w:tcPr>
          <w:p w:rsidR="007A1F4F" w:rsidRPr="003F5A77" w:rsidRDefault="0014439A"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36</w:t>
            </w:r>
            <w:r w:rsidR="00A073EE" w:rsidRPr="003F5A77">
              <w:rPr>
                <w:rFonts w:asciiTheme="minorHAnsi" w:hAnsiTheme="minorHAnsi" w:cs="Arial"/>
                <w:color w:val="000000" w:themeColor="text1"/>
                <w:sz w:val="22"/>
                <w:szCs w:val="22"/>
              </w:rPr>
              <w:t>90</w:t>
            </w:r>
          </w:p>
        </w:tc>
        <w:tc>
          <w:tcPr>
            <w:tcW w:w="2188"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5.9%</w:t>
            </w:r>
          </w:p>
        </w:tc>
        <w:tc>
          <w:tcPr>
            <w:tcW w:w="1070" w:type="dxa"/>
            <w:tcBorders>
              <w:top w:val="none" w:sz="0" w:space="0" w:color="auto"/>
              <w:bottom w:val="none" w:sz="0" w:space="0" w:color="auto"/>
            </w:tcBorders>
          </w:tcPr>
          <w:p w:rsidR="007A1F4F" w:rsidRPr="003F5A77" w:rsidRDefault="001F467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4240</w:t>
            </w:r>
          </w:p>
        </w:tc>
        <w:tc>
          <w:tcPr>
            <w:tcW w:w="2279" w:type="dxa"/>
            <w:tcBorders>
              <w:top w:val="none" w:sz="0" w:space="0" w:color="auto"/>
              <w:bottom w:val="none" w:sz="0" w:space="0" w:color="auto"/>
            </w:tcBorders>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6.6%</w:t>
            </w:r>
          </w:p>
        </w:tc>
        <w:tc>
          <w:tcPr>
            <w:tcW w:w="2234" w:type="dxa"/>
            <w:tcBorders>
              <w:top w:val="none" w:sz="0" w:space="0" w:color="auto"/>
              <w:bottom w:val="none" w:sz="0" w:space="0" w:color="auto"/>
            </w:tcBorders>
          </w:tcPr>
          <w:p w:rsidR="007A1F4F" w:rsidRPr="003F5A77" w:rsidRDefault="0014439A"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+15% (n=55</w:t>
            </w:r>
            <w:r w:rsidR="007A1F4F" w:rsidRPr="003F5A77">
              <w:rPr>
                <w:rFonts w:asciiTheme="minorHAnsi" w:hAnsiTheme="minorHAnsi" w:cs="Arial"/>
                <w:color w:val="000000" w:themeColor="text1"/>
                <w:sz w:val="22"/>
                <w:szCs w:val="22"/>
              </w:rPr>
              <w:t>0)</w:t>
            </w:r>
          </w:p>
        </w:tc>
      </w:tr>
      <w:tr w:rsidR="007A1F4F" w:rsidRPr="003F5A77" w:rsidTr="00232A15">
        <w:tc>
          <w:tcPr>
            <w:cnfStyle w:val="001000000000" w:firstRow="0" w:lastRow="0" w:firstColumn="1" w:lastColumn="0" w:oddVBand="0" w:evenVBand="0" w:oddHBand="0" w:evenHBand="0" w:firstRowFirstColumn="0" w:firstRowLastColumn="0" w:lastRowFirstColumn="0" w:lastRowLastColumn="0"/>
            <w:tcW w:w="1752" w:type="dxa"/>
            <w:tcBorders>
              <w:right w:val="none" w:sz="0" w:space="0" w:color="auto"/>
            </w:tcBorders>
          </w:tcPr>
          <w:p w:rsidR="007A1F4F" w:rsidRPr="003F5A77" w:rsidRDefault="007A1F4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Yarra Ranges</w:t>
            </w:r>
          </w:p>
        </w:tc>
        <w:tc>
          <w:tcPr>
            <w:tcW w:w="1256" w:type="dxa"/>
          </w:tcPr>
          <w:p w:rsidR="007A1F4F" w:rsidRPr="003F5A77" w:rsidRDefault="00A073E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2040</w:t>
            </w:r>
          </w:p>
        </w:tc>
        <w:tc>
          <w:tcPr>
            <w:tcW w:w="2188"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3.8%</w:t>
            </w:r>
          </w:p>
        </w:tc>
        <w:tc>
          <w:tcPr>
            <w:tcW w:w="1128" w:type="dxa"/>
          </w:tcPr>
          <w:p w:rsidR="007A1F4F" w:rsidRPr="003F5A77" w:rsidRDefault="00A073EE"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2390</w:t>
            </w:r>
          </w:p>
        </w:tc>
        <w:tc>
          <w:tcPr>
            <w:tcW w:w="2188"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4.3%</w:t>
            </w:r>
          </w:p>
        </w:tc>
        <w:tc>
          <w:tcPr>
            <w:tcW w:w="1070" w:type="dxa"/>
          </w:tcPr>
          <w:p w:rsidR="007A1F4F" w:rsidRPr="003F5A77" w:rsidRDefault="005B3B60"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1960</w:t>
            </w:r>
          </w:p>
        </w:tc>
        <w:tc>
          <w:tcPr>
            <w:tcW w:w="2279"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3.4%</w:t>
            </w:r>
          </w:p>
        </w:tc>
        <w:tc>
          <w:tcPr>
            <w:tcW w:w="2234" w:type="dxa"/>
          </w:tcPr>
          <w:p w:rsidR="007A1F4F" w:rsidRPr="003F5A77" w:rsidRDefault="007A1F4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-18% (n= </w:t>
            </w:r>
            <w:r w:rsidRPr="003F5A77">
              <w:rPr>
                <w:rFonts w:asciiTheme="minorHAnsi" w:hAnsiTheme="minorHAnsi" w:cs="Arial"/>
                <w:b/>
                <w:color w:val="000000" w:themeColor="text1"/>
                <w:sz w:val="22"/>
                <w:szCs w:val="22"/>
              </w:rPr>
              <w:t>-</w:t>
            </w:r>
            <w:r w:rsidR="004E5961" w:rsidRPr="003F5A77">
              <w:rPr>
                <w:rFonts w:asciiTheme="minorHAnsi" w:hAnsiTheme="minorHAnsi" w:cs="Arial"/>
                <w:color w:val="000000" w:themeColor="text1"/>
                <w:sz w:val="22"/>
                <w:szCs w:val="22"/>
              </w:rPr>
              <w:t>430</w:t>
            </w:r>
            <w:r w:rsidRPr="003F5A77">
              <w:rPr>
                <w:rFonts w:asciiTheme="minorHAnsi" w:hAnsiTheme="minorHAnsi" w:cs="Arial"/>
                <w:color w:val="000000" w:themeColor="text1"/>
                <w:sz w:val="22"/>
                <w:szCs w:val="22"/>
              </w:rPr>
              <w:t>)</w:t>
            </w:r>
          </w:p>
        </w:tc>
      </w:tr>
      <w:tr w:rsidR="007A1F4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2" w:type="dxa"/>
            <w:tcBorders>
              <w:top w:val="none" w:sz="0" w:space="0" w:color="auto"/>
              <w:bottom w:val="none" w:sz="0" w:space="0" w:color="auto"/>
              <w:right w:val="none" w:sz="0" w:space="0" w:color="auto"/>
            </w:tcBorders>
            <w:shd w:val="clear" w:color="auto" w:fill="B8CCE4" w:themeFill="accent1" w:themeFillTint="66"/>
          </w:tcPr>
          <w:p w:rsidR="007A1F4F" w:rsidRPr="00232A15" w:rsidRDefault="007A1F4F" w:rsidP="00232A15">
            <w:pPr>
              <w:ind w:left="34"/>
              <w:rPr>
                <w:rFonts w:asciiTheme="minorHAnsi" w:hAnsiTheme="minorHAnsi" w:cs="Arial"/>
                <w:color w:val="000000" w:themeColor="text1"/>
                <w:sz w:val="22"/>
                <w:szCs w:val="22"/>
              </w:rPr>
            </w:pPr>
            <w:r w:rsidRPr="00232A15">
              <w:rPr>
                <w:rFonts w:asciiTheme="minorHAnsi" w:hAnsiTheme="minorHAnsi" w:cs="Arial"/>
                <w:color w:val="000000" w:themeColor="text1"/>
                <w:sz w:val="22"/>
                <w:szCs w:val="22"/>
              </w:rPr>
              <w:t>TOTAL EAH</w:t>
            </w:r>
          </w:p>
        </w:tc>
        <w:tc>
          <w:tcPr>
            <w:tcW w:w="1256" w:type="dxa"/>
            <w:tcBorders>
              <w:top w:val="none" w:sz="0" w:space="0" w:color="auto"/>
              <w:bottom w:val="none" w:sz="0" w:space="0" w:color="auto"/>
            </w:tcBorders>
            <w:shd w:val="clear" w:color="auto" w:fill="B8CCE4" w:themeFill="accent1" w:themeFillTint="66"/>
          </w:tcPr>
          <w:p w:rsidR="007A1F4F" w:rsidRPr="003F5A77" w:rsidRDefault="00A073EE"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12,600</w:t>
            </w:r>
          </w:p>
        </w:tc>
        <w:tc>
          <w:tcPr>
            <w:tcW w:w="2188" w:type="dxa"/>
            <w:tcBorders>
              <w:top w:val="none" w:sz="0" w:space="0" w:color="auto"/>
              <w:bottom w:val="none" w:sz="0" w:space="0" w:color="auto"/>
            </w:tcBorders>
            <w:shd w:val="clear" w:color="auto" w:fill="B8CCE4" w:themeFill="accent1" w:themeFillTint="66"/>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4.0%</w:t>
            </w:r>
          </w:p>
        </w:tc>
        <w:tc>
          <w:tcPr>
            <w:tcW w:w="1128" w:type="dxa"/>
            <w:tcBorders>
              <w:top w:val="none" w:sz="0" w:space="0" w:color="auto"/>
              <w:bottom w:val="none" w:sz="0" w:space="0" w:color="auto"/>
            </w:tcBorders>
            <w:shd w:val="clear" w:color="auto" w:fill="B8CCE4" w:themeFill="accent1" w:themeFillTint="66"/>
          </w:tcPr>
          <w:p w:rsidR="007A1F4F" w:rsidRPr="003F5A77" w:rsidRDefault="004E5961"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16,080</w:t>
            </w:r>
          </w:p>
        </w:tc>
        <w:tc>
          <w:tcPr>
            <w:tcW w:w="2188" w:type="dxa"/>
            <w:tcBorders>
              <w:top w:val="none" w:sz="0" w:space="0" w:color="auto"/>
              <w:bottom w:val="none" w:sz="0" w:space="0" w:color="auto"/>
            </w:tcBorders>
            <w:shd w:val="clear" w:color="auto" w:fill="B8CCE4" w:themeFill="accent1" w:themeFillTint="66"/>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4.9%</w:t>
            </w:r>
          </w:p>
        </w:tc>
        <w:tc>
          <w:tcPr>
            <w:tcW w:w="1070" w:type="dxa"/>
            <w:tcBorders>
              <w:top w:val="none" w:sz="0" w:space="0" w:color="auto"/>
              <w:bottom w:val="none" w:sz="0" w:space="0" w:color="auto"/>
            </w:tcBorders>
            <w:shd w:val="clear" w:color="auto" w:fill="B8CCE4" w:themeFill="accent1" w:themeFillTint="66"/>
          </w:tcPr>
          <w:p w:rsidR="007A1F4F" w:rsidRPr="003F5A77" w:rsidRDefault="005B3B60"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17</w:t>
            </w:r>
            <w:r w:rsidR="004E5961" w:rsidRPr="003F5A77">
              <w:rPr>
                <w:rFonts w:asciiTheme="minorHAnsi" w:hAnsiTheme="minorHAnsi" w:cs="Arial"/>
                <w:b/>
                <w:color w:val="000000" w:themeColor="text1"/>
                <w:sz w:val="22"/>
                <w:szCs w:val="22"/>
              </w:rPr>
              <w:t>,</w:t>
            </w:r>
            <w:r w:rsidRPr="003F5A77">
              <w:rPr>
                <w:rFonts w:asciiTheme="minorHAnsi" w:hAnsiTheme="minorHAnsi" w:cs="Arial"/>
                <w:b/>
                <w:color w:val="000000" w:themeColor="text1"/>
                <w:sz w:val="22"/>
                <w:szCs w:val="22"/>
              </w:rPr>
              <w:t>270</w:t>
            </w:r>
          </w:p>
        </w:tc>
        <w:tc>
          <w:tcPr>
            <w:tcW w:w="2279" w:type="dxa"/>
            <w:tcBorders>
              <w:top w:val="none" w:sz="0" w:space="0" w:color="auto"/>
              <w:bottom w:val="none" w:sz="0" w:space="0" w:color="auto"/>
            </w:tcBorders>
            <w:shd w:val="clear" w:color="auto" w:fill="B8CCE4" w:themeFill="accent1" w:themeFillTint="66"/>
          </w:tcPr>
          <w:p w:rsidR="007A1F4F" w:rsidRPr="003F5A77" w:rsidRDefault="007A1F4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5.1%</w:t>
            </w:r>
          </w:p>
        </w:tc>
        <w:tc>
          <w:tcPr>
            <w:tcW w:w="2234" w:type="dxa"/>
            <w:tcBorders>
              <w:top w:val="none" w:sz="0" w:space="0" w:color="auto"/>
              <w:bottom w:val="none" w:sz="0" w:space="0" w:color="auto"/>
            </w:tcBorders>
            <w:shd w:val="clear" w:color="auto" w:fill="B8CCE4" w:themeFill="accent1" w:themeFillTint="66"/>
          </w:tcPr>
          <w:p w:rsidR="007A1F4F" w:rsidRPr="003F5A77" w:rsidRDefault="004E5961"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+7% (n= 1190</w:t>
            </w:r>
            <w:r w:rsidR="007A1F4F" w:rsidRPr="003F5A77">
              <w:rPr>
                <w:rFonts w:asciiTheme="minorHAnsi" w:hAnsiTheme="minorHAnsi" w:cs="Arial"/>
                <w:b/>
                <w:color w:val="000000" w:themeColor="text1"/>
                <w:sz w:val="22"/>
                <w:szCs w:val="22"/>
              </w:rPr>
              <w:t>)</w:t>
            </w:r>
          </w:p>
        </w:tc>
      </w:tr>
    </w:tbl>
    <w:p w:rsidR="007A1F4F" w:rsidRPr="003F5A77" w:rsidRDefault="007A1F4F" w:rsidP="000044F0">
      <w:pPr>
        <w:ind w:left="-851"/>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 xml:space="preserve">Source: </w:t>
      </w:r>
      <w:r w:rsidR="00A073EE" w:rsidRPr="003F5A77">
        <w:rPr>
          <w:rFonts w:asciiTheme="minorHAnsi" w:hAnsiTheme="minorHAnsi" w:cs="Arial"/>
          <w:b/>
          <w:color w:val="000000" w:themeColor="text1"/>
          <w:sz w:val="22"/>
          <w:szCs w:val="22"/>
        </w:rPr>
        <w:t xml:space="preserve">Derived from % found at </w:t>
      </w:r>
      <w:r w:rsidRPr="003F5A77">
        <w:rPr>
          <w:rFonts w:asciiTheme="minorHAnsi" w:hAnsiTheme="minorHAnsi" w:cs="Arial"/>
          <w:b/>
          <w:color w:val="000000" w:themeColor="text1"/>
          <w:sz w:val="22"/>
          <w:szCs w:val="22"/>
        </w:rPr>
        <w:t xml:space="preserve">ABS Census, 2006, 2011, 2016 (customised data) </w:t>
      </w:r>
      <w:r w:rsidRPr="003F5A77">
        <w:rPr>
          <w:rFonts w:asciiTheme="minorHAnsi" w:hAnsiTheme="minorHAnsi" w:cs="Arial"/>
          <w:color w:val="000000" w:themeColor="text1"/>
          <w:sz w:val="22"/>
          <w:szCs w:val="22"/>
        </w:rPr>
        <w:tab/>
      </w:r>
      <w:r w:rsidR="00A073EE" w:rsidRPr="003F5A77">
        <w:rPr>
          <w:rFonts w:asciiTheme="minorHAnsi" w:hAnsiTheme="minorHAnsi" w:cs="Arial"/>
          <w:b/>
          <w:color w:val="000000" w:themeColor="text1"/>
          <w:sz w:val="22"/>
          <w:szCs w:val="22"/>
        </w:rPr>
        <w:t>as applied to estimated household number forecast in each review year (based on averaging .id and VIF forecasts)</w:t>
      </w:r>
    </w:p>
    <w:p w:rsidR="00364DC3" w:rsidRPr="003F5A77" w:rsidRDefault="00364DC3" w:rsidP="000044F0">
      <w:pPr>
        <w:ind w:left="-851"/>
        <w:rPr>
          <w:rFonts w:asciiTheme="minorHAnsi" w:hAnsiTheme="minorHAnsi" w:cs="Arial"/>
          <w:color w:val="000000" w:themeColor="text1"/>
          <w:sz w:val="22"/>
          <w:szCs w:val="22"/>
        </w:rPr>
      </w:pPr>
    </w:p>
    <w:p w:rsidR="00364DC3" w:rsidRPr="003F5A77" w:rsidRDefault="00364DC3" w:rsidP="00232A15">
      <w:pPr>
        <w:pStyle w:val="ListParagraph"/>
        <w:numPr>
          <w:ilvl w:val="0"/>
          <w:numId w:val="8"/>
        </w:numPr>
        <w:ind w:left="-284" w:hanging="567"/>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There has been a </w:t>
      </w:r>
      <w:r w:rsidRPr="003F5A77">
        <w:rPr>
          <w:rFonts w:asciiTheme="minorHAnsi" w:hAnsiTheme="minorHAnsi" w:cs="Arial"/>
          <w:b/>
          <w:color w:val="000000" w:themeColor="text1"/>
          <w:sz w:val="22"/>
          <w:szCs w:val="22"/>
        </w:rPr>
        <w:t>7% increase</w:t>
      </w:r>
      <w:r w:rsidRPr="003F5A77">
        <w:rPr>
          <w:rFonts w:asciiTheme="minorHAnsi" w:hAnsiTheme="minorHAnsi" w:cs="Arial"/>
          <w:color w:val="000000" w:themeColor="text1"/>
          <w:sz w:val="22"/>
          <w:szCs w:val="22"/>
        </w:rPr>
        <w:t xml:space="preserve"> (1190 households) </w:t>
      </w:r>
      <w:r w:rsidRPr="003F5A77">
        <w:rPr>
          <w:rFonts w:asciiTheme="minorHAnsi" w:hAnsiTheme="minorHAnsi" w:cs="Arial"/>
          <w:b/>
          <w:color w:val="000000" w:themeColor="text1"/>
          <w:sz w:val="22"/>
          <w:szCs w:val="22"/>
        </w:rPr>
        <w:t>in number of households</w:t>
      </w:r>
      <w:r w:rsidRPr="003F5A77">
        <w:rPr>
          <w:rFonts w:asciiTheme="minorHAnsi" w:hAnsiTheme="minorHAnsi" w:cs="Arial"/>
          <w:color w:val="000000" w:themeColor="text1"/>
          <w:sz w:val="22"/>
          <w:szCs w:val="22"/>
        </w:rPr>
        <w:t xml:space="preserve"> across the region </w:t>
      </w:r>
      <w:r w:rsidRPr="003F5A77">
        <w:rPr>
          <w:rFonts w:asciiTheme="minorHAnsi" w:hAnsiTheme="minorHAnsi" w:cs="Arial"/>
          <w:b/>
          <w:color w:val="000000" w:themeColor="text1"/>
          <w:sz w:val="22"/>
          <w:szCs w:val="22"/>
        </w:rPr>
        <w:t>in the ‘target’ market</w:t>
      </w:r>
      <w:r w:rsidRPr="003F5A77">
        <w:rPr>
          <w:rFonts w:asciiTheme="minorHAnsi" w:hAnsiTheme="minorHAnsi" w:cs="Arial"/>
          <w:color w:val="000000" w:themeColor="text1"/>
          <w:sz w:val="22"/>
          <w:szCs w:val="22"/>
        </w:rPr>
        <w:t>, increasing from an estimated 16,080 households in 2014, to 17,270 in 2017</w:t>
      </w:r>
    </w:p>
    <w:p w:rsidR="007A1F4F" w:rsidRPr="003F5A77" w:rsidRDefault="007A1F4F" w:rsidP="00232A15">
      <w:pPr>
        <w:ind w:left="-284" w:hanging="567"/>
        <w:rPr>
          <w:rFonts w:asciiTheme="minorHAnsi" w:hAnsiTheme="minorHAnsi" w:cs="Arial"/>
          <w:color w:val="000000" w:themeColor="text1"/>
          <w:sz w:val="22"/>
          <w:szCs w:val="22"/>
        </w:rPr>
      </w:pPr>
    </w:p>
    <w:p w:rsidR="007A1F4F" w:rsidRPr="003F5A77" w:rsidRDefault="007A1F4F" w:rsidP="00232A15">
      <w:pPr>
        <w:pStyle w:val="ListParagraph"/>
        <w:numPr>
          <w:ilvl w:val="0"/>
          <w:numId w:val="8"/>
        </w:numPr>
        <w:ind w:left="-284" w:hanging="567"/>
        <w:rPr>
          <w:rFonts w:asciiTheme="minorHAnsi" w:hAnsiTheme="minorHAnsi" w:cs="Arial"/>
          <w:b/>
          <w:sz w:val="22"/>
          <w:szCs w:val="22"/>
        </w:rPr>
      </w:pPr>
      <w:r w:rsidRPr="003F5A77">
        <w:rPr>
          <w:rFonts w:asciiTheme="minorHAnsi" w:hAnsiTheme="minorHAnsi" w:cs="Arial"/>
          <w:b/>
          <w:sz w:val="22"/>
          <w:szCs w:val="22"/>
        </w:rPr>
        <w:t>Monash and Whitehorse</w:t>
      </w:r>
      <w:proofErr w:type="gramStart"/>
      <w:r w:rsidRPr="003F5A77">
        <w:rPr>
          <w:rFonts w:asciiTheme="minorHAnsi" w:hAnsiTheme="minorHAnsi" w:cs="Arial"/>
          <w:b/>
          <w:sz w:val="22"/>
          <w:szCs w:val="22"/>
        </w:rPr>
        <w:t>, in particular, had</w:t>
      </w:r>
      <w:proofErr w:type="gramEnd"/>
      <w:r w:rsidRPr="003F5A77">
        <w:rPr>
          <w:rFonts w:asciiTheme="minorHAnsi" w:hAnsiTheme="minorHAnsi" w:cs="Arial"/>
          <w:b/>
          <w:sz w:val="22"/>
          <w:szCs w:val="22"/>
        </w:rPr>
        <w:t xml:space="preserve"> the largest increases in </w:t>
      </w:r>
      <w:r w:rsidRPr="003F5A77">
        <w:rPr>
          <w:rFonts w:asciiTheme="minorHAnsi" w:hAnsiTheme="minorHAnsi" w:cs="Arial"/>
          <w:b/>
          <w:i/>
          <w:sz w:val="22"/>
          <w:szCs w:val="22"/>
        </w:rPr>
        <w:t xml:space="preserve">number </w:t>
      </w:r>
      <w:r w:rsidRPr="003F5A77">
        <w:rPr>
          <w:rFonts w:asciiTheme="minorHAnsi" w:hAnsiTheme="minorHAnsi" w:cs="Arial"/>
          <w:b/>
          <w:sz w:val="22"/>
          <w:szCs w:val="22"/>
        </w:rPr>
        <w:t>of very low-income households</w:t>
      </w:r>
      <w:r w:rsidRPr="003F5A77">
        <w:rPr>
          <w:rFonts w:asciiTheme="minorHAnsi" w:hAnsiTheme="minorHAnsi" w:cs="Arial"/>
          <w:sz w:val="22"/>
          <w:szCs w:val="22"/>
        </w:rPr>
        <w:t xml:space="preserve"> in the target market since the </w:t>
      </w:r>
      <w:r w:rsidR="003A6BB0" w:rsidRPr="003F5A77">
        <w:rPr>
          <w:rFonts w:asciiTheme="minorHAnsi" w:hAnsiTheme="minorHAnsi" w:cs="Arial"/>
          <w:sz w:val="22"/>
          <w:szCs w:val="22"/>
        </w:rPr>
        <w:t>last Review</w:t>
      </w:r>
      <w:r w:rsidR="00E96527" w:rsidRPr="003F5A77">
        <w:rPr>
          <w:rFonts w:asciiTheme="minorHAnsi" w:hAnsiTheme="minorHAnsi" w:cs="Arial"/>
          <w:sz w:val="22"/>
          <w:szCs w:val="22"/>
        </w:rPr>
        <w:t xml:space="preserve"> (+800 and +550 respectively</w:t>
      </w:r>
      <w:r w:rsidRPr="003F5A77">
        <w:rPr>
          <w:rFonts w:asciiTheme="minorHAnsi" w:hAnsiTheme="minorHAnsi" w:cs="Arial"/>
          <w:sz w:val="22"/>
          <w:szCs w:val="22"/>
        </w:rPr>
        <w:t>). Manningham experienced the largest percentage increase (25%</w:t>
      </w:r>
      <w:r w:rsidR="00E96527" w:rsidRPr="003F5A77">
        <w:rPr>
          <w:rFonts w:asciiTheme="minorHAnsi" w:hAnsiTheme="minorHAnsi" w:cs="Arial"/>
          <w:sz w:val="22"/>
          <w:szCs w:val="22"/>
        </w:rPr>
        <w:t>) resulting in an additional 400</w:t>
      </w:r>
      <w:r w:rsidRPr="003F5A77">
        <w:rPr>
          <w:rFonts w:asciiTheme="minorHAnsi" w:hAnsiTheme="minorHAnsi" w:cs="Arial"/>
          <w:sz w:val="22"/>
          <w:szCs w:val="22"/>
        </w:rPr>
        <w:t xml:space="preserve"> households.</w:t>
      </w:r>
    </w:p>
    <w:p w:rsidR="00364DC3" w:rsidRPr="003F5A77" w:rsidRDefault="00364DC3" w:rsidP="000044F0">
      <w:pPr>
        <w:pStyle w:val="ListParagraph"/>
        <w:ind w:left="-851"/>
        <w:rPr>
          <w:rFonts w:asciiTheme="minorHAnsi" w:hAnsiTheme="minorHAnsi" w:cs="Arial"/>
          <w:b/>
          <w:sz w:val="22"/>
          <w:szCs w:val="22"/>
        </w:rPr>
        <w:sectPr w:rsidR="00364DC3" w:rsidRPr="003F5A77" w:rsidSect="00B059CE">
          <w:pgSz w:w="16838" w:h="11906" w:orient="landscape"/>
          <w:pgMar w:top="1797" w:right="991" w:bottom="1797" w:left="1440" w:header="709" w:footer="709" w:gutter="0"/>
          <w:cols w:space="708"/>
          <w:docGrid w:linePitch="360"/>
        </w:sectPr>
      </w:pPr>
    </w:p>
    <w:p w:rsidR="00364DC3" w:rsidRPr="003F5A77" w:rsidRDefault="003A6BB0" w:rsidP="00232A15">
      <w:pPr>
        <w:pStyle w:val="ListParagraph"/>
        <w:numPr>
          <w:ilvl w:val="0"/>
          <w:numId w:val="8"/>
        </w:numPr>
        <w:spacing w:after="120"/>
        <w:ind w:left="-284" w:hanging="567"/>
        <w:contextualSpacing w:val="0"/>
        <w:rPr>
          <w:rFonts w:asciiTheme="minorHAnsi" w:hAnsiTheme="minorHAnsi" w:cs="Arial"/>
          <w:sz w:val="22"/>
          <w:szCs w:val="22"/>
        </w:rPr>
      </w:pPr>
      <w:r w:rsidRPr="003F5A77">
        <w:rPr>
          <w:rFonts w:asciiTheme="minorHAnsi" w:hAnsiTheme="minorHAnsi" w:cs="Arial"/>
          <w:b/>
          <w:sz w:val="22"/>
          <w:szCs w:val="22"/>
        </w:rPr>
        <w:lastRenderedPageBreak/>
        <w:t>Since the 2014 Review</w:t>
      </w:r>
      <w:r w:rsidR="007A1F4F" w:rsidRPr="003F5A77">
        <w:rPr>
          <w:rFonts w:asciiTheme="minorHAnsi" w:hAnsiTheme="minorHAnsi" w:cs="Arial"/>
          <w:b/>
          <w:sz w:val="22"/>
          <w:szCs w:val="22"/>
        </w:rPr>
        <w:t xml:space="preserve"> there has been a </w:t>
      </w:r>
      <w:r w:rsidR="007A1F4F" w:rsidRPr="003F5A77">
        <w:rPr>
          <w:rFonts w:asciiTheme="minorHAnsi" w:hAnsiTheme="minorHAnsi" w:cs="Arial"/>
          <w:b/>
          <w:i/>
          <w:sz w:val="22"/>
          <w:szCs w:val="22"/>
        </w:rPr>
        <w:t xml:space="preserve">decline </w:t>
      </w:r>
      <w:r w:rsidR="007A1F4F" w:rsidRPr="003F5A77">
        <w:rPr>
          <w:rFonts w:asciiTheme="minorHAnsi" w:hAnsiTheme="minorHAnsi" w:cs="Arial"/>
          <w:b/>
          <w:sz w:val="22"/>
          <w:szCs w:val="22"/>
        </w:rPr>
        <w:t>in the number and percentage of non-home owner households in Knox, Maroondah and Yarra Ranges that are in the lowest 10% of household incomes nationally.</w:t>
      </w:r>
      <w:r w:rsidR="007A1F4F" w:rsidRPr="003F5A77">
        <w:rPr>
          <w:rFonts w:asciiTheme="minorHAnsi" w:hAnsiTheme="minorHAnsi" w:cs="Arial"/>
          <w:sz w:val="22"/>
          <w:szCs w:val="22"/>
        </w:rPr>
        <w:t xml:space="preserve"> </w:t>
      </w:r>
    </w:p>
    <w:p w:rsidR="00364DC3" w:rsidRPr="003F5A77" w:rsidRDefault="007A1F4F" w:rsidP="00232A15">
      <w:pPr>
        <w:pStyle w:val="ListParagraph"/>
        <w:ind w:left="-284"/>
        <w:rPr>
          <w:rFonts w:asciiTheme="minorHAnsi" w:hAnsiTheme="minorHAnsi" w:cs="Arial"/>
          <w:sz w:val="22"/>
          <w:szCs w:val="22"/>
        </w:rPr>
      </w:pPr>
      <w:r w:rsidRPr="003F5A77">
        <w:rPr>
          <w:rFonts w:asciiTheme="minorHAnsi" w:hAnsiTheme="minorHAnsi" w:cs="Arial"/>
          <w:sz w:val="22"/>
          <w:szCs w:val="22"/>
        </w:rPr>
        <w:t>Is this a function of declining housing affordability in these areas – forcing lower income households out, or prec</w:t>
      </w:r>
      <w:r w:rsidR="00364DC3" w:rsidRPr="003F5A77">
        <w:rPr>
          <w:rFonts w:asciiTheme="minorHAnsi" w:hAnsiTheme="minorHAnsi" w:cs="Arial"/>
          <w:sz w:val="22"/>
          <w:szCs w:val="22"/>
        </w:rPr>
        <w:t>luding others from moving in as the amount of more moderately priced renta</w:t>
      </w:r>
      <w:r w:rsidR="00CA155F" w:rsidRPr="003F5A77">
        <w:rPr>
          <w:rFonts w:asciiTheme="minorHAnsi" w:hAnsiTheme="minorHAnsi" w:cs="Arial"/>
          <w:sz w:val="22"/>
          <w:szCs w:val="22"/>
        </w:rPr>
        <w:t>l housing contracts?  It is possibly</w:t>
      </w:r>
      <w:r w:rsidR="00364DC3" w:rsidRPr="003F5A77">
        <w:rPr>
          <w:rFonts w:asciiTheme="minorHAnsi" w:hAnsiTheme="minorHAnsi" w:cs="Arial"/>
          <w:sz w:val="22"/>
          <w:szCs w:val="22"/>
        </w:rPr>
        <w:t xml:space="preserve"> no coincidence that these three municipalities also experienced the biggest declines in the percentage of </w:t>
      </w:r>
      <w:r w:rsidR="00364DC3" w:rsidRPr="003F5A77">
        <w:rPr>
          <w:rFonts w:asciiTheme="minorHAnsi" w:hAnsiTheme="minorHAnsi" w:cs="Arial"/>
          <w:i/>
          <w:sz w:val="22"/>
          <w:szCs w:val="22"/>
        </w:rPr>
        <w:t>affordable rentals</w:t>
      </w:r>
      <w:r w:rsidR="00364DC3" w:rsidRPr="003F5A77">
        <w:rPr>
          <w:rFonts w:asciiTheme="minorHAnsi" w:hAnsiTheme="minorHAnsi" w:cs="Arial"/>
          <w:sz w:val="22"/>
          <w:szCs w:val="22"/>
        </w:rPr>
        <w:t xml:space="preserve"> available within their boundaries (Knox from 5.6% to 3.8%; Maroondah from 4.2% to 3.2%; and Yarra Ranges 10% to 7.5%).</w:t>
      </w:r>
    </w:p>
    <w:p w:rsidR="00364DC3" w:rsidRPr="003F5A77" w:rsidRDefault="00364DC3" w:rsidP="00232A15">
      <w:pPr>
        <w:pStyle w:val="ListParagraph"/>
        <w:ind w:left="-284" w:hanging="567"/>
        <w:rPr>
          <w:rFonts w:asciiTheme="minorHAnsi" w:hAnsiTheme="minorHAnsi" w:cs="Arial"/>
          <w:sz w:val="22"/>
          <w:szCs w:val="22"/>
        </w:rPr>
      </w:pPr>
    </w:p>
    <w:p w:rsidR="00364DC3" w:rsidRPr="003F5A77" w:rsidRDefault="00364DC3" w:rsidP="00232A15">
      <w:pPr>
        <w:pStyle w:val="ListParagraph"/>
        <w:numPr>
          <w:ilvl w:val="0"/>
          <w:numId w:val="8"/>
        </w:numPr>
        <w:ind w:left="-284" w:hanging="567"/>
        <w:rPr>
          <w:rFonts w:asciiTheme="minorHAnsi" w:hAnsiTheme="minorHAnsi" w:cs="Arial"/>
          <w:b/>
          <w:sz w:val="22"/>
          <w:szCs w:val="22"/>
        </w:rPr>
      </w:pPr>
      <w:r w:rsidRPr="003F5A77">
        <w:rPr>
          <w:rFonts w:asciiTheme="minorHAnsi" w:hAnsiTheme="minorHAnsi" w:cs="Arial"/>
          <w:sz w:val="22"/>
          <w:szCs w:val="22"/>
        </w:rPr>
        <w:t xml:space="preserve">How </w:t>
      </w:r>
      <w:proofErr w:type="gramStart"/>
      <w:r w:rsidRPr="003F5A77">
        <w:rPr>
          <w:rFonts w:asciiTheme="minorHAnsi" w:hAnsiTheme="minorHAnsi" w:cs="Arial"/>
          <w:sz w:val="22"/>
          <w:szCs w:val="22"/>
        </w:rPr>
        <w:t>then,  to</w:t>
      </w:r>
      <w:proofErr w:type="gramEnd"/>
      <w:r w:rsidRPr="003F5A77">
        <w:rPr>
          <w:rFonts w:asciiTheme="minorHAnsi" w:hAnsiTheme="minorHAnsi" w:cs="Arial"/>
          <w:sz w:val="22"/>
          <w:szCs w:val="22"/>
        </w:rPr>
        <w:t xml:space="preserve"> explain the </w:t>
      </w:r>
      <w:r w:rsidRPr="003F5A77">
        <w:rPr>
          <w:rFonts w:asciiTheme="minorHAnsi" w:hAnsiTheme="minorHAnsi" w:cs="Arial"/>
          <w:i/>
          <w:sz w:val="22"/>
          <w:szCs w:val="22"/>
        </w:rPr>
        <w:t>increase</w:t>
      </w:r>
      <w:r w:rsidRPr="003F5A77">
        <w:rPr>
          <w:rFonts w:asciiTheme="minorHAnsi" w:hAnsiTheme="minorHAnsi" w:cs="Arial"/>
          <w:sz w:val="22"/>
          <w:szCs w:val="22"/>
        </w:rPr>
        <w:t xml:space="preserve"> in households in the very-low income target market in Monash, Whitehorse and Manningham – which already had a much lower share of affordable rentals at the last review and experienced further, albeit small decline with this review? Monash and Whitehorse have considerable (low-income) student populations for whom discretion to move elsewhere (further out, or to more affordable areas of Melbourne) and at distance from the higher education provider, is les</w:t>
      </w:r>
      <w:r w:rsidR="00DF301E" w:rsidRPr="003F5A77">
        <w:rPr>
          <w:rFonts w:asciiTheme="minorHAnsi" w:hAnsiTheme="minorHAnsi" w:cs="Arial"/>
          <w:sz w:val="22"/>
          <w:szCs w:val="22"/>
        </w:rPr>
        <w:t xml:space="preserve">s of an option. </w:t>
      </w:r>
    </w:p>
    <w:p w:rsidR="00364DC3" w:rsidRPr="003F5A77" w:rsidRDefault="00364DC3" w:rsidP="00232A15">
      <w:pPr>
        <w:pStyle w:val="ListParagraph"/>
        <w:ind w:left="-284" w:hanging="567"/>
        <w:rPr>
          <w:rFonts w:asciiTheme="minorHAnsi" w:hAnsiTheme="minorHAnsi" w:cs="Arial"/>
          <w:b/>
          <w:sz w:val="22"/>
          <w:szCs w:val="22"/>
        </w:rPr>
      </w:pPr>
    </w:p>
    <w:p w:rsidR="00364DC3" w:rsidRPr="003F5A77" w:rsidRDefault="00364DC3" w:rsidP="00232A15">
      <w:pPr>
        <w:pStyle w:val="ListParagraph"/>
        <w:numPr>
          <w:ilvl w:val="0"/>
          <w:numId w:val="8"/>
        </w:numPr>
        <w:ind w:left="-284" w:hanging="567"/>
        <w:rPr>
          <w:rFonts w:asciiTheme="minorHAnsi" w:hAnsiTheme="minorHAnsi" w:cs="Arial"/>
          <w:b/>
          <w:sz w:val="22"/>
          <w:szCs w:val="22"/>
        </w:rPr>
      </w:pPr>
      <w:r w:rsidRPr="003F5A77">
        <w:rPr>
          <w:rFonts w:asciiTheme="minorHAnsi" w:hAnsiTheme="minorHAnsi" w:cs="Arial"/>
          <w:b/>
          <w:sz w:val="22"/>
          <w:szCs w:val="22"/>
        </w:rPr>
        <w:t xml:space="preserve">Monash and Whitehorse continue to exhibit a higher than average, and intensified level of ‘need’ </w:t>
      </w:r>
      <w:r w:rsidRPr="003F5A77">
        <w:rPr>
          <w:rFonts w:asciiTheme="minorHAnsi" w:hAnsiTheme="minorHAnsi" w:cs="Arial"/>
          <w:sz w:val="22"/>
          <w:szCs w:val="22"/>
        </w:rPr>
        <w:t>(7.3% and 6.6% of households</w:t>
      </w:r>
      <w:r w:rsidR="004F0C63" w:rsidRPr="003F5A77">
        <w:rPr>
          <w:rFonts w:asciiTheme="minorHAnsi" w:hAnsiTheme="minorHAnsi" w:cs="Arial"/>
          <w:sz w:val="22"/>
          <w:szCs w:val="22"/>
        </w:rPr>
        <w:t xml:space="preserve"> in the 2017 review</w:t>
      </w:r>
      <w:r w:rsidRPr="003F5A77">
        <w:rPr>
          <w:rFonts w:asciiTheme="minorHAnsi" w:hAnsiTheme="minorHAnsi" w:cs="Arial"/>
          <w:sz w:val="22"/>
          <w:szCs w:val="22"/>
        </w:rPr>
        <w:t xml:space="preserve"> compared with the regional av</w:t>
      </w:r>
      <w:r w:rsidR="004F0C63" w:rsidRPr="003F5A77">
        <w:rPr>
          <w:rFonts w:asciiTheme="minorHAnsi" w:hAnsiTheme="minorHAnsi" w:cs="Arial"/>
          <w:sz w:val="22"/>
          <w:szCs w:val="22"/>
        </w:rPr>
        <w:t>erage of 5.1%). This is</w:t>
      </w:r>
      <w:r w:rsidRPr="003F5A77">
        <w:rPr>
          <w:rFonts w:asciiTheme="minorHAnsi" w:hAnsiTheme="minorHAnsi" w:cs="Arial"/>
          <w:sz w:val="22"/>
          <w:szCs w:val="22"/>
        </w:rPr>
        <w:t xml:space="preserve"> thought to be associated with the student population.</w:t>
      </w:r>
    </w:p>
    <w:p w:rsidR="00364DC3" w:rsidRPr="003F5A77" w:rsidRDefault="00364DC3" w:rsidP="000044F0">
      <w:pPr>
        <w:ind w:left="-851"/>
        <w:rPr>
          <w:rFonts w:asciiTheme="minorHAnsi" w:hAnsiTheme="minorHAnsi" w:cs="Arial"/>
          <w:sz w:val="22"/>
          <w:szCs w:val="22"/>
        </w:rPr>
      </w:pPr>
    </w:p>
    <w:p w:rsidR="00364DC3" w:rsidRPr="003F5A77" w:rsidRDefault="00364DC3" w:rsidP="000044F0">
      <w:pPr>
        <w:ind w:left="-851"/>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Social housing stock as at June 30 </w:t>
      </w:r>
      <w:r w:rsidRPr="003F5A77">
        <w:rPr>
          <w:rFonts w:asciiTheme="minorHAnsi" w:hAnsiTheme="minorHAnsi" w:cs="Arial"/>
          <w:color w:val="000000" w:themeColor="text1"/>
          <w:sz w:val="22"/>
          <w:szCs w:val="22"/>
        </w:rPr>
        <w:t xml:space="preserve">(Data source: Summary of Housing Assistance 2005-2006 (DHS), 2006; Summary of Housing Assistance 2011-2012 (DHS), 2013; </w:t>
      </w:r>
      <w:proofErr w:type="gramStart"/>
      <w:r w:rsidRPr="003F5A77">
        <w:rPr>
          <w:rFonts w:asciiTheme="minorHAnsi" w:hAnsiTheme="minorHAnsi" w:cs="Arial"/>
          <w:color w:val="000000" w:themeColor="text1"/>
          <w:sz w:val="22"/>
          <w:szCs w:val="22"/>
        </w:rPr>
        <w:t>and  DHHS</w:t>
      </w:r>
      <w:proofErr w:type="gramEnd"/>
      <w:r w:rsidRPr="003F5A77">
        <w:rPr>
          <w:rFonts w:asciiTheme="minorHAnsi" w:hAnsiTheme="minorHAnsi" w:cs="Arial"/>
          <w:color w:val="000000" w:themeColor="text1"/>
          <w:sz w:val="22"/>
          <w:szCs w:val="22"/>
        </w:rPr>
        <w:t xml:space="preserve"> data, reported in 2015 Local Government Area (LGA) Profile, published, June 2016)</w:t>
      </w:r>
    </w:p>
    <w:p w:rsidR="00364DC3" w:rsidRPr="003F5A77" w:rsidRDefault="00364DC3"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Defined as both government-provided public housing and housing provided by the not-for-profit sector.</w:t>
      </w:r>
    </w:p>
    <w:p w:rsidR="00C36E6F" w:rsidRPr="003F5A77" w:rsidRDefault="00C36E6F" w:rsidP="000044F0">
      <w:pPr>
        <w:ind w:left="-851"/>
        <w:rPr>
          <w:rFonts w:asciiTheme="minorHAnsi" w:hAnsiTheme="minorHAnsi" w:cs="Arial"/>
          <w:color w:val="000000" w:themeColor="text1"/>
          <w:sz w:val="22"/>
          <w:szCs w:val="22"/>
        </w:rPr>
      </w:pPr>
    </w:p>
    <w:tbl>
      <w:tblPr>
        <w:tblStyle w:val="ListTable3-Accent1"/>
        <w:tblW w:w="0" w:type="auto"/>
        <w:tblInd w:w="-714" w:type="dxa"/>
        <w:tblBorders>
          <w:insideH w:val="single" w:sz="4" w:space="0" w:color="4F81BD" w:themeColor="accent1"/>
          <w:insideV w:val="single" w:sz="4" w:space="0" w:color="4F81BD" w:themeColor="accent1"/>
        </w:tblBorders>
        <w:tblLook w:val="04A0" w:firstRow="1" w:lastRow="0" w:firstColumn="1" w:lastColumn="0" w:noHBand="0" w:noVBand="1"/>
      </w:tblPr>
      <w:tblGrid>
        <w:gridCol w:w="2759"/>
        <w:gridCol w:w="1957"/>
        <w:gridCol w:w="2021"/>
        <w:gridCol w:w="2034"/>
        <w:gridCol w:w="1051"/>
      </w:tblGrid>
      <w:tr w:rsidR="00C36E6F" w:rsidRPr="003F5A77" w:rsidTr="00232A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2" w:type="dxa"/>
            <w:gridSpan w:val="5"/>
            <w:tcBorders>
              <w:bottom w:val="none" w:sz="0" w:space="0" w:color="auto"/>
              <w:right w:val="none" w:sz="0" w:space="0" w:color="auto"/>
            </w:tcBorders>
          </w:tcPr>
          <w:p w:rsidR="00C36E6F" w:rsidRPr="003F5A77" w:rsidRDefault="00C36E6F" w:rsidP="00232A15">
            <w:pPr>
              <w:ind w:left="34"/>
              <w:rPr>
                <w:rFonts w:asciiTheme="minorHAnsi" w:hAnsiTheme="minorHAnsi" w:cs="Arial"/>
                <w:sz w:val="22"/>
                <w:szCs w:val="22"/>
              </w:rPr>
            </w:pPr>
            <w:r w:rsidRPr="003F5A77">
              <w:rPr>
                <w:rFonts w:asciiTheme="minorHAnsi" w:hAnsiTheme="minorHAnsi" w:cs="Arial"/>
                <w:sz w:val="22"/>
                <w:szCs w:val="22"/>
              </w:rPr>
              <w:t>Table 3.2 Change in social housing stock (number of dwellings)</w:t>
            </w:r>
          </w:p>
          <w:p w:rsidR="00C36E6F" w:rsidRPr="003F5A77" w:rsidRDefault="00C36E6F" w:rsidP="00232A15">
            <w:pPr>
              <w:ind w:left="34"/>
              <w:rPr>
                <w:rFonts w:asciiTheme="minorHAnsi" w:hAnsiTheme="minorHAnsi" w:cs="Arial"/>
                <w:color w:val="000000" w:themeColor="text1"/>
                <w:sz w:val="22"/>
                <w:szCs w:val="22"/>
              </w:rPr>
            </w:pPr>
          </w:p>
        </w:tc>
      </w:tr>
      <w:tr w:rsidR="00C36E6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Borders>
              <w:top w:val="none" w:sz="0" w:space="0" w:color="auto"/>
              <w:bottom w:val="none" w:sz="0" w:space="0" w:color="auto"/>
              <w:right w:val="none" w:sz="0" w:space="0" w:color="auto"/>
            </w:tcBorders>
          </w:tcPr>
          <w:p w:rsidR="00C36E6F" w:rsidRPr="003F5A77" w:rsidRDefault="00C36E6F" w:rsidP="00232A15">
            <w:pPr>
              <w:ind w:left="34"/>
              <w:rPr>
                <w:rFonts w:asciiTheme="minorHAnsi" w:hAnsiTheme="minorHAnsi" w:cs="Arial"/>
                <w:color w:val="000000" w:themeColor="text1"/>
                <w:sz w:val="22"/>
                <w:szCs w:val="22"/>
              </w:rPr>
            </w:pPr>
          </w:p>
        </w:tc>
        <w:tc>
          <w:tcPr>
            <w:tcW w:w="1957"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2010 Review</w:t>
            </w:r>
            <w:r w:rsidRPr="003F5A77">
              <w:rPr>
                <w:rFonts w:asciiTheme="minorHAnsi" w:hAnsiTheme="minorHAnsi" w:cs="Arial"/>
                <w:color w:val="000000" w:themeColor="text1"/>
                <w:sz w:val="22"/>
                <w:szCs w:val="22"/>
              </w:rPr>
              <w:t xml:space="preserve"> (DHS data 2006)</w:t>
            </w:r>
            <w:r w:rsidRPr="003F5A77">
              <w:rPr>
                <w:rStyle w:val="FootnoteReference"/>
                <w:rFonts w:asciiTheme="minorHAnsi" w:hAnsiTheme="minorHAnsi" w:cs="Arial"/>
                <w:color w:val="000000" w:themeColor="text1"/>
                <w:sz w:val="22"/>
                <w:szCs w:val="22"/>
              </w:rPr>
              <w:t xml:space="preserve"> </w:t>
            </w:r>
            <w:r w:rsidRPr="003F5A77">
              <w:rPr>
                <w:rStyle w:val="FootnoteReference"/>
                <w:rFonts w:asciiTheme="minorHAnsi" w:hAnsiTheme="minorHAnsi" w:cs="Arial"/>
                <w:color w:val="000000" w:themeColor="text1"/>
                <w:sz w:val="22"/>
                <w:szCs w:val="22"/>
              </w:rPr>
              <w:footnoteReference w:id="18"/>
            </w:r>
          </w:p>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p>
        </w:tc>
        <w:tc>
          <w:tcPr>
            <w:tcW w:w="2021"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2014 Review</w:t>
            </w:r>
            <w:r w:rsidRPr="003F5A77">
              <w:rPr>
                <w:rFonts w:asciiTheme="minorHAnsi" w:hAnsiTheme="minorHAnsi" w:cs="Arial"/>
                <w:color w:val="000000" w:themeColor="text1"/>
                <w:sz w:val="22"/>
                <w:szCs w:val="22"/>
              </w:rPr>
              <w:t xml:space="preserve"> (DHHS data 2012)</w:t>
            </w:r>
          </w:p>
        </w:tc>
        <w:tc>
          <w:tcPr>
            <w:tcW w:w="2034"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2017 Review</w:t>
            </w:r>
            <w:r w:rsidRPr="003F5A77">
              <w:rPr>
                <w:rFonts w:asciiTheme="minorHAnsi" w:hAnsiTheme="minorHAnsi" w:cs="Arial"/>
                <w:color w:val="000000" w:themeColor="text1"/>
                <w:sz w:val="22"/>
                <w:szCs w:val="22"/>
              </w:rPr>
              <w:t xml:space="preserve"> (DHHS data 2015)</w:t>
            </w:r>
          </w:p>
        </w:tc>
        <w:tc>
          <w:tcPr>
            <w:tcW w:w="1051" w:type="dxa"/>
            <w:tcBorders>
              <w:top w:val="none" w:sz="0" w:space="0" w:color="auto"/>
              <w:bottom w:val="none" w:sz="0" w:space="0" w:color="auto"/>
            </w:tcBorders>
          </w:tcPr>
          <w:p w:rsidR="00C36E6F" w:rsidRPr="003F5A77" w:rsidRDefault="00C36E6F" w:rsidP="00232A15">
            <w:pPr>
              <w:ind w:lef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 xml:space="preserve">Change </w:t>
            </w:r>
          </w:p>
          <w:p w:rsidR="00C36E6F" w:rsidRPr="003F5A77" w:rsidRDefault="00C36E6F" w:rsidP="00232A15">
            <w:pPr>
              <w:ind w:lef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2014-17 reviews</w:t>
            </w:r>
          </w:p>
        </w:tc>
      </w:tr>
      <w:tr w:rsidR="00C36E6F" w:rsidRPr="003F5A77" w:rsidTr="00232A15">
        <w:tc>
          <w:tcPr>
            <w:cnfStyle w:val="001000000000" w:firstRow="0" w:lastRow="0" w:firstColumn="1" w:lastColumn="0" w:oddVBand="0" w:evenVBand="0" w:oddHBand="0" w:evenHBand="0" w:firstRowFirstColumn="0" w:firstRowLastColumn="0" w:lastRowFirstColumn="0" w:lastRowLastColumn="0"/>
            <w:tcW w:w="2759" w:type="dxa"/>
            <w:tcBorders>
              <w:right w:val="none" w:sz="0" w:space="0" w:color="auto"/>
            </w:tcBorders>
          </w:tcPr>
          <w:p w:rsidR="00C36E6F" w:rsidRPr="003F5A77" w:rsidRDefault="00C36E6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Knox</w:t>
            </w:r>
          </w:p>
        </w:tc>
        <w:tc>
          <w:tcPr>
            <w:tcW w:w="1957"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1212</w:t>
            </w:r>
          </w:p>
        </w:tc>
        <w:tc>
          <w:tcPr>
            <w:tcW w:w="2021"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1452</w:t>
            </w:r>
          </w:p>
        </w:tc>
        <w:tc>
          <w:tcPr>
            <w:tcW w:w="2034"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1445</w:t>
            </w:r>
          </w:p>
        </w:tc>
        <w:tc>
          <w:tcPr>
            <w:tcW w:w="1051"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w:t>
            </w:r>
          </w:p>
        </w:tc>
      </w:tr>
      <w:tr w:rsidR="00C36E6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Borders>
              <w:top w:val="none" w:sz="0" w:space="0" w:color="auto"/>
              <w:bottom w:val="none" w:sz="0" w:space="0" w:color="auto"/>
              <w:right w:val="none" w:sz="0" w:space="0" w:color="auto"/>
            </w:tcBorders>
          </w:tcPr>
          <w:p w:rsidR="00C36E6F" w:rsidRPr="003F5A77" w:rsidRDefault="00C36E6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Manningham</w:t>
            </w:r>
          </w:p>
        </w:tc>
        <w:tc>
          <w:tcPr>
            <w:tcW w:w="1957"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239</w:t>
            </w:r>
          </w:p>
        </w:tc>
        <w:tc>
          <w:tcPr>
            <w:tcW w:w="2021"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336</w:t>
            </w:r>
          </w:p>
        </w:tc>
        <w:tc>
          <w:tcPr>
            <w:tcW w:w="2034"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333</w:t>
            </w:r>
          </w:p>
        </w:tc>
        <w:tc>
          <w:tcPr>
            <w:tcW w:w="1051"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w:t>
            </w:r>
          </w:p>
        </w:tc>
      </w:tr>
      <w:tr w:rsidR="00C36E6F" w:rsidRPr="003F5A77" w:rsidTr="00232A15">
        <w:tc>
          <w:tcPr>
            <w:cnfStyle w:val="001000000000" w:firstRow="0" w:lastRow="0" w:firstColumn="1" w:lastColumn="0" w:oddVBand="0" w:evenVBand="0" w:oddHBand="0" w:evenHBand="0" w:firstRowFirstColumn="0" w:firstRowLastColumn="0" w:lastRowFirstColumn="0" w:lastRowLastColumn="0"/>
            <w:tcW w:w="2759" w:type="dxa"/>
            <w:tcBorders>
              <w:right w:val="none" w:sz="0" w:space="0" w:color="auto"/>
            </w:tcBorders>
          </w:tcPr>
          <w:p w:rsidR="00C36E6F" w:rsidRPr="003F5A77" w:rsidRDefault="00C36E6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Maroondah</w:t>
            </w:r>
          </w:p>
        </w:tc>
        <w:tc>
          <w:tcPr>
            <w:tcW w:w="1957"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1042</w:t>
            </w:r>
          </w:p>
        </w:tc>
        <w:tc>
          <w:tcPr>
            <w:tcW w:w="2021"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1325</w:t>
            </w:r>
          </w:p>
        </w:tc>
        <w:tc>
          <w:tcPr>
            <w:tcW w:w="2034"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1347</w:t>
            </w:r>
          </w:p>
        </w:tc>
        <w:tc>
          <w:tcPr>
            <w:tcW w:w="1051"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+22</w:t>
            </w:r>
          </w:p>
        </w:tc>
      </w:tr>
      <w:tr w:rsidR="00C36E6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Borders>
              <w:top w:val="none" w:sz="0" w:space="0" w:color="auto"/>
              <w:bottom w:val="none" w:sz="0" w:space="0" w:color="auto"/>
              <w:right w:val="none" w:sz="0" w:space="0" w:color="auto"/>
            </w:tcBorders>
          </w:tcPr>
          <w:p w:rsidR="00C36E6F" w:rsidRPr="003F5A77" w:rsidRDefault="00C36E6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Monash</w:t>
            </w:r>
          </w:p>
        </w:tc>
        <w:tc>
          <w:tcPr>
            <w:tcW w:w="1957"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1424</w:t>
            </w:r>
          </w:p>
        </w:tc>
        <w:tc>
          <w:tcPr>
            <w:tcW w:w="2021"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1578</w:t>
            </w:r>
          </w:p>
        </w:tc>
        <w:tc>
          <w:tcPr>
            <w:tcW w:w="2034"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1808</w:t>
            </w:r>
          </w:p>
        </w:tc>
        <w:tc>
          <w:tcPr>
            <w:tcW w:w="1051"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+230</w:t>
            </w:r>
          </w:p>
        </w:tc>
      </w:tr>
      <w:tr w:rsidR="00C36E6F" w:rsidRPr="003F5A77" w:rsidTr="00232A15">
        <w:tc>
          <w:tcPr>
            <w:cnfStyle w:val="001000000000" w:firstRow="0" w:lastRow="0" w:firstColumn="1" w:lastColumn="0" w:oddVBand="0" w:evenVBand="0" w:oddHBand="0" w:evenHBand="0" w:firstRowFirstColumn="0" w:firstRowLastColumn="0" w:lastRowFirstColumn="0" w:lastRowLastColumn="0"/>
            <w:tcW w:w="2759" w:type="dxa"/>
            <w:tcBorders>
              <w:right w:val="none" w:sz="0" w:space="0" w:color="auto"/>
            </w:tcBorders>
          </w:tcPr>
          <w:p w:rsidR="00C36E6F" w:rsidRPr="003F5A77" w:rsidRDefault="00C36E6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Whitehorse</w:t>
            </w:r>
          </w:p>
        </w:tc>
        <w:tc>
          <w:tcPr>
            <w:tcW w:w="1957"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1469</w:t>
            </w:r>
          </w:p>
        </w:tc>
        <w:tc>
          <w:tcPr>
            <w:tcW w:w="2021"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1614</w:t>
            </w:r>
          </w:p>
        </w:tc>
        <w:tc>
          <w:tcPr>
            <w:tcW w:w="2034"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1577</w:t>
            </w:r>
          </w:p>
        </w:tc>
        <w:tc>
          <w:tcPr>
            <w:tcW w:w="1051" w:type="dxa"/>
          </w:tcPr>
          <w:p w:rsidR="00C36E6F" w:rsidRPr="003F5A77"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-37</w:t>
            </w:r>
          </w:p>
        </w:tc>
      </w:tr>
      <w:tr w:rsidR="00C36E6F"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Borders>
              <w:top w:val="none" w:sz="0" w:space="0" w:color="auto"/>
              <w:bottom w:val="none" w:sz="0" w:space="0" w:color="auto"/>
              <w:right w:val="none" w:sz="0" w:space="0" w:color="auto"/>
            </w:tcBorders>
          </w:tcPr>
          <w:p w:rsidR="00C36E6F" w:rsidRPr="003F5A77" w:rsidRDefault="00C36E6F" w:rsidP="00232A15">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Yarra Ranges</w:t>
            </w:r>
          </w:p>
        </w:tc>
        <w:tc>
          <w:tcPr>
            <w:tcW w:w="1957"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610</w:t>
            </w:r>
          </w:p>
        </w:tc>
        <w:tc>
          <w:tcPr>
            <w:tcW w:w="2021"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745</w:t>
            </w:r>
          </w:p>
        </w:tc>
        <w:tc>
          <w:tcPr>
            <w:tcW w:w="2034"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762</w:t>
            </w:r>
          </w:p>
        </w:tc>
        <w:tc>
          <w:tcPr>
            <w:tcW w:w="1051" w:type="dxa"/>
            <w:tcBorders>
              <w:top w:val="none" w:sz="0" w:space="0" w:color="auto"/>
              <w:bottom w:val="none" w:sz="0" w:space="0" w:color="auto"/>
            </w:tcBorders>
          </w:tcPr>
          <w:p w:rsidR="00C36E6F" w:rsidRPr="003F5A77" w:rsidRDefault="00C36E6F"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+17</w:t>
            </w:r>
          </w:p>
        </w:tc>
      </w:tr>
      <w:tr w:rsidR="00C36E6F" w:rsidRPr="003F5A77" w:rsidTr="00232A15">
        <w:tc>
          <w:tcPr>
            <w:cnfStyle w:val="001000000000" w:firstRow="0" w:lastRow="0" w:firstColumn="1" w:lastColumn="0" w:oddVBand="0" w:evenVBand="0" w:oddHBand="0" w:evenHBand="0" w:firstRowFirstColumn="0" w:firstRowLastColumn="0" w:lastRowFirstColumn="0" w:lastRowLastColumn="0"/>
            <w:tcW w:w="2759" w:type="dxa"/>
            <w:tcBorders>
              <w:right w:val="none" w:sz="0" w:space="0" w:color="auto"/>
            </w:tcBorders>
            <w:shd w:val="clear" w:color="auto" w:fill="B8CCE4" w:themeFill="accent1" w:themeFillTint="66"/>
          </w:tcPr>
          <w:p w:rsidR="00C36E6F" w:rsidRPr="00232A15" w:rsidRDefault="00C36E6F" w:rsidP="00232A15">
            <w:pPr>
              <w:ind w:left="34"/>
              <w:rPr>
                <w:rFonts w:asciiTheme="minorHAnsi" w:hAnsiTheme="minorHAnsi" w:cs="Arial"/>
                <w:color w:val="000000" w:themeColor="text1"/>
                <w:sz w:val="22"/>
                <w:szCs w:val="22"/>
              </w:rPr>
            </w:pPr>
            <w:r w:rsidRPr="00232A15">
              <w:rPr>
                <w:rFonts w:asciiTheme="minorHAnsi" w:hAnsiTheme="minorHAnsi" w:cs="Arial"/>
                <w:color w:val="000000" w:themeColor="text1"/>
                <w:sz w:val="22"/>
                <w:szCs w:val="22"/>
              </w:rPr>
              <w:t>TOTAL EAH</w:t>
            </w:r>
          </w:p>
        </w:tc>
        <w:tc>
          <w:tcPr>
            <w:tcW w:w="1957" w:type="dxa"/>
            <w:shd w:val="clear" w:color="auto" w:fill="B8CCE4" w:themeFill="accent1" w:themeFillTint="66"/>
          </w:tcPr>
          <w:p w:rsidR="00C36E6F" w:rsidRPr="00232A15"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5996</w:t>
            </w:r>
          </w:p>
        </w:tc>
        <w:tc>
          <w:tcPr>
            <w:tcW w:w="2021" w:type="dxa"/>
            <w:shd w:val="clear" w:color="auto" w:fill="B8CCE4" w:themeFill="accent1" w:themeFillTint="66"/>
          </w:tcPr>
          <w:p w:rsidR="00C36E6F" w:rsidRPr="00232A15"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7050</w:t>
            </w:r>
          </w:p>
        </w:tc>
        <w:tc>
          <w:tcPr>
            <w:tcW w:w="2034" w:type="dxa"/>
            <w:shd w:val="clear" w:color="auto" w:fill="B8CCE4" w:themeFill="accent1" w:themeFillTint="66"/>
          </w:tcPr>
          <w:p w:rsidR="00C36E6F" w:rsidRPr="00232A15"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7272</w:t>
            </w:r>
          </w:p>
        </w:tc>
        <w:tc>
          <w:tcPr>
            <w:tcW w:w="1051" w:type="dxa"/>
            <w:shd w:val="clear" w:color="auto" w:fill="B8CCE4" w:themeFill="accent1" w:themeFillTint="66"/>
          </w:tcPr>
          <w:p w:rsidR="00C36E6F" w:rsidRPr="00232A15" w:rsidRDefault="00C36E6F" w:rsidP="00232A15">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+222</w:t>
            </w:r>
          </w:p>
        </w:tc>
      </w:tr>
      <w:tr w:rsidR="004F0C63" w:rsidRPr="003F5A77" w:rsidTr="0023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Borders>
              <w:top w:val="none" w:sz="0" w:space="0" w:color="auto"/>
              <w:bottom w:val="none" w:sz="0" w:space="0" w:color="auto"/>
              <w:right w:val="none" w:sz="0" w:space="0" w:color="auto"/>
            </w:tcBorders>
            <w:shd w:val="clear" w:color="auto" w:fill="B8CCE4" w:themeFill="accent1" w:themeFillTint="66"/>
          </w:tcPr>
          <w:p w:rsidR="004F0C63" w:rsidRPr="00232A15" w:rsidRDefault="006B5915" w:rsidP="00232A15">
            <w:pPr>
              <w:ind w:left="34"/>
              <w:rPr>
                <w:rFonts w:asciiTheme="minorHAnsi" w:hAnsiTheme="minorHAnsi" w:cs="Arial"/>
                <w:color w:val="000000" w:themeColor="text1"/>
                <w:sz w:val="22"/>
                <w:szCs w:val="22"/>
              </w:rPr>
            </w:pPr>
            <w:r w:rsidRPr="00232A15">
              <w:rPr>
                <w:rFonts w:asciiTheme="minorHAnsi" w:hAnsiTheme="minorHAnsi" w:cs="Arial"/>
                <w:color w:val="000000" w:themeColor="text1"/>
                <w:sz w:val="22"/>
                <w:szCs w:val="22"/>
              </w:rPr>
              <w:t>Average p</w:t>
            </w:r>
            <w:r w:rsidR="00940EA3" w:rsidRPr="00232A15">
              <w:rPr>
                <w:rFonts w:asciiTheme="minorHAnsi" w:hAnsiTheme="minorHAnsi" w:cs="Arial"/>
                <w:color w:val="000000" w:themeColor="text1"/>
                <w:sz w:val="22"/>
                <w:szCs w:val="22"/>
              </w:rPr>
              <w:t xml:space="preserve">er annum change </w:t>
            </w:r>
            <w:r w:rsidRPr="00232A15">
              <w:rPr>
                <w:rFonts w:asciiTheme="minorHAnsi" w:hAnsiTheme="minorHAnsi" w:cs="Arial"/>
                <w:color w:val="000000" w:themeColor="text1"/>
                <w:sz w:val="22"/>
                <w:szCs w:val="22"/>
              </w:rPr>
              <w:t>between reviews</w:t>
            </w:r>
          </w:p>
        </w:tc>
        <w:tc>
          <w:tcPr>
            <w:tcW w:w="1957" w:type="dxa"/>
            <w:tcBorders>
              <w:top w:val="none" w:sz="0" w:space="0" w:color="auto"/>
              <w:bottom w:val="none" w:sz="0" w:space="0" w:color="auto"/>
            </w:tcBorders>
            <w:shd w:val="clear" w:color="auto" w:fill="B8CCE4" w:themeFill="accent1" w:themeFillTint="66"/>
          </w:tcPr>
          <w:p w:rsidR="004F0C63" w:rsidRPr="00232A15" w:rsidRDefault="004F0C63"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4F0C63" w:rsidRPr="00232A15" w:rsidRDefault="004F0C63"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n/a</w:t>
            </w:r>
          </w:p>
        </w:tc>
        <w:tc>
          <w:tcPr>
            <w:tcW w:w="2021" w:type="dxa"/>
            <w:tcBorders>
              <w:top w:val="none" w:sz="0" w:space="0" w:color="auto"/>
              <w:bottom w:val="none" w:sz="0" w:space="0" w:color="auto"/>
            </w:tcBorders>
            <w:shd w:val="clear" w:color="auto" w:fill="B8CCE4" w:themeFill="accent1" w:themeFillTint="66"/>
          </w:tcPr>
          <w:p w:rsidR="004F0C63" w:rsidRPr="00232A15" w:rsidRDefault="004F0C63"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4F0C63" w:rsidRPr="00232A15" w:rsidRDefault="00940EA3"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w:t>
            </w:r>
            <w:r w:rsidR="004F0C63" w:rsidRPr="00232A15">
              <w:rPr>
                <w:rFonts w:asciiTheme="minorHAnsi" w:hAnsiTheme="minorHAnsi" w:cs="Arial"/>
                <w:b/>
                <w:color w:val="000000" w:themeColor="text1"/>
                <w:sz w:val="22"/>
                <w:szCs w:val="22"/>
              </w:rPr>
              <w:t>176 dwellings</w:t>
            </w:r>
          </w:p>
        </w:tc>
        <w:tc>
          <w:tcPr>
            <w:tcW w:w="2034" w:type="dxa"/>
            <w:tcBorders>
              <w:top w:val="none" w:sz="0" w:space="0" w:color="auto"/>
              <w:bottom w:val="none" w:sz="0" w:space="0" w:color="auto"/>
            </w:tcBorders>
            <w:shd w:val="clear" w:color="auto" w:fill="B8CCE4" w:themeFill="accent1" w:themeFillTint="66"/>
          </w:tcPr>
          <w:p w:rsidR="004F0C63" w:rsidRPr="00232A15" w:rsidRDefault="004F0C63"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4F0C63" w:rsidRPr="00232A15" w:rsidRDefault="00940EA3"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w:t>
            </w:r>
            <w:r w:rsidR="004F0C63" w:rsidRPr="00232A15">
              <w:rPr>
                <w:rFonts w:asciiTheme="minorHAnsi" w:hAnsiTheme="minorHAnsi" w:cs="Arial"/>
                <w:b/>
                <w:color w:val="000000" w:themeColor="text1"/>
                <w:sz w:val="22"/>
                <w:szCs w:val="22"/>
              </w:rPr>
              <w:t>74 dwellings</w:t>
            </w:r>
          </w:p>
        </w:tc>
        <w:tc>
          <w:tcPr>
            <w:tcW w:w="1051" w:type="dxa"/>
            <w:tcBorders>
              <w:top w:val="none" w:sz="0" w:space="0" w:color="auto"/>
              <w:bottom w:val="none" w:sz="0" w:space="0" w:color="auto"/>
            </w:tcBorders>
            <w:shd w:val="clear" w:color="auto" w:fill="B8CCE4" w:themeFill="accent1" w:themeFillTint="66"/>
          </w:tcPr>
          <w:p w:rsidR="004F0C63" w:rsidRPr="00232A15" w:rsidRDefault="004F0C63" w:rsidP="00232A15">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tc>
      </w:tr>
    </w:tbl>
    <w:p w:rsidR="00EB1A90" w:rsidRPr="00232A15" w:rsidRDefault="00EB1A90" w:rsidP="000044F0">
      <w:pPr>
        <w:ind w:left="-851"/>
        <w:rPr>
          <w:rFonts w:asciiTheme="minorHAnsi" w:hAnsiTheme="minorHAnsi" w:cs="Arial"/>
          <w:b/>
          <w:color w:val="000000" w:themeColor="text1"/>
          <w:sz w:val="22"/>
          <w:szCs w:val="22"/>
        </w:rPr>
      </w:pPr>
      <w:r w:rsidRPr="00232A15">
        <w:rPr>
          <w:rFonts w:asciiTheme="minorHAnsi" w:hAnsiTheme="minorHAnsi" w:cs="Arial"/>
          <w:b/>
          <w:color w:val="000000" w:themeColor="text1"/>
          <w:sz w:val="22"/>
          <w:szCs w:val="22"/>
        </w:rPr>
        <w:t>Source; Summary of Housing Assistance Programs 2005-06 (DHS, 2006); Summary of Housing Assistance Programs 2011-12; Local Government Area (LGA) Profile, June, 2016</w:t>
      </w:r>
    </w:p>
    <w:p w:rsidR="00F8514B" w:rsidRPr="003F5A77" w:rsidRDefault="00F8514B" w:rsidP="000044F0">
      <w:pPr>
        <w:ind w:left="-851"/>
        <w:rPr>
          <w:rFonts w:asciiTheme="minorHAnsi" w:hAnsiTheme="minorHAnsi" w:cs="Arial"/>
          <w:sz w:val="22"/>
          <w:szCs w:val="22"/>
        </w:rPr>
      </w:pPr>
    </w:p>
    <w:p w:rsidR="00F219A4" w:rsidRDefault="00F66385" w:rsidP="00F219A4">
      <w:pPr>
        <w:pStyle w:val="ListParagraph"/>
        <w:numPr>
          <w:ilvl w:val="0"/>
          <w:numId w:val="9"/>
        </w:numPr>
        <w:spacing w:after="120"/>
        <w:ind w:left="-284" w:hanging="567"/>
        <w:rPr>
          <w:rFonts w:asciiTheme="minorHAnsi" w:hAnsiTheme="minorHAnsi" w:cs="Arial"/>
          <w:sz w:val="22"/>
          <w:szCs w:val="22"/>
        </w:rPr>
      </w:pPr>
      <w:r w:rsidRPr="00232A15">
        <w:rPr>
          <w:rFonts w:asciiTheme="minorHAnsi" w:hAnsiTheme="minorHAnsi" w:cs="Arial"/>
          <w:b/>
          <w:sz w:val="22"/>
          <w:szCs w:val="22"/>
        </w:rPr>
        <w:t>Growth in the amount of social housing stock</w:t>
      </w:r>
      <w:r w:rsidR="00B81A39" w:rsidRPr="00232A15">
        <w:rPr>
          <w:rFonts w:asciiTheme="minorHAnsi" w:hAnsiTheme="minorHAnsi" w:cs="Arial"/>
          <w:b/>
          <w:sz w:val="22"/>
          <w:szCs w:val="22"/>
        </w:rPr>
        <w:t xml:space="preserve"> in the EAH</w:t>
      </w:r>
      <w:r w:rsidR="00DF301E" w:rsidRPr="00232A15">
        <w:rPr>
          <w:rFonts w:asciiTheme="minorHAnsi" w:hAnsiTheme="minorHAnsi" w:cs="Arial"/>
          <w:b/>
          <w:sz w:val="22"/>
          <w:szCs w:val="22"/>
        </w:rPr>
        <w:t>A</w:t>
      </w:r>
      <w:r w:rsidR="00B81A39" w:rsidRPr="00232A15">
        <w:rPr>
          <w:rFonts w:asciiTheme="minorHAnsi" w:hAnsiTheme="minorHAnsi" w:cs="Arial"/>
          <w:b/>
          <w:sz w:val="22"/>
          <w:szCs w:val="22"/>
        </w:rPr>
        <w:t xml:space="preserve"> region</w:t>
      </w:r>
      <w:r w:rsidRPr="00232A15">
        <w:rPr>
          <w:rFonts w:asciiTheme="minorHAnsi" w:hAnsiTheme="minorHAnsi" w:cs="Arial"/>
          <w:b/>
          <w:sz w:val="22"/>
          <w:szCs w:val="22"/>
        </w:rPr>
        <w:t xml:space="preserve"> has slowed.</w:t>
      </w:r>
      <w:r w:rsidRPr="00232A15">
        <w:rPr>
          <w:rFonts w:asciiTheme="minorHAnsi" w:hAnsiTheme="minorHAnsi" w:cs="Arial"/>
          <w:sz w:val="22"/>
          <w:szCs w:val="22"/>
        </w:rPr>
        <w:t xml:space="preserve"> </w:t>
      </w:r>
      <w:proofErr w:type="gramStart"/>
      <w:r w:rsidR="00C36E6F" w:rsidRPr="00232A15">
        <w:rPr>
          <w:rFonts w:asciiTheme="minorHAnsi" w:hAnsiTheme="minorHAnsi" w:cs="Arial"/>
          <w:sz w:val="22"/>
          <w:szCs w:val="22"/>
        </w:rPr>
        <w:t>According to</w:t>
      </w:r>
      <w:proofErr w:type="gramEnd"/>
      <w:r w:rsidR="00C36E6F" w:rsidRPr="00232A15">
        <w:rPr>
          <w:rFonts w:asciiTheme="minorHAnsi" w:hAnsiTheme="minorHAnsi" w:cs="Arial"/>
          <w:sz w:val="22"/>
          <w:szCs w:val="22"/>
        </w:rPr>
        <w:t xml:space="preserve"> DHHS reporting t</w:t>
      </w:r>
      <w:r w:rsidR="00AB600A" w:rsidRPr="00232A15">
        <w:rPr>
          <w:rFonts w:asciiTheme="minorHAnsi" w:hAnsiTheme="minorHAnsi" w:cs="Arial"/>
          <w:sz w:val="22"/>
          <w:szCs w:val="22"/>
        </w:rPr>
        <w:t>here was a net 18% increase in social housing dwellings in the</w:t>
      </w:r>
      <w:r w:rsidR="00B81A39" w:rsidRPr="00232A15">
        <w:rPr>
          <w:rFonts w:asciiTheme="minorHAnsi" w:hAnsiTheme="minorHAnsi" w:cs="Arial"/>
          <w:sz w:val="22"/>
          <w:szCs w:val="22"/>
        </w:rPr>
        <w:t xml:space="preserve"> </w:t>
      </w:r>
      <w:r w:rsidR="00AB600A" w:rsidRPr="00232A15">
        <w:rPr>
          <w:rFonts w:asciiTheme="minorHAnsi" w:hAnsiTheme="minorHAnsi" w:cs="Arial"/>
          <w:sz w:val="22"/>
          <w:szCs w:val="22"/>
        </w:rPr>
        <w:t xml:space="preserve">region between 2006 and 2012, with a much smaller net increase of 3% between </w:t>
      </w:r>
      <w:r w:rsidRPr="00232A15">
        <w:rPr>
          <w:rFonts w:asciiTheme="minorHAnsi" w:hAnsiTheme="minorHAnsi" w:cs="Arial"/>
          <w:sz w:val="22"/>
          <w:szCs w:val="22"/>
        </w:rPr>
        <w:t>2012 and 2015</w:t>
      </w:r>
      <w:r w:rsidR="00B81A39" w:rsidRPr="00232A15">
        <w:rPr>
          <w:rFonts w:asciiTheme="minorHAnsi" w:hAnsiTheme="minorHAnsi" w:cs="Arial"/>
          <w:sz w:val="22"/>
          <w:szCs w:val="22"/>
        </w:rPr>
        <w:t>.</w:t>
      </w:r>
    </w:p>
    <w:p w:rsidR="00F219A4" w:rsidRPr="00F219A4" w:rsidRDefault="00F219A4" w:rsidP="00F219A4">
      <w:pPr>
        <w:pStyle w:val="ListParagraph"/>
        <w:spacing w:after="120"/>
        <w:ind w:left="-284"/>
        <w:rPr>
          <w:rFonts w:asciiTheme="minorHAnsi" w:hAnsiTheme="minorHAnsi" w:cs="Arial"/>
          <w:sz w:val="22"/>
          <w:szCs w:val="22"/>
        </w:rPr>
      </w:pPr>
    </w:p>
    <w:p w:rsidR="00F8514B" w:rsidRPr="003F5A77" w:rsidRDefault="00B81A39" w:rsidP="00F219A4">
      <w:pPr>
        <w:pStyle w:val="ListParagraph"/>
        <w:spacing w:after="120"/>
        <w:ind w:left="-284"/>
        <w:contextualSpacing w:val="0"/>
        <w:rPr>
          <w:rFonts w:asciiTheme="minorHAnsi" w:hAnsiTheme="minorHAnsi" w:cs="Arial"/>
          <w:sz w:val="22"/>
          <w:szCs w:val="22"/>
        </w:rPr>
      </w:pPr>
      <w:r w:rsidRPr="003F5A77">
        <w:rPr>
          <w:rFonts w:asciiTheme="minorHAnsi" w:hAnsiTheme="minorHAnsi" w:cs="Arial"/>
          <w:sz w:val="22"/>
          <w:szCs w:val="22"/>
        </w:rPr>
        <w:t xml:space="preserve">While this </w:t>
      </w:r>
      <w:r w:rsidR="00F66385" w:rsidRPr="003F5A77">
        <w:rPr>
          <w:rFonts w:asciiTheme="minorHAnsi" w:hAnsiTheme="minorHAnsi" w:cs="Arial"/>
          <w:sz w:val="22"/>
          <w:szCs w:val="22"/>
        </w:rPr>
        <w:t>might be expected given the short</w:t>
      </w:r>
      <w:r w:rsidRPr="003F5A77">
        <w:rPr>
          <w:rFonts w:asciiTheme="minorHAnsi" w:hAnsiTheme="minorHAnsi" w:cs="Arial"/>
          <w:sz w:val="22"/>
          <w:szCs w:val="22"/>
        </w:rPr>
        <w:t xml:space="preserve">er time between </w:t>
      </w:r>
      <w:proofErr w:type="gramStart"/>
      <w:r w:rsidRPr="003F5A77">
        <w:rPr>
          <w:rFonts w:asciiTheme="minorHAnsi" w:hAnsiTheme="minorHAnsi" w:cs="Arial"/>
          <w:sz w:val="22"/>
          <w:szCs w:val="22"/>
        </w:rPr>
        <w:t>reviews,  converting</w:t>
      </w:r>
      <w:proofErr w:type="gramEnd"/>
      <w:r w:rsidRPr="003F5A77">
        <w:rPr>
          <w:rFonts w:asciiTheme="minorHAnsi" w:hAnsiTheme="minorHAnsi" w:cs="Arial"/>
          <w:sz w:val="22"/>
          <w:szCs w:val="22"/>
        </w:rPr>
        <w:t xml:space="preserve"> the data to an average rate of increase per annum, indicates  growth in the earlier period @ 176 addit</w:t>
      </w:r>
      <w:r w:rsidR="006B5915" w:rsidRPr="003F5A77">
        <w:rPr>
          <w:rFonts w:asciiTheme="minorHAnsi" w:hAnsiTheme="minorHAnsi" w:cs="Arial"/>
          <w:sz w:val="22"/>
          <w:szCs w:val="22"/>
        </w:rPr>
        <w:t>i</w:t>
      </w:r>
      <w:r w:rsidRPr="003F5A77">
        <w:rPr>
          <w:rFonts w:asciiTheme="minorHAnsi" w:hAnsiTheme="minorHAnsi" w:cs="Arial"/>
          <w:sz w:val="22"/>
          <w:szCs w:val="22"/>
        </w:rPr>
        <w:t>onal dwellings net per annum (2006-2012) compared with 74/annum net more recently (2012-15).</w:t>
      </w:r>
    </w:p>
    <w:p w:rsidR="00B81A39" w:rsidRPr="00F219A4" w:rsidRDefault="000F61EF" w:rsidP="00F219A4">
      <w:pPr>
        <w:pStyle w:val="ListParagraph"/>
        <w:numPr>
          <w:ilvl w:val="0"/>
          <w:numId w:val="9"/>
        </w:numPr>
        <w:ind w:left="-284" w:hanging="567"/>
        <w:rPr>
          <w:rFonts w:asciiTheme="minorHAnsi" w:hAnsiTheme="minorHAnsi" w:cs="Arial"/>
          <w:sz w:val="22"/>
          <w:szCs w:val="22"/>
        </w:rPr>
      </w:pPr>
      <w:r w:rsidRPr="00F219A4">
        <w:rPr>
          <w:rFonts w:asciiTheme="minorHAnsi" w:hAnsiTheme="minorHAnsi" w:cs="Arial"/>
          <w:sz w:val="22"/>
          <w:szCs w:val="22"/>
        </w:rPr>
        <w:t>According to the most recent review, some EAH</w:t>
      </w:r>
      <w:r w:rsidR="00DF301E" w:rsidRPr="00F219A4">
        <w:rPr>
          <w:rFonts w:asciiTheme="minorHAnsi" w:hAnsiTheme="minorHAnsi" w:cs="Arial"/>
          <w:sz w:val="22"/>
          <w:szCs w:val="22"/>
        </w:rPr>
        <w:t xml:space="preserve">A </w:t>
      </w:r>
      <w:r w:rsidRPr="00F219A4">
        <w:rPr>
          <w:rFonts w:asciiTheme="minorHAnsi" w:hAnsiTheme="minorHAnsi" w:cs="Arial"/>
          <w:sz w:val="22"/>
          <w:szCs w:val="22"/>
        </w:rPr>
        <w:t xml:space="preserve">municipalities </w:t>
      </w:r>
      <w:r w:rsidR="006B5915" w:rsidRPr="00F219A4">
        <w:rPr>
          <w:rFonts w:asciiTheme="minorHAnsi" w:hAnsiTheme="minorHAnsi" w:cs="Arial"/>
          <w:sz w:val="22"/>
          <w:szCs w:val="22"/>
        </w:rPr>
        <w:t xml:space="preserve">have </w:t>
      </w:r>
      <w:r w:rsidR="00AF1F64" w:rsidRPr="00F219A4">
        <w:rPr>
          <w:rFonts w:asciiTheme="minorHAnsi" w:hAnsiTheme="minorHAnsi" w:cs="Arial"/>
          <w:sz w:val="22"/>
          <w:szCs w:val="22"/>
        </w:rPr>
        <w:t xml:space="preserve">experienced a net </w:t>
      </w:r>
      <w:proofErr w:type="spellStart"/>
      <w:proofErr w:type="gramStart"/>
      <w:r w:rsidR="00AF1F64" w:rsidRPr="00F219A4">
        <w:rPr>
          <w:rFonts w:asciiTheme="minorHAnsi" w:hAnsiTheme="minorHAnsi" w:cs="Arial"/>
          <w:sz w:val="22"/>
          <w:szCs w:val="22"/>
        </w:rPr>
        <w:t>increase,</w:t>
      </w:r>
      <w:r w:rsidRPr="00F219A4">
        <w:rPr>
          <w:rFonts w:asciiTheme="minorHAnsi" w:hAnsiTheme="minorHAnsi" w:cs="Arial"/>
          <w:sz w:val="22"/>
          <w:szCs w:val="22"/>
        </w:rPr>
        <w:t>and</w:t>
      </w:r>
      <w:proofErr w:type="spellEnd"/>
      <w:proofErr w:type="gramEnd"/>
      <w:r w:rsidRPr="00F219A4">
        <w:rPr>
          <w:rFonts w:asciiTheme="minorHAnsi" w:hAnsiTheme="minorHAnsi" w:cs="Arial"/>
          <w:sz w:val="22"/>
          <w:szCs w:val="22"/>
        </w:rPr>
        <w:t xml:space="preserve"> others a net decrease in the number of social housing </w:t>
      </w:r>
      <w:r w:rsidR="00BD6BF0" w:rsidRPr="00F219A4">
        <w:rPr>
          <w:rFonts w:asciiTheme="minorHAnsi" w:hAnsiTheme="minorHAnsi" w:cs="Arial"/>
          <w:sz w:val="22"/>
          <w:szCs w:val="22"/>
        </w:rPr>
        <w:t>d</w:t>
      </w:r>
      <w:r w:rsidR="006B5915" w:rsidRPr="00F219A4">
        <w:rPr>
          <w:rFonts w:asciiTheme="minorHAnsi" w:hAnsiTheme="minorHAnsi" w:cs="Arial"/>
          <w:sz w:val="22"/>
          <w:szCs w:val="22"/>
        </w:rPr>
        <w:t>wellings since the 2014 review, as indicated in Table 3.2, above.</w:t>
      </w:r>
      <w:r w:rsidR="00F219A4">
        <w:rPr>
          <w:rFonts w:asciiTheme="minorHAnsi" w:hAnsiTheme="minorHAnsi" w:cs="Arial"/>
          <w:sz w:val="22"/>
          <w:szCs w:val="22"/>
        </w:rPr>
        <w:t xml:space="preserve"> </w:t>
      </w:r>
      <w:r w:rsidRPr="00F219A4">
        <w:rPr>
          <w:rFonts w:asciiTheme="minorHAnsi" w:hAnsiTheme="minorHAnsi" w:cs="Arial"/>
          <w:b/>
          <w:sz w:val="22"/>
          <w:szCs w:val="22"/>
        </w:rPr>
        <w:t>The supply of social housing stock in every EAH</w:t>
      </w:r>
      <w:r w:rsidR="00DF301E" w:rsidRPr="00F219A4">
        <w:rPr>
          <w:rFonts w:asciiTheme="minorHAnsi" w:hAnsiTheme="minorHAnsi" w:cs="Arial"/>
          <w:b/>
          <w:sz w:val="22"/>
          <w:szCs w:val="22"/>
        </w:rPr>
        <w:t>A</w:t>
      </w:r>
      <w:r w:rsidRPr="00F219A4">
        <w:rPr>
          <w:rFonts w:asciiTheme="minorHAnsi" w:hAnsiTheme="minorHAnsi" w:cs="Arial"/>
          <w:b/>
          <w:sz w:val="22"/>
          <w:szCs w:val="22"/>
        </w:rPr>
        <w:t xml:space="preserve"> municipality continues to be below the metropolitan average level of supply</w:t>
      </w:r>
      <w:r w:rsidR="000A03AA" w:rsidRPr="00F219A4">
        <w:rPr>
          <w:rFonts w:asciiTheme="minorHAnsi" w:hAnsiTheme="minorHAnsi" w:cs="Arial"/>
          <w:sz w:val="22"/>
          <w:szCs w:val="22"/>
        </w:rPr>
        <w:t>,</w:t>
      </w:r>
      <w:r w:rsidR="006B5915" w:rsidRPr="00F219A4">
        <w:rPr>
          <w:rFonts w:asciiTheme="minorHAnsi" w:hAnsiTheme="minorHAnsi" w:cs="Arial"/>
          <w:sz w:val="22"/>
          <w:szCs w:val="22"/>
        </w:rPr>
        <w:t xml:space="preserve"> </w:t>
      </w:r>
      <w:proofErr w:type="gramStart"/>
      <w:r w:rsidR="006B5915" w:rsidRPr="00F219A4">
        <w:rPr>
          <w:rFonts w:asciiTheme="minorHAnsi" w:hAnsiTheme="minorHAnsi" w:cs="Arial"/>
          <w:sz w:val="22"/>
          <w:szCs w:val="22"/>
        </w:rPr>
        <w:t>according to</w:t>
      </w:r>
      <w:proofErr w:type="gramEnd"/>
      <w:r w:rsidR="006B5915" w:rsidRPr="00F219A4">
        <w:rPr>
          <w:rFonts w:asciiTheme="minorHAnsi" w:hAnsiTheme="minorHAnsi" w:cs="Arial"/>
          <w:sz w:val="22"/>
          <w:szCs w:val="22"/>
        </w:rPr>
        <w:t xml:space="preserve"> Census data, </w:t>
      </w:r>
      <w:r w:rsidR="000A03AA" w:rsidRPr="00F219A4">
        <w:rPr>
          <w:rFonts w:asciiTheme="minorHAnsi" w:hAnsiTheme="minorHAnsi" w:cs="Arial"/>
          <w:sz w:val="22"/>
          <w:szCs w:val="22"/>
        </w:rPr>
        <w:t>as indicated below.</w:t>
      </w:r>
    </w:p>
    <w:p w:rsidR="00F8514B" w:rsidRPr="003F5A77" w:rsidRDefault="00F8514B" w:rsidP="000044F0">
      <w:pPr>
        <w:ind w:left="-851"/>
        <w:rPr>
          <w:rFonts w:asciiTheme="minorHAnsi" w:hAnsiTheme="minorHAnsi" w:cs="Arial"/>
          <w:sz w:val="22"/>
          <w:szCs w:val="22"/>
        </w:rPr>
      </w:pPr>
    </w:p>
    <w:p w:rsidR="00F8514B" w:rsidRPr="003F5A77" w:rsidRDefault="00F8514B" w:rsidP="000044F0">
      <w:pPr>
        <w:ind w:left="-851"/>
        <w:rPr>
          <w:rFonts w:asciiTheme="minorHAnsi" w:hAnsiTheme="minorHAnsi" w:cs="Arial"/>
          <w:sz w:val="22"/>
          <w:szCs w:val="22"/>
        </w:rPr>
      </w:pPr>
    </w:p>
    <w:tbl>
      <w:tblPr>
        <w:tblStyle w:val="ListTable3-Accent1"/>
        <w:tblW w:w="0" w:type="auto"/>
        <w:tblInd w:w="-856" w:type="dxa"/>
        <w:tblBorders>
          <w:insideH w:val="single" w:sz="4" w:space="0" w:color="4F81BD" w:themeColor="accent1"/>
          <w:insideV w:val="single" w:sz="4" w:space="0" w:color="4F81BD" w:themeColor="accent1"/>
        </w:tblBorders>
        <w:tblLook w:val="04A0" w:firstRow="1" w:lastRow="0" w:firstColumn="1" w:lastColumn="0" w:noHBand="0" w:noVBand="1"/>
      </w:tblPr>
      <w:tblGrid>
        <w:gridCol w:w="3011"/>
        <w:gridCol w:w="2141"/>
        <w:gridCol w:w="2459"/>
        <w:gridCol w:w="2353"/>
      </w:tblGrid>
      <w:tr w:rsidR="000A03AA" w:rsidRPr="003F5A77" w:rsidTr="00F219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64" w:type="dxa"/>
            <w:gridSpan w:val="4"/>
            <w:tcBorders>
              <w:bottom w:val="none" w:sz="0" w:space="0" w:color="auto"/>
              <w:right w:val="none" w:sz="0" w:space="0" w:color="auto"/>
            </w:tcBorders>
          </w:tcPr>
          <w:p w:rsidR="000A03AA" w:rsidRPr="003F5A77" w:rsidRDefault="000A03AA" w:rsidP="00F219A4">
            <w:pPr>
              <w:ind w:left="34"/>
              <w:rPr>
                <w:rFonts w:asciiTheme="minorHAnsi" w:hAnsiTheme="minorHAnsi" w:cs="Arial"/>
                <w:sz w:val="22"/>
                <w:szCs w:val="22"/>
              </w:rPr>
            </w:pPr>
            <w:r w:rsidRPr="003F5A77">
              <w:rPr>
                <w:rFonts w:asciiTheme="minorHAnsi" w:hAnsiTheme="minorHAnsi" w:cs="Arial"/>
                <w:sz w:val="22"/>
                <w:szCs w:val="22"/>
              </w:rPr>
              <w:t>Table 3.3 Change in social housing stock (% total households)</w:t>
            </w:r>
          </w:p>
          <w:p w:rsidR="000A03AA" w:rsidRPr="003F5A77" w:rsidRDefault="000A03AA" w:rsidP="00F219A4">
            <w:pPr>
              <w:ind w:left="34"/>
              <w:rPr>
                <w:rFonts w:asciiTheme="minorHAnsi" w:hAnsiTheme="minorHAnsi" w:cs="Arial"/>
                <w:color w:val="000000" w:themeColor="text1"/>
                <w:sz w:val="22"/>
                <w:szCs w:val="22"/>
              </w:rPr>
            </w:pPr>
          </w:p>
        </w:tc>
      </w:tr>
      <w:tr w:rsidR="000A03AA"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bottom w:val="none" w:sz="0" w:space="0" w:color="auto"/>
              <w:right w:val="none" w:sz="0" w:space="0" w:color="auto"/>
            </w:tcBorders>
          </w:tcPr>
          <w:p w:rsidR="000A03AA" w:rsidRPr="003F5A77" w:rsidRDefault="000A03AA" w:rsidP="00F219A4">
            <w:pPr>
              <w:ind w:left="34"/>
              <w:rPr>
                <w:rFonts w:asciiTheme="minorHAnsi" w:hAnsiTheme="minorHAnsi" w:cs="Arial"/>
                <w:color w:val="000000" w:themeColor="text1"/>
                <w:sz w:val="22"/>
                <w:szCs w:val="22"/>
              </w:rPr>
            </w:pPr>
          </w:p>
        </w:tc>
        <w:tc>
          <w:tcPr>
            <w:tcW w:w="2141"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 </w:t>
            </w:r>
            <w:r w:rsidRPr="003F5A77">
              <w:rPr>
                <w:rFonts w:asciiTheme="minorHAnsi" w:hAnsiTheme="minorHAnsi" w:cs="Arial"/>
                <w:color w:val="000000" w:themeColor="text1"/>
                <w:sz w:val="22"/>
                <w:szCs w:val="22"/>
              </w:rPr>
              <w:t>Census 2006</w:t>
            </w:r>
          </w:p>
        </w:tc>
        <w:tc>
          <w:tcPr>
            <w:tcW w:w="2459"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Census 2011</w:t>
            </w:r>
          </w:p>
        </w:tc>
        <w:tc>
          <w:tcPr>
            <w:tcW w:w="2353"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Census 2016</w:t>
            </w:r>
          </w:p>
        </w:tc>
      </w:tr>
      <w:tr w:rsidR="000A03AA" w:rsidRPr="003F5A77" w:rsidTr="00F219A4">
        <w:tc>
          <w:tcPr>
            <w:cnfStyle w:val="001000000000" w:firstRow="0" w:lastRow="0" w:firstColumn="1" w:lastColumn="0" w:oddVBand="0" w:evenVBand="0" w:oddHBand="0" w:evenHBand="0" w:firstRowFirstColumn="0" w:firstRowLastColumn="0" w:lastRowFirstColumn="0" w:lastRowLastColumn="0"/>
            <w:tcW w:w="3011" w:type="dxa"/>
            <w:tcBorders>
              <w:right w:val="none" w:sz="0" w:space="0" w:color="auto"/>
            </w:tcBorders>
          </w:tcPr>
          <w:p w:rsidR="000A03AA" w:rsidRPr="003F5A77" w:rsidRDefault="000A03AA" w:rsidP="00F219A4">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Knox</w:t>
            </w:r>
          </w:p>
        </w:tc>
        <w:tc>
          <w:tcPr>
            <w:tcW w:w="2141"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2.0%</w:t>
            </w:r>
          </w:p>
        </w:tc>
        <w:tc>
          <w:tcPr>
            <w:tcW w:w="2459"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2.1%</w:t>
            </w:r>
          </w:p>
        </w:tc>
        <w:tc>
          <w:tcPr>
            <w:tcW w:w="2353"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2.0%</w:t>
            </w:r>
          </w:p>
        </w:tc>
      </w:tr>
      <w:tr w:rsidR="000A03AA"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bottom w:val="none" w:sz="0" w:space="0" w:color="auto"/>
              <w:right w:val="none" w:sz="0" w:space="0" w:color="auto"/>
            </w:tcBorders>
          </w:tcPr>
          <w:p w:rsidR="000A03AA" w:rsidRPr="003F5A77" w:rsidRDefault="000A03AA" w:rsidP="00F219A4">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Manningham</w:t>
            </w:r>
          </w:p>
        </w:tc>
        <w:tc>
          <w:tcPr>
            <w:tcW w:w="2141"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0.5%</w:t>
            </w:r>
          </w:p>
        </w:tc>
        <w:tc>
          <w:tcPr>
            <w:tcW w:w="2459"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0.6%</w:t>
            </w:r>
          </w:p>
        </w:tc>
        <w:tc>
          <w:tcPr>
            <w:tcW w:w="2353"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0.6%</w:t>
            </w:r>
          </w:p>
        </w:tc>
      </w:tr>
      <w:tr w:rsidR="000A03AA" w:rsidRPr="003F5A77" w:rsidTr="00F219A4">
        <w:tc>
          <w:tcPr>
            <w:cnfStyle w:val="001000000000" w:firstRow="0" w:lastRow="0" w:firstColumn="1" w:lastColumn="0" w:oddVBand="0" w:evenVBand="0" w:oddHBand="0" w:evenHBand="0" w:firstRowFirstColumn="0" w:firstRowLastColumn="0" w:lastRowFirstColumn="0" w:lastRowLastColumn="0"/>
            <w:tcW w:w="3011" w:type="dxa"/>
            <w:tcBorders>
              <w:right w:val="none" w:sz="0" w:space="0" w:color="auto"/>
            </w:tcBorders>
          </w:tcPr>
          <w:p w:rsidR="000A03AA" w:rsidRPr="003F5A77" w:rsidRDefault="000A03AA" w:rsidP="00F219A4">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Maroondah</w:t>
            </w:r>
          </w:p>
        </w:tc>
        <w:tc>
          <w:tcPr>
            <w:tcW w:w="2141"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2.4%</w:t>
            </w:r>
          </w:p>
        </w:tc>
        <w:tc>
          <w:tcPr>
            <w:tcW w:w="2459"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2.8%</w:t>
            </w:r>
          </w:p>
        </w:tc>
        <w:tc>
          <w:tcPr>
            <w:tcW w:w="2353"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2.5%</w:t>
            </w:r>
          </w:p>
        </w:tc>
      </w:tr>
      <w:tr w:rsidR="000A03AA"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bottom w:val="none" w:sz="0" w:space="0" w:color="auto"/>
              <w:right w:val="none" w:sz="0" w:space="0" w:color="auto"/>
            </w:tcBorders>
          </w:tcPr>
          <w:p w:rsidR="000A03AA" w:rsidRPr="003F5A77" w:rsidRDefault="000A03AA" w:rsidP="00F219A4">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Monash</w:t>
            </w:r>
          </w:p>
        </w:tc>
        <w:tc>
          <w:tcPr>
            <w:tcW w:w="2141"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2.2%</w:t>
            </w:r>
          </w:p>
        </w:tc>
        <w:tc>
          <w:tcPr>
            <w:tcW w:w="2459"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2.1%</w:t>
            </w:r>
          </w:p>
        </w:tc>
        <w:tc>
          <w:tcPr>
            <w:tcW w:w="2353"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2.2%</w:t>
            </w:r>
          </w:p>
        </w:tc>
      </w:tr>
      <w:tr w:rsidR="000A03AA" w:rsidRPr="003F5A77" w:rsidTr="00F219A4">
        <w:tc>
          <w:tcPr>
            <w:cnfStyle w:val="001000000000" w:firstRow="0" w:lastRow="0" w:firstColumn="1" w:lastColumn="0" w:oddVBand="0" w:evenVBand="0" w:oddHBand="0" w:evenHBand="0" w:firstRowFirstColumn="0" w:firstRowLastColumn="0" w:lastRowFirstColumn="0" w:lastRowLastColumn="0"/>
            <w:tcW w:w="3011" w:type="dxa"/>
            <w:tcBorders>
              <w:right w:val="none" w:sz="0" w:space="0" w:color="auto"/>
            </w:tcBorders>
          </w:tcPr>
          <w:p w:rsidR="000A03AA" w:rsidRPr="003F5A77" w:rsidRDefault="000A03AA" w:rsidP="00F219A4">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Whitehorse</w:t>
            </w:r>
          </w:p>
        </w:tc>
        <w:tc>
          <w:tcPr>
            <w:tcW w:w="2141"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2.7%</w:t>
            </w:r>
          </w:p>
        </w:tc>
        <w:tc>
          <w:tcPr>
            <w:tcW w:w="2459"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2.6%</w:t>
            </w:r>
          </w:p>
        </w:tc>
        <w:tc>
          <w:tcPr>
            <w:tcW w:w="2353" w:type="dxa"/>
          </w:tcPr>
          <w:p w:rsidR="000A03AA" w:rsidRPr="003F5A77"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2.4%</w:t>
            </w:r>
          </w:p>
        </w:tc>
      </w:tr>
      <w:tr w:rsidR="000A03AA"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bottom w:val="none" w:sz="0" w:space="0" w:color="auto"/>
              <w:right w:val="none" w:sz="0" w:space="0" w:color="auto"/>
            </w:tcBorders>
          </w:tcPr>
          <w:p w:rsidR="000A03AA" w:rsidRPr="003F5A77" w:rsidRDefault="000A03AA" w:rsidP="00F219A4">
            <w:pPr>
              <w:ind w:left="34"/>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Yarra Ranges</w:t>
            </w:r>
          </w:p>
        </w:tc>
        <w:tc>
          <w:tcPr>
            <w:tcW w:w="2141"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1.3%</w:t>
            </w:r>
          </w:p>
        </w:tc>
        <w:tc>
          <w:tcPr>
            <w:tcW w:w="2459"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1.3%</w:t>
            </w:r>
          </w:p>
        </w:tc>
        <w:tc>
          <w:tcPr>
            <w:tcW w:w="2353" w:type="dxa"/>
            <w:tcBorders>
              <w:top w:val="none" w:sz="0" w:space="0" w:color="auto"/>
              <w:bottom w:val="none" w:sz="0" w:space="0" w:color="auto"/>
            </w:tcBorders>
          </w:tcPr>
          <w:p w:rsidR="000A03AA" w:rsidRPr="003F5A77"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1.1%</w:t>
            </w:r>
          </w:p>
        </w:tc>
      </w:tr>
      <w:tr w:rsidR="000A03AA" w:rsidRPr="003F5A77" w:rsidTr="00F219A4">
        <w:tc>
          <w:tcPr>
            <w:cnfStyle w:val="001000000000" w:firstRow="0" w:lastRow="0" w:firstColumn="1" w:lastColumn="0" w:oddVBand="0" w:evenVBand="0" w:oddHBand="0" w:evenHBand="0" w:firstRowFirstColumn="0" w:firstRowLastColumn="0" w:lastRowFirstColumn="0" w:lastRowLastColumn="0"/>
            <w:tcW w:w="3011" w:type="dxa"/>
            <w:tcBorders>
              <w:right w:val="none" w:sz="0" w:space="0" w:color="auto"/>
            </w:tcBorders>
            <w:shd w:val="clear" w:color="auto" w:fill="B8CCE4" w:themeFill="accent1" w:themeFillTint="66"/>
          </w:tcPr>
          <w:p w:rsidR="000A03AA" w:rsidRPr="00B059CE" w:rsidRDefault="000A03AA" w:rsidP="00F219A4">
            <w:pPr>
              <w:ind w:left="34"/>
              <w:rPr>
                <w:rFonts w:asciiTheme="minorHAnsi" w:hAnsiTheme="minorHAnsi" w:cs="Arial"/>
                <w:color w:val="000000" w:themeColor="text1"/>
                <w:sz w:val="22"/>
                <w:szCs w:val="22"/>
              </w:rPr>
            </w:pPr>
            <w:r w:rsidRPr="00B059CE">
              <w:rPr>
                <w:rFonts w:asciiTheme="minorHAnsi" w:hAnsiTheme="minorHAnsi" w:cs="Arial"/>
                <w:color w:val="000000" w:themeColor="text1"/>
                <w:sz w:val="22"/>
                <w:szCs w:val="22"/>
              </w:rPr>
              <w:t>TOTAL EAH</w:t>
            </w:r>
          </w:p>
        </w:tc>
        <w:tc>
          <w:tcPr>
            <w:tcW w:w="2141" w:type="dxa"/>
            <w:shd w:val="clear" w:color="auto" w:fill="B8CCE4" w:themeFill="accent1" w:themeFillTint="66"/>
          </w:tcPr>
          <w:p w:rsidR="000A03AA" w:rsidRPr="00B059CE"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B059CE">
              <w:rPr>
                <w:rFonts w:asciiTheme="minorHAnsi" w:hAnsiTheme="minorHAnsi" w:cs="Arial"/>
                <w:b/>
                <w:color w:val="000000" w:themeColor="text1"/>
                <w:sz w:val="22"/>
                <w:szCs w:val="22"/>
              </w:rPr>
              <w:t>1.9%</w:t>
            </w:r>
          </w:p>
        </w:tc>
        <w:tc>
          <w:tcPr>
            <w:tcW w:w="2459" w:type="dxa"/>
            <w:shd w:val="clear" w:color="auto" w:fill="B8CCE4" w:themeFill="accent1" w:themeFillTint="66"/>
          </w:tcPr>
          <w:p w:rsidR="000A03AA" w:rsidRPr="00B059CE"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B059CE">
              <w:rPr>
                <w:rFonts w:asciiTheme="minorHAnsi" w:hAnsiTheme="minorHAnsi" w:cs="Arial"/>
                <w:b/>
                <w:color w:val="000000" w:themeColor="text1"/>
                <w:sz w:val="22"/>
                <w:szCs w:val="22"/>
              </w:rPr>
              <w:t>1.9%</w:t>
            </w:r>
          </w:p>
        </w:tc>
        <w:tc>
          <w:tcPr>
            <w:tcW w:w="2353" w:type="dxa"/>
            <w:shd w:val="clear" w:color="auto" w:fill="B8CCE4" w:themeFill="accent1" w:themeFillTint="66"/>
          </w:tcPr>
          <w:p w:rsidR="000A03AA" w:rsidRPr="00B059CE" w:rsidRDefault="000A03AA" w:rsidP="00F219A4">
            <w:pPr>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2"/>
                <w:szCs w:val="22"/>
              </w:rPr>
            </w:pPr>
            <w:r w:rsidRPr="00B059CE">
              <w:rPr>
                <w:rFonts w:asciiTheme="minorHAnsi" w:hAnsiTheme="minorHAnsi" w:cs="Arial"/>
                <w:b/>
                <w:color w:val="000000" w:themeColor="text1"/>
                <w:sz w:val="22"/>
                <w:szCs w:val="22"/>
              </w:rPr>
              <w:t>1.9%</w:t>
            </w:r>
          </w:p>
        </w:tc>
      </w:tr>
      <w:tr w:rsidR="000A03AA"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bottom w:val="none" w:sz="0" w:space="0" w:color="auto"/>
              <w:right w:val="none" w:sz="0" w:space="0" w:color="auto"/>
            </w:tcBorders>
            <w:shd w:val="clear" w:color="auto" w:fill="B8CCE4" w:themeFill="accent1" w:themeFillTint="66"/>
          </w:tcPr>
          <w:p w:rsidR="000A03AA" w:rsidRPr="00B059CE" w:rsidRDefault="000A03AA" w:rsidP="00F219A4">
            <w:pPr>
              <w:ind w:left="34"/>
              <w:rPr>
                <w:rFonts w:asciiTheme="minorHAnsi" w:hAnsiTheme="minorHAnsi" w:cs="Arial"/>
                <w:color w:val="000000" w:themeColor="text1"/>
                <w:sz w:val="22"/>
                <w:szCs w:val="22"/>
              </w:rPr>
            </w:pPr>
            <w:r w:rsidRPr="00B059CE">
              <w:rPr>
                <w:rFonts w:asciiTheme="minorHAnsi" w:hAnsiTheme="minorHAnsi" w:cs="Arial"/>
                <w:color w:val="000000" w:themeColor="text1"/>
                <w:sz w:val="22"/>
                <w:szCs w:val="22"/>
              </w:rPr>
              <w:t>Greater Melbourne</w:t>
            </w:r>
          </w:p>
          <w:p w:rsidR="000A03AA" w:rsidRPr="00B059CE" w:rsidRDefault="000A03AA" w:rsidP="00F219A4">
            <w:pPr>
              <w:ind w:left="34"/>
              <w:rPr>
                <w:rFonts w:asciiTheme="minorHAnsi" w:hAnsiTheme="minorHAnsi" w:cs="Arial"/>
                <w:color w:val="000000" w:themeColor="text1"/>
                <w:sz w:val="22"/>
                <w:szCs w:val="22"/>
              </w:rPr>
            </w:pPr>
          </w:p>
        </w:tc>
        <w:tc>
          <w:tcPr>
            <w:tcW w:w="2141" w:type="dxa"/>
            <w:tcBorders>
              <w:top w:val="none" w:sz="0" w:space="0" w:color="auto"/>
              <w:bottom w:val="none" w:sz="0" w:space="0" w:color="auto"/>
            </w:tcBorders>
            <w:shd w:val="clear" w:color="auto" w:fill="B8CCE4" w:themeFill="accent1" w:themeFillTint="66"/>
          </w:tcPr>
          <w:p w:rsidR="000A03AA" w:rsidRPr="00B059CE"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0A03AA" w:rsidRPr="00B059CE"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B059CE">
              <w:rPr>
                <w:rFonts w:asciiTheme="minorHAnsi" w:hAnsiTheme="minorHAnsi" w:cs="Arial"/>
                <w:b/>
                <w:color w:val="000000" w:themeColor="text1"/>
                <w:sz w:val="22"/>
                <w:szCs w:val="22"/>
              </w:rPr>
              <w:t>3.0%</w:t>
            </w:r>
          </w:p>
        </w:tc>
        <w:tc>
          <w:tcPr>
            <w:tcW w:w="2459" w:type="dxa"/>
            <w:tcBorders>
              <w:top w:val="none" w:sz="0" w:space="0" w:color="auto"/>
              <w:bottom w:val="none" w:sz="0" w:space="0" w:color="auto"/>
            </w:tcBorders>
            <w:shd w:val="clear" w:color="auto" w:fill="B8CCE4" w:themeFill="accent1" w:themeFillTint="66"/>
          </w:tcPr>
          <w:p w:rsidR="000A03AA" w:rsidRPr="00B059CE"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0A03AA" w:rsidRPr="00B059CE"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B059CE">
              <w:rPr>
                <w:rFonts w:asciiTheme="minorHAnsi" w:hAnsiTheme="minorHAnsi" w:cs="Arial"/>
                <w:b/>
                <w:color w:val="000000" w:themeColor="text1"/>
                <w:sz w:val="22"/>
                <w:szCs w:val="22"/>
              </w:rPr>
              <w:t>2.9%</w:t>
            </w:r>
          </w:p>
        </w:tc>
        <w:tc>
          <w:tcPr>
            <w:tcW w:w="2353" w:type="dxa"/>
            <w:tcBorders>
              <w:top w:val="none" w:sz="0" w:space="0" w:color="auto"/>
              <w:bottom w:val="none" w:sz="0" w:space="0" w:color="auto"/>
            </w:tcBorders>
            <w:shd w:val="clear" w:color="auto" w:fill="B8CCE4" w:themeFill="accent1" w:themeFillTint="66"/>
          </w:tcPr>
          <w:p w:rsidR="000A03AA" w:rsidRPr="00B059CE"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p>
          <w:p w:rsidR="000A03AA" w:rsidRPr="00B059CE" w:rsidRDefault="000A03AA" w:rsidP="00F219A4">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2"/>
                <w:szCs w:val="22"/>
              </w:rPr>
            </w:pPr>
            <w:r w:rsidRPr="00B059CE">
              <w:rPr>
                <w:rFonts w:asciiTheme="minorHAnsi" w:hAnsiTheme="minorHAnsi" w:cs="Arial"/>
                <w:b/>
                <w:color w:val="000000" w:themeColor="text1"/>
                <w:sz w:val="22"/>
                <w:szCs w:val="22"/>
              </w:rPr>
              <w:t>2.6%</w:t>
            </w:r>
          </w:p>
        </w:tc>
      </w:tr>
    </w:tbl>
    <w:p w:rsidR="000A03AA" w:rsidRPr="003F5A77" w:rsidRDefault="000A03AA" w:rsidP="000044F0">
      <w:pPr>
        <w:ind w:left="-851"/>
        <w:rPr>
          <w:rFonts w:asciiTheme="minorHAnsi" w:hAnsiTheme="minorHAnsi" w:cs="Arial"/>
          <w:b/>
          <w:color w:val="000000" w:themeColor="text1"/>
          <w:sz w:val="22"/>
          <w:szCs w:val="22"/>
        </w:rPr>
      </w:pPr>
      <w:r w:rsidRPr="003F5A77">
        <w:rPr>
          <w:rFonts w:asciiTheme="minorHAnsi" w:hAnsiTheme="minorHAnsi" w:cs="Arial"/>
          <w:b/>
          <w:color w:val="000000" w:themeColor="text1"/>
          <w:sz w:val="22"/>
          <w:szCs w:val="22"/>
        </w:rPr>
        <w:t xml:space="preserve">Source: ABS Census, 2006, 2011, 2016; </w:t>
      </w:r>
      <w:r w:rsidRPr="003F5A77">
        <w:rPr>
          <w:rFonts w:asciiTheme="minorHAnsi" w:hAnsiTheme="minorHAnsi"/>
          <w:i/>
          <w:sz w:val="22"/>
          <w:szCs w:val="22"/>
        </w:rPr>
        <w:t xml:space="preserve">Renting –Social Housing </w:t>
      </w:r>
      <w:r w:rsidRPr="003F5A77">
        <w:rPr>
          <w:rFonts w:asciiTheme="minorHAnsi" w:hAnsiTheme="minorHAnsi"/>
          <w:sz w:val="22"/>
          <w:szCs w:val="22"/>
        </w:rPr>
        <w:t xml:space="preserve">as percentage of </w:t>
      </w:r>
      <w:r w:rsidRPr="003F5A77">
        <w:rPr>
          <w:rFonts w:asciiTheme="minorHAnsi" w:hAnsiTheme="minorHAnsi"/>
          <w:i/>
          <w:sz w:val="22"/>
          <w:szCs w:val="22"/>
        </w:rPr>
        <w:t>enumerated</w:t>
      </w:r>
      <w:r w:rsidRPr="003F5A77">
        <w:rPr>
          <w:rFonts w:asciiTheme="minorHAnsi" w:hAnsiTheme="minorHAnsi"/>
          <w:sz w:val="22"/>
          <w:szCs w:val="22"/>
        </w:rPr>
        <w:t xml:space="preserve"> households.</w:t>
      </w:r>
    </w:p>
    <w:p w:rsidR="00F8514B" w:rsidRPr="003F5A77" w:rsidRDefault="00F8514B" w:rsidP="000044F0">
      <w:pPr>
        <w:ind w:left="-851"/>
        <w:rPr>
          <w:rFonts w:asciiTheme="minorHAnsi" w:hAnsiTheme="minorHAnsi" w:cs="Arial"/>
          <w:sz w:val="22"/>
          <w:szCs w:val="22"/>
        </w:rPr>
      </w:pPr>
    </w:p>
    <w:p w:rsidR="000A03AA" w:rsidRPr="003F5A77" w:rsidRDefault="000A03AA" w:rsidP="000044F0">
      <w:pPr>
        <w:ind w:left="-851"/>
        <w:rPr>
          <w:rFonts w:asciiTheme="minorHAnsi" w:hAnsiTheme="minorHAnsi" w:cs="Arial"/>
          <w:sz w:val="22"/>
          <w:szCs w:val="22"/>
        </w:rPr>
      </w:pPr>
    </w:p>
    <w:p w:rsidR="000A03AA" w:rsidRPr="003F5A77" w:rsidRDefault="000A03AA" w:rsidP="000044F0">
      <w:pPr>
        <w:ind w:left="-851"/>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The availability of affordable private rentals </w:t>
      </w:r>
      <w:r w:rsidRPr="003F5A77">
        <w:rPr>
          <w:rFonts w:asciiTheme="minorHAnsi" w:hAnsiTheme="minorHAnsi" w:cs="Arial"/>
          <w:color w:val="000000" w:themeColor="text1"/>
          <w:sz w:val="22"/>
          <w:szCs w:val="22"/>
        </w:rPr>
        <w:t>(Data source; DHHS Rental Report, two year averaged quarterly data for 2010-11; 2012-14, 2015-17)</w:t>
      </w:r>
    </w:p>
    <w:p w:rsidR="000A03AA" w:rsidRPr="003F5A77" w:rsidRDefault="000A03AA" w:rsidP="000044F0">
      <w:pPr>
        <w:ind w:left="-851"/>
        <w:rPr>
          <w:rFonts w:asciiTheme="minorHAnsi" w:hAnsiTheme="minorHAnsi" w:cs="Arial"/>
          <w:color w:val="000000" w:themeColor="text1"/>
          <w:sz w:val="22"/>
          <w:szCs w:val="22"/>
        </w:rPr>
      </w:pPr>
    </w:p>
    <w:p w:rsidR="00BB73A8" w:rsidRPr="003F5A77" w:rsidRDefault="000A03AA" w:rsidP="000044F0">
      <w:pPr>
        <w:ind w:left="-851"/>
        <w:rPr>
          <w:rFonts w:asciiTheme="minorHAnsi" w:hAnsiTheme="minorHAnsi" w:cs="Arial"/>
          <w:sz w:val="22"/>
          <w:szCs w:val="22"/>
        </w:rPr>
      </w:pPr>
      <w:r w:rsidRPr="003F5A77">
        <w:rPr>
          <w:rFonts w:asciiTheme="minorHAnsi" w:hAnsiTheme="minorHAnsi" w:cs="Arial"/>
          <w:color w:val="000000" w:themeColor="text1"/>
          <w:sz w:val="22"/>
          <w:szCs w:val="22"/>
        </w:rPr>
        <w:t>Defined as rentals not exceeding 30% of the income of indicative household types on Centrelink incomes, plus rental assistance.</w:t>
      </w:r>
    </w:p>
    <w:p w:rsidR="00BB73A8" w:rsidRPr="003F5A77" w:rsidRDefault="00BB73A8" w:rsidP="000044F0">
      <w:pPr>
        <w:ind w:left="-851"/>
        <w:rPr>
          <w:rFonts w:asciiTheme="minorHAnsi" w:hAnsiTheme="minorHAnsi" w:cs="Arial"/>
          <w:color w:val="000000" w:themeColor="text1"/>
          <w:sz w:val="22"/>
          <w:szCs w:val="22"/>
        </w:rPr>
      </w:pPr>
    </w:p>
    <w:p w:rsidR="007F3A8F" w:rsidRPr="003F5A77" w:rsidRDefault="00BB73A8" w:rsidP="00F219A4">
      <w:pPr>
        <w:pStyle w:val="ListParagraph"/>
        <w:numPr>
          <w:ilvl w:val="0"/>
          <w:numId w:val="12"/>
        </w:numPr>
        <w:ind w:left="-284" w:hanging="567"/>
        <w:rPr>
          <w:rFonts w:asciiTheme="minorHAnsi" w:hAnsiTheme="minorHAnsi" w:cs="Arial"/>
          <w:sz w:val="22"/>
          <w:szCs w:val="22"/>
        </w:rPr>
      </w:pPr>
      <w:r w:rsidRPr="003F5A77">
        <w:rPr>
          <w:rFonts w:asciiTheme="minorHAnsi" w:hAnsiTheme="minorHAnsi" w:cs="Arial"/>
          <w:sz w:val="22"/>
          <w:szCs w:val="22"/>
        </w:rPr>
        <w:t xml:space="preserve">Since the review in 2014 </w:t>
      </w:r>
      <w:proofErr w:type="gramStart"/>
      <w:r w:rsidRPr="003F5A77">
        <w:rPr>
          <w:rFonts w:asciiTheme="minorHAnsi" w:hAnsiTheme="minorHAnsi" w:cs="Arial"/>
          <w:sz w:val="22"/>
          <w:szCs w:val="22"/>
        </w:rPr>
        <w:t xml:space="preserve">there  </w:t>
      </w:r>
      <w:r w:rsidRPr="003F5A77">
        <w:rPr>
          <w:rFonts w:asciiTheme="minorHAnsi" w:hAnsiTheme="minorHAnsi" w:cs="Arial"/>
          <w:b/>
          <w:sz w:val="22"/>
          <w:szCs w:val="22"/>
        </w:rPr>
        <w:t>has</w:t>
      </w:r>
      <w:proofErr w:type="gramEnd"/>
      <w:r w:rsidRPr="003F5A77">
        <w:rPr>
          <w:rFonts w:asciiTheme="minorHAnsi" w:hAnsiTheme="minorHAnsi" w:cs="Arial"/>
          <w:b/>
          <w:sz w:val="22"/>
          <w:szCs w:val="22"/>
        </w:rPr>
        <w:t xml:space="preserve"> been a reduction in affordable rentals in </w:t>
      </w:r>
      <w:r w:rsidRPr="003F5A77">
        <w:rPr>
          <w:rFonts w:asciiTheme="minorHAnsi" w:hAnsiTheme="minorHAnsi" w:cs="Arial"/>
          <w:b/>
          <w:i/>
          <w:sz w:val="22"/>
          <w:szCs w:val="22"/>
        </w:rPr>
        <w:t xml:space="preserve">all </w:t>
      </w:r>
      <w:r w:rsidRPr="003F5A77">
        <w:rPr>
          <w:rFonts w:asciiTheme="minorHAnsi" w:hAnsiTheme="minorHAnsi" w:cs="Arial"/>
          <w:b/>
          <w:sz w:val="22"/>
          <w:szCs w:val="22"/>
        </w:rPr>
        <w:t>EAH</w:t>
      </w:r>
      <w:r w:rsidR="00DF301E" w:rsidRPr="003F5A77">
        <w:rPr>
          <w:rFonts w:asciiTheme="minorHAnsi" w:hAnsiTheme="minorHAnsi" w:cs="Arial"/>
          <w:b/>
          <w:sz w:val="22"/>
          <w:szCs w:val="22"/>
        </w:rPr>
        <w:t>A</w:t>
      </w:r>
      <w:r w:rsidRPr="003F5A77">
        <w:rPr>
          <w:rFonts w:asciiTheme="minorHAnsi" w:hAnsiTheme="minorHAnsi" w:cs="Arial"/>
          <w:b/>
          <w:sz w:val="22"/>
          <w:szCs w:val="22"/>
        </w:rPr>
        <w:t xml:space="preserve"> municipalities </w:t>
      </w:r>
      <w:r w:rsidRPr="003F5A77">
        <w:rPr>
          <w:rFonts w:asciiTheme="minorHAnsi" w:hAnsiTheme="minorHAnsi" w:cs="Arial"/>
          <w:sz w:val="22"/>
          <w:szCs w:val="22"/>
        </w:rPr>
        <w:t>(Table 3.4)</w:t>
      </w:r>
      <w:r w:rsidR="007F3A8F" w:rsidRPr="003F5A77">
        <w:rPr>
          <w:rFonts w:asciiTheme="minorHAnsi" w:hAnsiTheme="minorHAnsi" w:cs="Arial"/>
          <w:sz w:val="22"/>
          <w:szCs w:val="22"/>
        </w:rPr>
        <w:t xml:space="preserve"> and availability of affordable private rentals remains low.</w:t>
      </w:r>
    </w:p>
    <w:p w:rsidR="007F3A8F" w:rsidRPr="003F5A77" w:rsidRDefault="007F3A8F" w:rsidP="00F219A4">
      <w:pPr>
        <w:pStyle w:val="ListParagraph"/>
        <w:ind w:left="-284" w:hanging="567"/>
        <w:rPr>
          <w:rFonts w:asciiTheme="minorHAnsi" w:hAnsiTheme="minorHAnsi" w:cs="Arial"/>
          <w:sz w:val="22"/>
          <w:szCs w:val="22"/>
        </w:rPr>
      </w:pPr>
    </w:p>
    <w:p w:rsidR="007F3A8F" w:rsidRPr="003F5A77" w:rsidRDefault="007F3A8F" w:rsidP="00F219A4">
      <w:pPr>
        <w:pStyle w:val="ListParagraph"/>
        <w:numPr>
          <w:ilvl w:val="0"/>
          <w:numId w:val="12"/>
        </w:numPr>
        <w:ind w:left="-284" w:hanging="567"/>
        <w:rPr>
          <w:rFonts w:asciiTheme="minorHAnsi" w:hAnsiTheme="minorHAnsi" w:cs="Arial"/>
          <w:sz w:val="22"/>
          <w:szCs w:val="22"/>
        </w:rPr>
      </w:pPr>
      <w:r w:rsidRPr="003F5A77">
        <w:rPr>
          <w:rFonts w:asciiTheme="minorHAnsi" w:hAnsiTheme="minorHAnsi" w:cs="Arial"/>
          <w:sz w:val="22"/>
          <w:szCs w:val="22"/>
        </w:rPr>
        <w:t>The greatest supply of affordable rentals is in Yarra Ranges where 7.5% of rental housing is deemed affordable to lower income households. While the availability of affordable private rental housing increases with increasing distance from the city centre, it is those municipalities further from the CBD that have experienced the biggest decline in proportion of affordable rentals as housing affordability p</w:t>
      </w:r>
      <w:r w:rsidR="000A2BA4" w:rsidRPr="003F5A77">
        <w:rPr>
          <w:rFonts w:asciiTheme="minorHAnsi" w:hAnsiTheme="minorHAnsi" w:cs="Arial"/>
          <w:sz w:val="22"/>
          <w:szCs w:val="22"/>
        </w:rPr>
        <w:t>ressures continue</w:t>
      </w:r>
      <w:r w:rsidR="00155FC9" w:rsidRPr="003F5A77">
        <w:rPr>
          <w:rFonts w:asciiTheme="minorHAnsi" w:hAnsiTheme="minorHAnsi" w:cs="Arial"/>
          <w:sz w:val="22"/>
          <w:szCs w:val="22"/>
        </w:rPr>
        <w:t xml:space="preserve"> to ripple outward.</w:t>
      </w:r>
    </w:p>
    <w:p w:rsidR="00BB73A8" w:rsidRPr="003F5A77" w:rsidRDefault="00BB73A8" w:rsidP="000044F0">
      <w:pPr>
        <w:ind w:left="-851"/>
        <w:rPr>
          <w:rFonts w:asciiTheme="minorHAnsi" w:hAnsiTheme="minorHAnsi" w:cs="Arial"/>
          <w:sz w:val="22"/>
          <w:szCs w:val="22"/>
        </w:rPr>
      </w:pPr>
      <w:r w:rsidRPr="003F5A77">
        <w:rPr>
          <w:rFonts w:asciiTheme="minorHAnsi" w:hAnsiTheme="minorHAnsi" w:cs="Arial"/>
          <w:sz w:val="22"/>
          <w:szCs w:val="22"/>
        </w:rPr>
        <w:br w:type="page"/>
      </w:r>
    </w:p>
    <w:p w:rsidR="00BB73A8" w:rsidRPr="003F5A77" w:rsidRDefault="00BB73A8" w:rsidP="000044F0">
      <w:pPr>
        <w:pStyle w:val="ListParagraph"/>
        <w:ind w:left="-851"/>
        <w:rPr>
          <w:rFonts w:asciiTheme="minorHAnsi" w:hAnsiTheme="minorHAnsi" w:cs="Arial"/>
          <w:sz w:val="22"/>
          <w:szCs w:val="22"/>
        </w:rPr>
      </w:pPr>
    </w:p>
    <w:p w:rsidR="00BB73A8" w:rsidRPr="003F5A77" w:rsidRDefault="00BB73A8" w:rsidP="000044F0">
      <w:pPr>
        <w:ind w:left="-851"/>
        <w:rPr>
          <w:rFonts w:asciiTheme="minorHAnsi" w:hAnsiTheme="minorHAnsi" w:cs="Arial"/>
          <w:sz w:val="22"/>
          <w:szCs w:val="22"/>
        </w:rPr>
      </w:pPr>
    </w:p>
    <w:tbl>
      <w:tblPr>
        <w:tblStyle w:val="ListTable3-Accent1"/>
        <w:tblW w:w="0" w:type="auto"/>
        <w:tblInd w:w="-856" w:type="dxa"/>
        <w:tblBorders>
          <w:insideH w:val="single" w:sz="4" w:space="0" w:color="4F81BD" w:themeColor="accent1"/>
          <w:insideV w:val="single" w:sz="4" w:space="0" w:color="4F81BD" w:themeColor="accent1"/>
        </w:tblBorders>
        <w:tblLook w:val="04A0" w:firstRow="1" w:lastRow="0" w:firstColumn="1" w:lastColumn="0" w:noHBand="0" w:noVBand="1"/>
      </w:tblPr>
      <w:tblGrid>
        <w:gridCol w:w="2536"/>
        <w:gridCol w:w="2311"/>
        <w:gridCol w:w="2245"/>
        <w:gridCol w:w="2213"/>
      </w:tblGrid>
      <w:tr w:rsidR="00BB73A8" w:rsidRPr="003F5A77" w:rsidTr="00F219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05" w:type="dxa"/>
            <w:gridSpan w:val="4"/>
            <w:tcBorders>
              <w:bottom w:val="none" w:sz="0" w:space="0" w:color="auto"/>
              <w:right w:val="none" w:sz="0" w:space="0" w:color="auto"/>
            </w:tcBorders>
          </w:tcPr>
          <w:p w:rsidR="00BB73A8" w:rsidRPr="003F5A77" w:rsidRDefault="00BB73A8" w:rsidP="00F219A4">
            <w:pPr>
              <w:rPr>
                <w:rFonts w:asciiTheme="minorHAnsi" w:hAnsiTheme="minorHAnsi" w:cs="Arial"/>
                <w:sz w:val="22"/>
                <w:szCs w:val="22"/>
              </w:rPr>
            </w:pPr>
            <w:r w:rsidRPr="003F5A77">
              <w:rPr>
                <w:rFonts w:asciiTheme="minorHAnsi" w:hAnsiTheme="minorHAnsi" w:cs="Arial"/>
                <w:sz w:val="22"/>
                <w:szCs w:val="22"/>
              </w:rPr>
              <w:t>Table 3.4 Change in affordable private rentals</w:t>
            </w:r>
          </w:p>
          <w:p w:rsidR="00BB73A8" w:rsidRPr="003F5A77" w:rsidRDefault="00BB73A8" w:rsidP="00F219A4">
            <w:pPr>
              <w:rPr>
                <w:rFonts w:asciiTheme="minorHAnsi" w:hAnsiTheme="minorHAnsi" w:cs="Arial"/>
                <w:color w:val="000000" w:themeColor="text1"/>
                <w:sz w:val="22"/>
                <w:szCs w:val="22"/>
              </w:rPr>
            </w:pPr>
          </w:p>
        </w:tc>
      </w:tr>
      <w:tr w:rsidR="00BB73A8"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bottom w:val="none" w:sz="0" w:space="0" w:color="auto"/>
              <w:right w:val="none" w:sz="0" w:space="0" w:color="auto"/>
            </w:tcBorders>
          </w:tcPr>
          <w:p w:rsidR="00BB73A8" w:rsidRPr="003F5A77" w:rsidRDefault="00BB73A8" w:rsidP="00F219A4">
            <w:pPr>
              <w:rPr>
                <w:rFonts w:asciiTheme="minorHAnsi" w:hAnsiTheme="minorHAnsi" w:cs="Arial"/>
                <w:color w:val="000000" w:themeColor="text1"/>
                <w:sz w:val="22"/>
                <w:szCs w:val="22"/>
              </w:rPr>
            </w:pPr>
          </w:p>
        </w:tc>
        <w:tc>
          <w:tcPr>
            <w:tcW w:w="2311" w:type="dxa"/>
            <w:tcBorders>
              <w:top w:val="none" w:sz="0" w:space="0" w:color="auto"/>
              <w:bottom w:val="none" w:sz="0" w:space="0" w:color="auto"/>
            </w:tcBorders>
          </w:tcPr>
          <w:p w:rsidR="00BB73A8" w:rsidRPr="003F5A77" w:rsidRDefault="00BB73A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2010 </w:t>
            </w:r>
            <w:proofErr w:type="gramStart"/>
            <w:r w:rsidRPr="003F5A77">
              <w:rPr>
                <w:rFonts w:asciiTheme="minorHAnsi" w:hAnsiTheme="minorHAnsi" w:cs="Arial"/>
                <w:b/>
                <w:color w:val="000000" w:themeColor="text1"/>
                <w:sz w:val="22"/>
                <w:szCs w:val="22"/>
              </w:rPr>
              <w:t xml:space="preserve">Review  </w:t>
            </w:r>
            <w:r w:rsidRPr="003F5A77">
              <w:rPr>
                <w:rFonts w:asciiTheme="minorHAnsi" w:hAnsiTheme="minorHAnsi" w:cs="Arial"/>
                <w:color w:val="000000" w:themeColor="text1"/>
                <w:sz w:val="22"/>
                <w:szCs w:val="22"/>
              </w:rPr>
              <w:t>(</w:t>
            </w:r>
            <w:proofErr w:type="gramEnd"/>
            <w:r w:rsidRPr="003F5A77">
              <w:rPr>
                <w:rFonts w:asciiTheme="minorHAnsi" w:hAnsiTheme="minorHAnsi" w:cs="Arial"/>
                <w:color w:val="000000" w:themeColor="text1"/>
                <w:sz w:val="22"/>
                <w:szCs w:val="22"/>
              </w:rPr>
              <w:t>DHS data</w:t>
            </w:r>
            <w:r w:rsidR="0084305B" w:rsidRPr="003F5A77">
              <w:rPr>
                <w:rFonts w:asciiTheme="minorHAnsi" w:hAnsiTheme="minorHAnsi" w:cs="Arial"/>
                <w:color w:val="000000" w:themeColor="text1"/>
                <w:sz w:val="22"/>
                <w:szCs w:val="22"/>
              </w:rPr>
              <w:t xml:space="preserve"> 2010-11)</w:t>
            </w:r>
          </w:p>
        </w:tc>
        <w:tc>
          <w:tcPr>
            <w:tcW w:w="2245" w:type="dxa"/>
            <w:tcBorders>
              <w:top w:val="none" w:sz="0" w:space="0" w:color="auto"/>
              <w:bottom w:val="none" w:sz="0" w:space="0" w:color="auto"/>
            </w:tcBorders>
          </w:tcPr>
          <w:p w:rsidR="00BB73A8" w:rsidRPr="003F5A77" w:rsidRDefault="00BB73A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2014 Review </w:t>
            </w:r>
            <w:r w:rsidR="0084305B" w:rsidRPr="003F5A77">
              <w:rPr>
                <w:rFonts w:asciiTheme="minorHAnsi" w:hAnsiTheme="minorHAnsi" w:cs="Arial"/>
                <w:color w:val="000000" w:themeColor="text1"/>
                <w:sz w:val="22"/>
                <w:szCs w:val="22"/>
              </w:rPr>
              <w:t>(DHHS data 2012-14)</w:t>
            </w:r>
          </w:p>
        </w:tc>
        <w:tc>
          <w:tcPr>
            <w:tcW w:w="2213" w:type="dxa"/>
            <w:tcBorders>
              <w:top w:val="none" w:sz="0" w:space="0" w:color="auto"/>
              <w:bottom w:val="none" w:sz="0" w:space="0" w:color="auto"/>
            </w:tcBorders>
          </w:tcPr>
          <w:p w:rsidR="00BB73A8" w:rsidRPr="003F5A77" w:rsidRDefault="00BB73A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 xml:space="preserve">2017 Review </w:t>
            </w:r>
            <w:r w:rsidR="0084305B" w:rsidRPr="003F5A77">
              <w:rPr>
                <w:rFonts w:asciiTheme="minorHAnsi" w:hAnsiTheme="minorHAnsi" w:cs="Arial"/>
                <w:color w:val="000000" w:themeColor="text1"/>
                <w:sz w:val="22"/>
                <w:szCs w:val="22"/>
              </w:rPr>
              <w:t>(DHHS data 2015-17)</w:t>
            </w:r>
          </w:p>
        </w:tc>
      </w:tr>
      <w:tr w:rsidR="00BB73A8" w:rsidRPr="003F5A77" w:rsidTr="00F219A4">
        <w:tc>
          <w:tcPr>
            <w:cnfStyle w:val="001000000000" w:firstRow="0" w:lastRow="0" w:firstColumn="1" w:lastColumn="0" w:oddVBand="0" w:evenVBand="0" w:oddHBand="0" w:evenHBand="0" w:firstRowFirstColumn="0" w:firstRowLastColumn="0" w:lastRowFirstColumn="0" w:lastRowLastColumn="0"/>
            <w:tcW w:w="2536" w:type="dxa"/>
            <w:tcBorders>
              <w:right w:val="none" w:sz="0" w:space="0" w:color="auto"/>
            </w:tcBorders>
          </w:tcPr>
          <w:p w:rsidR="00BB73A8" w:rsidRPr="003F5A77" w:rsidRDefault="00BB73A8" w:rsidP="00F219A4">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Knox</w:t>
            </w:r>
          </w:p>
        </w:tc>
        <w:tc>
          <w:tcPr>
            <w:tcW w:w="2311" w:type="dxa"/>
          </w:tcPr>
          <w:p w:rsidR="00BB73A8" w:rsidRPr="003F5A77" w:rsidRDefault="0084305B"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w:t>
            </w:r>
            <w:r w:rsidR="00897992" w:rsidRPr="003F5A77">
              <w:rPr>
                <w:rFonts w:asciiTheme="minorHAnsi" w:hAnsiTheme="minorHAnsi" w:cs="Arial"/>
                <w:color w:val="000000" w:themeColor="text1"/>
                <w:sz w:val="22"/>
                <w:szCs w:val="22"/>
              </w:rPr>
              <w:t>.3</w:t>
            </w:r>
            <w:r w:rsidRPr="003F5A77">
              <w:rPr>
                <w:rFonts w:asciiTheme="minorHAnsi" w:hAnsiTheme="minorHAnsi" w:cs="Arial"/>
                <w:color w:val="000000" w:themeColor="text1"/>
                <w:sz w:val="22"/>
                <w:szCs w:val="22"/>
              </w:rPr>
              <w:t>%</w:t>
            </w:r>
          </w:p>
        </w:tc>
        <w:tc>
          <w:tcPr>
            <w:tcW w:w="2245" w:type="dxa"/>
          </w:tcPr>
          <w:p w:rsidR="00BB73A8" w:rsidRPr="003F5A77" w:rsidRDefault="0084305B"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5.6%</w:t>
            </w:r>
          </w:p>
        </w:tc>
        <w:tc>
          <w:tcPr>
            <w:tcW w:w="2213" w:type="dxa"/>
          </w:tcPr>
          <w:p w:rsidR="00BB73A8" w:rsidRPr="003F5A77" w:rsidRDefault="0084305B"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3.8%</w:t>
            </w:r>
          </w:p>
        </w:tc>
      </w:tr>
      <w:tr w:rsidR="00BB73A8"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bottom w:val="none" w:sz="0" w:space="0" w:color="auto"/>
              <w:right w:val="none" w:sz="0" w:space="0" w:color="auto"/>
            </w:tcBorders>
          </w:tcPr>
          <w:p w:rsidR="00BB73A8" w:rsidRPr="003F5A77" w:rsidRDefault="00BB73A8" w:rsidP="00F219A4">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Manningham</w:t>
            </w:r>
          </w:p>
        </w:tc>
        <w:tc>
          <w:tcPr>
            <w:tcW w:w="2311" w:type="dxa"/>
            <w:tcBorders>
              <w:top w:val="none" w:sz="0" w:space="0" w:color="auto"/>
              <w:bottom w:val="none" w:sz="0" w:space="0" w:color="auto"/>
            </w:tcBorders>
          </w:tcPr>
          <w:p w:rsidR="00BB73A8" w:rsidRPr="003F5A77" w:rsidRDefault="00897992"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1.8%</w:t>
            </w:r>
          </w:p>
        </w:tc>
        <w:tc>
          <w:tcPr>
            <w:tcW w:w="2245" w:type="dxa"/>
            <w:tcBorders>
              <w:top w:val="none" w:sz="0" w:space="0" w:color="auto"/>
              <w:bottom w:val="none" w:sz="0" w:space="0" w:color="auto"/>
            </w:tcBorders>
          </w:tcPr>
          <w:p w:rsidR="00BB73A8" w:rsidRPr="003F5A77" w:rsidRDefault="001B6BD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1.6%</w:t>
            </w:r>
          </w:p>
        </w:tc>
        <w:tc>
          <w:tcPr>
            <w:tcW w:w="2213" w:type="dxa"/>
            <w:tcBorders>
              <w:top w:val="none" w:sz="0" w:space="0" w:color="auto"/>
              <w:bottom w:val="none" w:sz="0" w:space="0" w:color="auto"/>
            </w:tcBorders>
          </w:tcPr>
          <w:p w:rsidR="00BB73A8" w:rsidRPr="003F5A77" w:rsidRDefault="001B6BD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1.4%</w:t>
            </w:r>
          </w:p>
        </w:tc>
      </w:tr>
      <w:tr w:rsidR="00BB73A8" w:rsidRPr="003F5A77" w:rsidTr="00F219A4">
        <w:tc>
          <w:tcPr>
            <w:cnfStyle w:val="001000000000" w:firstRow="0" w:lastRow="0" w:firstColumn="1" w:lastColumn="0" w:oddVBand="0" w:evenVBand="0" w:oddHBand="0" w:evenHBand="0" w:firstRowFirstColumn="0" w:firstRowLastColumn="0" w:lastRowFirstColumn="0" w:lastRowLastColumn="0"/>
            <w:tcW w:w="2536" w:type="dxa"/>
            <w:tcBorders>
              <w:right w:val="none" w:sz="0" w:space="0" w:color="auto"/>
            </w:tcBorders>
          </w:tcPr>
          <w:p w:rsidR="00BB73A8" w:rsidRPr="003F5A77" w:rsidRDefault="00BB73A8" w:rsidP="00F219A4">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Maroondah</w:t>
            </w:r>
          </w:p>
        </w:tc>
        <w:tc>
          <w:tcPr>
            <w:tcW w:w="2311" w:type="dxa"/>
          </w:tcPr>
          <w:p w:rsidR="00BB73A8" w:rsidRPr="003F5A77" w:rsidRDefault="00897992"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3.8%</w:t>
            </w:r>
          </w:p>
        </w:tc>
        <w:tc>
          <w:tcPr>
            <w:tcW w:w="2245" w:type="dxa"/>
          </w:tcPr>
          <w:p w:rsidR="00BB73A8" w:rsidRPr="003F5A77" w:rsidRDefault="001B6BD8"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4.2%</w:t>
            </w:r>
          </w:p>
        </w:tc>
        <w:tc>
          <w:tcPr>
            <w:tcW w:w="2213" w:type="dxa"/>
          </w:tcPr>
          <w:p w:rsidR="00BB73A8" w:rsidRPr="003F5A77" w:rsidRDefault="001B6BD8"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3.2%</w:t>
            </w:r>
          </w:p>
        </w:tc>
      </w:tr>
      <w:tr w:rsidR="00BB73A8"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bottom w:val="none" w:sz="0" w:space="0" w:color="auto"/>
              <w:right w:val="none" w:sz="0" w:space="0" w:color="auto"/>
            </w:tcBorders>
          </w:tcPr>
          <w:p w:rsidR="00BB73A8" w:rsidRPr="003F5A77" w:rsidRDefault="00BB73A8" w:rsidP="00F219A4">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Monash</w:t>
            </w:r>
          </w:p>
        </w:tc>
        <w:tc>
          <w:tcPr>
            <w:tcW w:w="2311" w:type="dxa"/>
            <w:tcBorders>
              <w:top w:val="none" w:sz="0" w:space="0" w:color="auto"/>
              <w:bottom w:val="none" w:sz="0" w:space="0" w:color="auto"/>
            </w:tcBorders>
          </w:tcPr>
          <w:p w:rsidR="00BB73A8" w:rsidRPr="003F5A77" w:rsidRDefault="00897992"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4.1%</w:t>
            </w:r>
          </w:p>
        </w:tc>
        <w:tc>
          <w:tcPr>
            <w:tcW w:w="2245" w:type="dxa"/>
            <w:tcBorders>
              <w:top w:val="none" w:sz="0" w:space="0" w:color="auto"/>
              <w:bottom w:val="none" w:sz="0" w:space="0" w:color="auto"/>
            </w:tcBorders>
          </w:tcPr>
          <w:p w:rsidR="00BB73A8" w:rsidRPr="003F5A77" w:rsidRDefault="001B6BD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2.9%</w:t>
            </w:r>
          </w:p>
        </w:tc>
        <w:tc>
          <w:tcPr>
            <w:tcW w:w="2213" w:type="dxa"/>
            <w:tcBorders>
              <w:top w:val="none" w:sz="0" w:space="0" w:color="auto"/>
              <w:bottom w:val="none" w:sz="0" w:space="0" w:color="auto"/>
            </w:tcBorders>
          </w:tcPr>
          <w:p w:rsidR="00BB73A8" w:rsidRPr="003F5A77" w:rsidRDefault="001B6BD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2.3%</w:t>
            </w:r>
          </w:p>
        </w:tc>
      </w:tr>
      <w:tr w:rsidR="00BB73A8" w:rsidRPr="003F5A77" w:rsidTr="00F219A4">
        <w:tc>
          <w:tcPr>
            <w:cnfStyle w:val="001000000000" w:firstRow="0" w:lastRow="0" w:firstColumn="1" w:lastColumn="0" w:oddVBand="0" w:evenVBand="0" w:oddHBand="0" w:evenHBand="0" w:firstRowFirstColumn="0" w:firstRowLastColumn="0" w:lastRowFirstColumn="0" w:lastRowLastColumn="0"/>
            <w:tcW w:w="2536" w:type="dxa"/>
            <w:tcBorders>
              <w:right w:val="none" w:sz="0" w:space="0" w:color="auto"/>
            </w:tcBorders>
          </w:tcPr>
          <w:p w:rsidR="00BB73A8" w:rsidRPr="003F5A77" w:rsidRDefault="00BB73A8" w:rsidP="00F219A4">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Whitehorse</w:t>
            </w:r>
          </w:p>
        </w:tc>
        <w:tc>
          <w:tcPr>
            <w:tcW w:w="2311" w:type="dxa"/>
          </w:tcPr>
          <w:p w:rsidR="00BB73A8" w:rsidRPr="003F5A77" w:rsidRDefault="001B6BD8"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2.2%</w:t>
            </w:r>
          </w:p>
        </w:tc>
        <w:tc>
          <w:tcPr>
            <w:tcW w:w="2245" w:type="dxa"/>
          </w:tcPr>
          <w:p w:rsidR="00BB73A8" w:rsidRPr="003F5A77" w:rsidRDefault="001B6BD8"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2.2%</w:t>
            </w:r>
          </w:p>
        </w:tc>
        <w:tc>
          <w:tcPr>
            <w:tcW w:w="2213" w:type="dxa"/>
          </w:tcPr>
          <w:p w:rsidR="00BB73A8" w:rsidRPr="003F5A77" w:rsidRDefault="001B6BD8" w:rsidP="00F219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2%</w:t>
            </w:r>
          </w:p>
        </w:tc>
      </w:tr>
      <w:tr w:rsidR="00BB73A8"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bottom w:val="none" w:sz="0" w:space="0" w:color="auto"/>
              <w:right w:val="none" w:sz="0" w:space="0" w:color="auto"/>
            </w:tcBorders>
          </w:tcPr>
          <w:p w:rsidR="00BB73A8" w:rsidRPr="003F5A77" w:rsidRDefault="00BB73A8" w:rsidP="00F219A4">
            <w:pP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Yarra Ranges</w:t>
            </w:r>
          </w:p>
        </w:tc>
        <w:tc>
          <w:tcPr>
            <w:tcW w:w="2311" w:type="dxa"/>
            <w:tcBorders>
              <w:top w:val="none" w:sz="0" w:space="0" w:color="auto"/>
              <w:bottom w:val="none" w:sz="0" w:space="0" w:color="auto"/>
            </w:tcBorders>
          </w:tcPr>
          <w:p w:rsidR="00BB73A8" w:rsidRPr="003F5A77" w:rsidRDefault="001B6BD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10.6%</w:t>
            </w:r>
          </w:p>
        </w:tc>
        <w:tc>
          <w:tcPr>
            <w:tcW w:w="2245" w:type="dxa"/>
            <w:tcBorders>
              <w:top w:val="none" w:sz="0" w:space="0" w:color="auto"/>
              <w:bottom w:val="none" w:sz="0" w:space="0" w:color="auto"/>
            </w:tcBorders>
          </w:tcPr>
          <w:p w:rsidR="00BB73A8" w:rsidRPr="003F5A77" w:rsidRDefault="001B6BD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10%</w:t>
            </w:r>
          </w:p>
        </w:tc>
        <w:tc>
          <w:tcPr>
            <w:tcW w:w="2213" w:type="dxa"/>
            <w:tcBorders>
              <w:top w:val="none" w:sz="0" w:space="0" w:color="auto"/>
              <w:bottom w:val="none" w:sz="0" w:space="0" w:color="auto"/>
            </w:tcBorders>
          </w:tcPr>
          <w:p w:rsidR="00BB73A8" w:rsidRPr="003F5A77" w:rsidRDefault="001B6BD8" w:rsidP="00F219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7.5%</w:t>
            </w:r>
          </w:p>
        </w:tc>
      </w:tr>
    </w:tbl>
    <w:p w:rsidR="00BB73A8" w:rsidRPr="00F219A4" w:rsidRDefault="00BB73A8" w:rsidP="000044F0">
      <w:pPr>
        <w:ind w:left="-851"/>
        <w:rPr>
          <w:rFonts w:asciiTheme="minorHAnsi" w:hAnsiTheme="minorHAnsi" w:cs="Arial"/>
          <w:b/>
          <w:color w:val="000000" w:themeColor="text1"/>
          <w:sz w:val="22"/>
          <w:szCs w:val="22"/>
        </w:rPr>
      </w:pPr>
      <w:r w:rsidRPr="00F219A4">
        <w:rPr>
          <w:rFonts w:asciiTheme="minorHAnsi" w:hAnsiTheme="minorHAnsi" w:cs="Arial"/>
          <w:b/>
          <w:color w:val="000000" w:themeColor="text1"/>
          <w:sz w:val="22"/>
          <w:szCs w:val="22"/>
        </w:rPr>
        <w:t>Source; Quarterly Rental Reports, D</w:t>
      </w:r>
      <w:r w:rsidR="0084305B" w:rsidRPr="00F219A4">
        <w:rPr>
          <w:rFonts w:asciiTheme="minorHAnsi" w:hAnsiTheme="minorHAnsi" w:cs="Arial"/>
          <w:b/>
          <w:color w:val="000000" w:themeColor="text1"/>
          <w:sz w:val="22"/>
          <w:szCs w:val="22"/>
        </w:rPr>
        <w:t>(</w:t>
      </w:r>
      <w:r w:rsidRPr="00F219A4">
        <w:rPr>
          <w:rFonts w:asciiTheme="minorHAnsi" w:hAnsiTheme="minorHAnsi" w:cs="Arial"/>
          <w:b/>
          <w:color w:val="000000" w:themeColor="text1"/>
          <w:sz w:val="22"/>
          <w:szCs w:val="22"/>
        </w:rPr>
        <w:t>H</w:t>
      </w:r>
      <w:r w:rsidR="0084305B" w:rsidRPr="00F219A4">
        <w:rPr>
          <w:rFonts w:asciiTheme="minorHAnsi" w:hAnsiTheme="minorHAnsi" w:cs="Arial"/>
          <w:b/>
          <w:color w:val="000000" w:themeColor="text1"/>
          <w:sz w:val="22"/>
          <w:szCs w:val="22"/>
        </w:rPr>
        <w:t>)</w:t>
      </w:r>
      <w:r w:rsidRPr="00F219A4">
        <w:rPr>
          <w:rFonts w:asciiTheme="minorHAnsi" w:hAnsiTheme="minorHAnsi" w:cs="Arial"/>
          <w:b/>
          <w:color w:val="000000" w:themeColor="text1"/>
          <w:sz w:val="22"/>
          <w:szCs w:val="22"/>
        </w:rPr>
        <w:t>HS</w:t>
      </w:r>
    </w:p>
    <w:p w:rsidR="00BB73A8" w:rsidRPr="00F219A4" w:rsidRDefault="00BB73A8" w:rsidP="000044F0">
      <w:pPr>
        <w:ind w:left="-851"/>
        <w:rPr>
          <w:rFonts w:asciiTheme="minorHAnsi" w:hAnsiTheme="minorHAnsi" w:cs="Arial"/>
          <w:b/>
          <w:sz w:val="22"/>
          <w:szCs w:val="22"/>
        </w:rPr>
      </w:pPr>
    </w:p>
    <w:p w:rsidR="00A14E15" w:rsidRPr="003F5A77" w:rsidRDefault="00A14E15" w:rsidP="000044F0">
      <w:pPr>
        <w:ind w:left="-851"/>
        <w:rPr>
          <w:rFonts w:asciiTheme="minorHAnsi" w:hAnsiTheme="minorHAnsi" w:cs="Arial"/>
          <w:sz w:val="22"/>
          <w:szCs w:val="22"/>
        </w:rPr>
      </w:pPr>
    </w:p>
    <w:p w:rsidR="00A14E15" w:rsidRPr="003F5A77" w:rsidRDefault="00A14E15" w:rsidP="000044F0">
      <w:pPr>
        <w:ind w:left="-851"/>
        <w:rPr>
          <w:rFonts w:asciiTheme="minorHAnsi" w:hAnsiTheme="minorHAnsi" w:cs="Arial"/>
          <w:sz w:val="22"/>
          <w:szCs w:val="22"/>
        </w:rPr>
      </w:pPr>
    </w:p>
    <w:p w:rsidR="00A14E15" w:rsidRPr="003F5A77" w:rsidRDefault="00F9768E" w:rsidP="000044F0">
      <w:pPr>
        <w:ind w:left="-851"/>
        <w:rPr>
          <w:rFonts w:asciiTheme="minorHAnsi" w:hAnsiTheme="minorHAnsi" w:cs="Arial"/>
          <w:b/>
          <w:sz w:val="22"/>
          <w:szCs w:val="22"/>
        </w:rPr>
      </w:pPr>
      <w:r w:rsidRPr="003F5A77">
        <w:rPr>
          <w:rFonts w:asciiTheme="minorHAnsi" w:hAnsiTheme="minorHAnsi" w:cs="Arial"/>
          <w:b/>
          <w:sz w:val="22"/>
          <w:szCs w:val="22"/>
        </w:rPr>
        <w:t>Figure 3.1</w:t>
      </w:r>
      <w:r w:rsidRPr="003F5A77">
        <w:rPr>
          <w:rFonts w:asciiTheme="minorHAnsi" w:hAnsiTheme="minorHAnsi" w:cs="Arial"/>
          <w:b/>
          <w:sz w:val="22"/>
          <w:szCs w:val="22"/>
        </w:rPr>
        <w:tab/>
        <w:t>Change in affordable private rentals, 2010-2017</w:t>
      </w:r>
    </w:p>
    <w:p w:rsidR="00A14E15" w:rsidRPr="003F5A77" w:rsidRDefault="00A14E15" w:rsidP="000044F0">
      <w:pPr>
        <w:ind w:left="-851"/>
        <w:rPr>
          <w:rFonts w:asciiTheme="minorHAnsi" w:hAnsiTheme="minorHAnsi" w:cs="Arial"/>
          <w:sz w:val="22"/>
          <w:szCs w:val="22"/>
        </w:rPr>
      </w:pPr>
    </w:p>
    <w:p w:rsidR="00A14E15" w:rsidRPr="003F5A77" w:rsidRDefault="00A14E15" w:rsidP="00B059CE">
      <w:pPr>
        <w:ind w:left="-851"/>
        <w:jc w:val="center"/>
        <w:rPr>
          <w:rFonts w:asciiTheme="minorHAnsi" w:hAnsiTheme="minorHAnsi" w:cs="Arial"/>
          <w:sz w:val="22"/>
          <w:szCs w:val="22"/>
        </w:rPr>
      </w:pPr>
      <w:r w:rsidRPr="003F5A77">
        <w:rPr>
          <w:rFonts w:asciiTheme="minorHAnsi" w:hAnsiTheme="minorHAnsi"/>
          <w:noProof/>
          <w:sz w:val="22"/>
          <w:szCs w:val="22"/>
        </w:rPr>
        <w:drawing>
          <wp:inline distT="0" distB="0" distL="0" distR="0">
            <wp:extent cx="5278120" cy="3373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3373049"/>
                    </a:xfrm>
                    <a:prstGeom prst="rect">
                      <a:avLst/>
                    </a:prstGeom>
                    <a:noFill/>
                    <a:ln>
                      <a:noFill/>
                    </a:ln>
                  </pic:spPr>
                </pic:pic>
              </a:graphicData>
            </a:graphic>
          </wp:inline>
        </w:drawing>
      </w:r>
    </w:p>
    <w:p w:rsidR="00F9768E" w:rsidRPr="003F5A77" w:rsidRDefault="00F9768E" w:rsidP="000044F0">
      <w:pPr>
        <w:ind w:left="-851"/>
        <w:rPr>
          <w:rFonts w:asciiTheme="minorHAnsi" w:hAnsiTheme="minorHAnsi" w:cs="Arial"/>
          <w:sz w:val="22"/>
          <w:szCs w:val="22"/>
        </w:rPr>
      </w:pPr>
    </w:p>
    <w:p w:rsidR="00F9768E" w:rsidRPr="003F5A77" w:rsidRDefault="00F9768E" w:rsidP="000044F0">
      <w:pPr>
        <w:ind w:left="-851"/>
        <w:rPr>
          <w:rFonts w:asciiTheme="minorHAnsi" w:hAnsiTheme="minorHAnsi" w:cs="Arial"/>
          <w:sz w:val="22"/>
          <w:szCs w:val="22"/>
        </w:rPr>
      </w:pPr>
    </w:p>
    <w:p w:rsidR="000A2BA4" w:rsidRPr="003F5A77" w:rsidRDefault="000A2BA4" w:rsidP="000044F0">
      <w:pPr>
        <w:ind w:left="-851"/>
        <w:rPr>
          <w:rFonts w:asciiTheme="minorHAnsi" w:hAnsiTheme="minorHAnsi" w:cs="Arial"/>
          <w:sz w:val="22"/>
          <w:szCs w:val="22"/>
        </w:rPr>
      </w:pPr>
    </w:p>
    <w:p w:rsidR="000A2BA4" w:rsidRPr="003F5A77" w:rsidRDefault="000A2BA4" w:rsidP="000044F0">
      <w:pPr>
        <w:ind w:left="-851"/>
        <w:rPr>
          <w:rFonts w:asciiTheme="minorHAnsi" w:hAnsiTheme="minorHAnsi" w:cs="Arial"/>
          <w:sz w:val="22"/>
          <w:szCs w:val="22"/>
        </w:rPr>
      </w:pPr>
    </w:p>
    <w:p w:rsidR="000A2BA4" w:rsidRPr="003F5A77" w:rsidRDefault="000A2BA4" w:rsidP="000044F0">
      <w:pPr>
        <w:ind w:left="-851"/>
        <w:rPr>
          <w:rFonts w:asciiTheme="minorHAnsi" w:hAnsiTheme="minorHAnsi" w:cs="Arial"/>
          <w:sz w:val="22"/>
          <w:szCs w:val="22"/>
        </w:rPr>
      </w:pPr>
    </w:p>
    <w:p w:rsidR="000A2BA4" w:rsidRPr="003F5A77" w:rsidRDefault="000A2BA4" w:rsidP="000044F0">
      <w:pPr>
        <w:ind w:left="-851"/>
        <w:rPr>
          <w:rFonts w:asciiTheme="minorHAnsi" w:hAnsiTheme="minorHAnsi" w:cs="Arial"/>
          <w:sz w:val="22"/>
          <w:szCs w:val="22"/>
        </w:rPr>
      </w:pPr>
    </w:p>
    <w:p w:rsidR="000A2BA4" w:rsidRPr="003F5A77" w:rsidRDefault="000A2BA4" w:rsidP="000044F0">
      <w:pPr>
        <w:ind w:left="-851"/>
        <w:rPr>
          <w:rFonts w:asciiTheme="minorHAnsi" w:hAnsiTheme="minorHAnsi" w:cs="Arial"/>
          <w:sz w:val="22"/>
          <w:szCs w:val="22"/>
        </w:rPr>
      </w:pPr>
    </w:p>
    <w:p w:rsidR="000A2BA4" w:rsidRPr="003F5A77" w:rsidRDefault="000A2BA4" w:rsidP="000044F0">
      <w:pPr>
        <w:ind w:left="-851"/>
        <w:rPr>
          <w:rFonts w:asciiTheme="minorHAnsi" w:hAnsiTheme="minorHAnsi" w:cs="Arial"/>
          <w:sz w:val="22"/>
          <w:szCs w:val="22"/>
        </w:rPr>
      </w:pPr>
    </w:p>
    <w:p w:rsidR="000A2BA4" w:rsidRPr="003F5A77" w:rsidRDefault="000A2BA4" w:rsidP="000044F0">
      <w:pPr>
        <w:ind w:left="-851"/>
        <w:rPr>
          <w:rFonts w:asciiTheme="minorHAnsi" w:hAnsiTheme="minorHAnsi" w:cs="Arial"/>
          <w:sz w:val="22"/>
          <w:szCs w:val="22"/>
        </w:rPr>
      </w:pPr>
    </w:p>
    <w:p w:rsidR="00F9768E" w:rsidRPr="003F5A77" w:rsidRDefault="00F9768E" w:rsidP="000044F0">
      <w:pPr>
        <w:ind w:left="-851"/>
        <w:rPr>
          <w:rFonts w:asciiTheme="minorHAnsi" w:hAnsiTheme="minorHAnsi" w:cs="Arial"/>
          <w:sz w:val="22"/>
          <w:szCs w:val="22"/>
        </w:rPr>
      </w:pPr>
    </w:p>
    <w:p w:rsidR="00A06D34" w:rsidRPr="00F219A4" w:rsidRDefault="00A06D34" w:rsidP="00F219A4">
      <w:pPr>
        <w:pStyle w:val="ListParagraph"/>
        <w:numPr>
          <w:ilvl w:val="0"/>
          <w:numId w:val="14"/>
        </w:numPr>
        <w:rPr>
          <w:rFonts w:ascii="Calibri" w:eastAsiaTheme="majorEastAsia" w:hAnsi="Calibri" w:cstheme="majorBidi"/>
          <w:color w:val="1F497D" w:themeColor="text2"/>
          <w:sz w:val="30"/>
          <w:szCs w:val="30"/>
          <w:lang w:val="en-US" w:eastAsia="en-US"/>
        </w:rPr>
      </w:pPr>
      <w:r w:rsidRPr="00F219A4">
        <w:rPr>
          <w:rFonts w:ascii="Calibri" w:eastAsiaTheme="majorEastAsia" w:hAnsi="Calibri" w:cstheme="majorBidi"/>
          <w:color w:val="1F497D" w:themeColor="text2"/>
          <w:sz w:val="30"/>
          <w:szCs w:val="30"/>
          <w:lang w:val="en-US" w:eastAsia="en-US"/>
        </w:rPr>
        <w:lastRenderedPageBreak/>
        <w:t xml:space="preserve">Capacity to meet low-cost housing needs </w:t>
      </w:r>
    </w:p>
    <w:p w:rsidR="00A06D34" w:rsidRPr="003F5A77" w:rsidRDefault="00A06D34" w:rsidP="000044F0">
      <w:pPr>
        <w:pStyle w:val="ListParagraph"/>
        <w:ind w:left="-851"/>
        <w:rPr>
          <w:rFonts w:asciiTheme="minorHAnsi" w:hAnsiTheme="minorHAnsi" w:cs="Arial"/>
          <w:color w:val="000000" w:themeColor="text1"/>
          <w:sz w:val="22"/>
          <w:szCs w:val="22"/>
        </w:rPr>
      </w:pPr>
    </w:p>
    <w:p w:rsidR="00A06D34" w:rsidRPr="003F5A77" w:rsidRDefault="00A06D34"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According to the 2017 review, it is estimated that </w:t>
      </w:r>
      <w:r w:rsidRPr="003F5A77">
        <w:rPr>
          <w:rFonts w:asciiTheme="minorHAnsi" w:hAnsiTheme="minorHAnsi" w:cs="Arial"/>
          <w:b/>
          <w:color w:val="000000" w:themeColor="text1"/>
          <w:sz w:val="22"/>
          <w:szCs w:val="22"/>
        </w:rPr>
        <w:t>the proportion of</w:t>
      </w:r>
      <w:r w:rsidR="00E57E03" w:rsidRPr="003F5A77">
        <w:rPr>
          <w:rFonts w:asciiTheme="minorHAnsi" w:hAnsiTheme="minorHAnsi" w:cs="Arial"/>
          <w:b/>
          <w:color w:val="000000" w:themeColor="text1"/>
          <w:sz w:val="22"/>
          <w:szCs w:val="22"/>
        </w:rPr>
        <w:t xml:space="preserve"> </w:t>
      </w:r>
      <w:proofErr w:type="gramStart"/>
      <w:r w:rsidR="00E57E03" w:rsidRPr="003F5A77">
        <w:rPr>
          <w:rFonts w:asciiTheme="minorHAnsi" w:hAnsiTheme="minorHAnsi" w:cs="Arial"/>
          <w:b/>
          <w:color w:val="000000" w:themeColor="text1"/>
          <w:sz w:val="22"/>
          <w:szCs w:val="22"/>
        </w:rPr>
        <w:t>EAH</w:t>
      </w:r>
      <w:r w:rsidR="000A2BA4" w:rsidRPr="003F5A77">
        <w:rPr>
          <w:rFonts w:asciiTheme="minorHAnsi" w:hAnsiTheme="minorHAnsi" w:cs="Arial"/>
          <w:b/>
          <w:color w:val="000000" w:themeColor="text1"/>
          <w:sz w:val="22"/>
          <w:szCs w:val="22"/>
        </w:rPr>
        <w:t xml:space="preserve">A </w:t>
      </w:r>
      <w:r w:rsidRPr="003F5A77">
        <w:rPr>
          <w:rFonts w:asciiTheme="minorHAnsi" w:hAnsiTheme="minorHAnsi" w:cs="Arial"/>
          <w:b/>
          <w:color w:val="000000" w:themeColor="text1"/>
          <w:sz w:val="22"/>
          <w:szCs w:val="22"/>
        </w:rPr>
        <w:t xml:space="preserve"> ‘</w:t>
      </w:r>
      <w:proofErr w:type="gramEnd"/>
      <w:r w:rsidRPr="003F5A77">
        <w:rPr>
          <w:rFonts w:asciiTheme="minorHAnsi" w:hAnsiTheme="minorHAnsi" w:cs="Arial"/>
          <w:b/>
          <w:color w:val="000000" w:themeColor="text1"/>
          <w:sz w:val="22"/>
          <w:szCs w:val="22"/>
        </w:rPr>
        <w:t>need’ that</w:t>
      </w:r>
      <w:r w:rsidRPr="003F5A77">
        <w:rPr>
          <w:rFonts w:asciiTheme="minorHAnsi" w:hAnsiTheme="minorHAnsi" w:cs="Arial"/>
          <w:color w:val="000000" w:themeColor="text1"/>
          <w:sz w:val="22"/>
          <w:szCs w:val="22"/>
        </w:rPr>
        <w:t xml:space="preserve"> </w:t>
      </w:r>
      <w:r w:rsidRPr="003F5A77">
        <w:rPr>
          <w:rFonts w:asciiTheme="minorHAnsi" w:hAnsiTheme="minorHAnsi" w:cs="Arial"/>
          <w:b/>
          <w:color w:val="000000" w:themeColor="text1"/>
          <w:sz w:val="22"/>
          <w:szCs w:val="22"/>
        </w:rPr>
        <w:t xml:space="preserve">could be met </w:t>
      </w:r>
      <w:r w:rsidRPr="003F5A77">
        <w:rPr>
          <w:rFonts w:asciiTheme="minorHAnsi" w:hAnsiTheme="minorHAnsi" w:cs="Arial"/>
          <w:color w:val="000000" w:themeColor="text1"/>
          <w:sz w:val="22"/>
          <w:szCs w:val="22"/>
        </w:rPr>
        <w:t xml:space="preserve">by existing social housing and the (estimated) supply of affordable private rentals in the region, </w:t>
      </w:r>
      <w:r w:rsidRPr="003F5A77">
        <w:rPr>
          <w:rFonts w:asciiTheme="minorHAnsi" w:hAnsiTheme="minorHAnsi" w:cs="Arial"/>
          <w:b/>
          <w:color w:val="000000" w:themeColor="text1"/>
          <w:sz w:val="22"/>
          <w:szCs w:val="22"/>
        </w:rPr>
        <w:t xml:space="preserve">stands at </w:t>
      </w:r>
      <w:r w:rsidR="002E1395" w:rsidRPr="003F5A77">
        <w:rPr>
          <w:rFonts w:asciiTheme="minorHAnsi" w:hAnsiTheme="minorHAnsi" w:cs="Arial"/>
          <w:b/>
          <w:color w:val="000000" w:themeColor="text1"/>
          <w:sz w:val="22"/>
          <w:szCs w:val="22"/>
        </w:rPr>
        <w:t>54</w:t>
      </w:r>
      <w:r w:rsidR="00C868DC" w:rsidRPr="003F5A77">
        <w:rPr>
          <w:rFonts w:asciiTheme="minorHAnsi" w:hAnsiTheme="minorHAnsi" w:cs="Arial"/>
          <w:b/>
          <w:color w:val="000000" w:themeColor="text1"/>
          <w:sz w:val="22"/>
          <w:szCs w:val="22"/>
        </w:rPr>
        <w:t xml:space="preserve">% </w:t>
      </w:r>
      <w:r w:rsidR="00C868DC" w:rsidRPr="003F5A77">
        <w:rPr>
          <w:rFonts w:asciiTheme="minorHAnsi" w:hAnsiTheme="minorHAnsi" w:cs="Arial"/>
          <w:color w:val="000000" w:themeColor="text1"/>
          <w:sz w:val="22"/>
          <w:szCs w:val="22"/>
        </w:rPr>
        <w:t>(7272</w:t>
      </w:r>
      <w:r w:rsidR="0082519E" w:rsidRPr="003F5A77">
        <w:rPr>
          <w:rFonts w:asciiTheme="minorHAnsi" w:hAnsiTheme="minorHAnsi" w:cs="Arial"/>
          <w:color w:val="000000" w:themeColor="text1"/>
          <w:sz w:val="22"/>
          <w:szCs w:val="22"/>
        </w:rPr>
        <w:t xml:space="preserve"> social housing units plus an estimated 2037 affordable rentals, to service a </w:t>
      </w:r>
      <w:r w:rsidR="00111DD1" w:rsidRPr="003F5A77">
        <w:rPr>
          <w:rFonts w:asciiTheme="minorHAnsi" w:hAnsiTheme="minorHAnsi" w:cs="Arial"/>
          <w:color w:val="000000" w:themeColor="text1"/>
          <w:sz w:val="22"/>
          <w:szCs w:val="22"/>
        </w:rPr>
        <w:t>regional target market of 17,270</w:t>
      </w:r>
      <w:r w:rsidR="0082519E" w:rsidRPr="003F5A77">
        <w:rPr>
          <w:rFonts w:asciiTheme="minorHAnsi" w:hAnsiTheme="minorHAnsi" w:cs="Arial"/>
          <w:color w:val="000000" w:themeColor="text1"/>
          <w:sz w:val="22"/>
          <w:szCs w:val="22"/>
        </w:rPr>
        <w:t xml:space="preserve"> households</w:t>
      </w:r>
      <w:r w:rsidR="009A14D2" w:rsidRPr="003F5A77">
        <w:rPr>
          <w:rFonts w:asciiTheme="minorHAnsi" w:hAnsiTheme="minorHAnsi" w:cs="Arial"/>
          <w:color w:val="000000" w:themeColor="text1"/>
          <w:sz w:val="22"/>
          <w:szCs w:val="22"/>
        </w:rPr>
        <w:t>)</w:t>
      </w:r>
      <w:r w:rsidR="0082519E" w:rsidRPr="003F5A77">
        <w:rPr>
          <w:rFonts w:asciiTheme="minorHAnsi" w:hAnsiTheme="minorHAnsi" w:cs="Arial"/>
          <w:color w:val="000000" w:themeColor="text1"/>
          <w:sz w:val="22"/>
          <w:szCs w:val="22"/>
        </w:rPr>
        <w:t>.</w:t>
      </w:r>
    </w:p>
    <w:p w:rsidR="002E1395" w:rsidRPr="003F5A77" w:rsidRDefault="002E1395" w:rsidP="000044F0">
      <w:pPr>
        <w:ind w:left="-851"/>
        <w:rPr>
          <w:rFonts w:asciiTheme="minorHAnsi" w:hAnsiTheme="minorHAnsi" w:cs="Arial"/>
          <w:color w:val="000000" w:themeColor="text1"/>
          <w:sz w:val="22"/>
          <w:szCs w:val="22"/>
        </w:rPr>
      </w:pPr>
    </w:p>
    <w:p w:rsidR="002E1395" w:rsidRPr="003F5A77" w:rsidRDefault="002E1395" w:rsidP="00F219A4">
      <w:pPr>
        <w:pStyle w:val="ListParagraph"/>
        <w:numPr>
          <w:ilvl w:val="0"/>
          <w:numId w:val="12"/>
        </w:numPr>
        <w:ind w:left="-284" w:hanging="567"/>
        <w:rPr>
          <w:rFonts w:asciiTheme="minorHAnsi" w:hAnsiTheme="minorHAnsi" w:cs="Arial"/>
          <w:color w:val="000000" w:themeColor="text1"/>
          <w:sz w:val="22"/>
          <w:szCs w:val="22"/>
        </w:rPr>
      </w:pPr>
      <w:r w:rsidRPr="003F5A77">
        <w:rPr>
          <w:rFonts w:asciiTheme="minorHAnsi" w:hAnsiTheme="minorHAnsi" w:cs="Arial"/>
          <w:b/>
          <w:color w:val="000000" w:themeColor="text1"/>
          <w:sz w:val="22"/>
          <w:szCs w:val="22"/>
        </w:rPr>
        <w:t>Capacity to meet low-cost housing need for the region as a whole</w:t>
      </w:r>
      <w:r w:rsidR="00E57E03" w:rsidRPr="003F5A77">
        <w:rPr>
          <w:rFonts w:asciiTheme="minorHAnsi" w:hAnsiTheme="minorHAnsi" w:cs="Arial"/>
          <w:b/>
          <w:color w:val="000000" w:themeColor="text1"/>
          <w:sz w:val="22"/>
          <w:szCs w:val="22"/>
        </w:rPr>
        <w:t xml:space="preserve"> continues to </w:t>
      </w:r>
      <w:r w:rsidR="00E57E03" w:rsidRPr="003F5A77">
        <w:rPr>
          <w:rFonts w:asciiTheme="minorHAnsi" w:hAnsiTheme="minorHAnsi" w:cs="Arial"/>
          <w:b/>
          <w:i/>
          <w:color w:val="000000" w:themeColor="text1"/>
          <w:sz w:val="22"/>
          <w:szCs w:val="22"/>
        </w:rPr>
        <w:t xml:space="preserve">contract </w:t>
      </w:r>
      <w:r w:rsidR="00E57E03" w:rsidRPr="003F5A77">
        <w:rPr>
          <w:rFonts w:asciiTheme="minorHAnsi" w:hAnsiTheme="minorHAnsi" w:cs="Arial"/>
          <w:color w:val="000000" w:themeColor="text1"/>
          <w:sz w:val="22"/>
          <w:szCs w:val="22"/>
        </w:rPr>
        <w:t>from the benc</w:t>
      </w:r>
      <w:r w:rsidR="000A2BA4" w:rsidRPr="003F5A77">
        <w:rPr>
          <w:rFonts w:asciiTheme="minorHAnsi" w:hAnsiTheme="minorHAnsi" w:cs="Arial"/>
          <w:color w:val="000000" w:themeColor="text1"/>
          <w:sz w:val="22"/>
          <w:szCs w:val="22"/>
        </w:rPr>
        <w:t xml:space="preserve">hmark for the </w:t>
      </w:r>
      <w:proofErr w:type="gramStart"/>
      <w:r w:rsidR="000A2BA4" w:rsidRPr="003F5A77">
        <w:rPr>
          <w:rFonts w:asciiTheme="minorHAnsi" w:hAnsiTheme="minorHAnsi" w:cs="Arial"/>
          <w:color w:val="000000" w:themeColor="text1"/>
          <w:sz w:val="22"/>
          <w:szCs w:val="22"/>
        </w:rPr>
        <w:t>EAHA</w:t>
      </w:r>
      <w:r w:rsidR="00E57E03" w:rsidRPr="003F5A77">
        <w:rPr>
          <w:rFonts w:asciiTheme="minorHAnsi" w:hAnsiTheme="minorHAnsi" w:cs="Arial"/>
          <w:color w:val="000000" w:themeColor="text1"/>
          <w:sz w:val="22"/>
          <w:szCs w:val="22"/>
        </w:rPr>
        <w:t xml:space="preserve">  in</w:t>
      </w:r>
      <w:proofErr w:type="gramEnd"/>
      <w:r w:rsidR="00E57E03" w:rsidRPr="003F5A77">
        <w:rPr>
          <w:rFonts w:asciiTheme="minorHAnsi" w:hAnsiTheme="minorHAnsi" w:cs="Arial"/>
          <w:color w:val="000000" w:themeColor="text1"/>
          <w:sz w:val="22"/>
          <w:szCs w:val="22"/>
        </w:rPr>
        <w:t xml:space="preserve"> 2010 (65%) to 59% by review in 2014</w:t>
      </w:r>
      <w:r w:rsidR="000A2BA4" w:rsidRPr="003F5A77">
        <w:rPr>
          <w:rFonts w:asciiTheme="minorHAnsi" w:hAnsiTheme="minorHAnsi" w:cs="Arial"/>
          <w:color w:val="000000" w:themeColor="text1"/>
          <w:sz w:val="22"/>
          <w:szCs w:val="22"/>
        </w:rPr>
        <w:t>,</w:t>
      </w:r>
      <w:r w:rsidR="00E57E03" w:rsidRPr="003F5A77">
        <w:rPr>
          <w:rFonts w:asciiTheme="minorHAnsi" w:hAnsiTheme="minorHAnsi" w:cs="Arial"/>
          <w:color w:val="000000" w:themeColor="text1"/>
          <w:sz w:val="22"/>
          <w:szCs w:val="22"/>
        </w:rPr>
        <w:t xml:space="preserve"> and 54% as per the current assessment.</w:t>
      </w:r>
    </w:p>
    <w:p w:rsidR="00F8514B" w:rsidRPr="003F5A77" w:rsidRDefault="00F8514B" w:rsidP="000044F0">
      <w:pPr>
        <w:ind w:left="-851"/>
        <w:rPr>
          <w:rFonts w:asciiTheme="minorHAnsi" w:hAnsiTheme="minorHAnsi" w:cs="Arial"/>
          <w:sz w:val="22"/>
          <w:szCs w:val="22"/>
        </w:rPr>
      </w:pPr>
    </w:p>
    <w:tbl>
      <w:tblPr>
        <w:tblStyle w:val="ListTable3-Accent1"/>
        <w:tblW w:w="9640" w:type="dxa"/>
        <w:tblInd w:w="-714" w:type="dxa"/>
        <w:tblBorders>
          <w:insideH w:val="single" w:sz="4" w:space="0" w:color="4F81BD" w:themeColor="accent1"/>
          <w:insideV w:val="single" w:sz="4" w:space="0" w:color="4F81BD" w:themeColor="accent1"/>
        </w:tblBorders>
        <w:tblLook w:val="04A0" w:firstRow="1" w:lastRow="0" w:firstColumn="1" w:lastColumn="0" w:noHBand="0" w:noVBand="1"/>
      </w:tblPr>
      <w:tblGrid>
        <w:gridCol w:w="2038"/>
        <w:gridCol w:w="1648"/>
        <w:gridCol w:w="1701"/>
        <w:gridCol w:w="1843"/>
        <w:gridCol w:w="2410"/>
      </w:tblGrid>
      <w:tr w:rsidR="0082519E" w:rsidRPr="003F5A77" w:rsidTr="00F219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40" w:type="dxa"/>
            <w:gridSpan w:val="5"/>
            <w:tcBorders>
              <w:bottom w:val="none" w:sz="0" w:space="0" w:color="auto"/>
              <w:right w:val="none" w:sz="0" w:space="0" w:color="auto"/>
            </w:tcBorders>
          </w:tcPr>
          <w:p w:rsidR="0082519E" w:rsidRPr="003F5A77" w:rsidRDefault="00911B97" w:rsidP="00F219A4">
            <w:pPr>
              <w:ind w:left="27"/>
              <w:rPr>
                <w:rFonts w:asciiTheme="minorHAnsi" w:hAnsiTheme="minorHAnsi" w:cs="Arial"/>
                <w:color w:val="FF0000"/>
                <w:sz w:val="22"/>
                <w:szCs w:val="22"/>
              </w:rPr>
            </w:pPr>
            <w:r w:rsidRPr="003F5A77">
              <w:rPr>
                <w:rFonts w:asciiTheme="minorHAnsi" w:hAnsiTheme="minorHAnsi" w:cs="Arial"/>
                <w:sz w:val="22"/>
                <w:szCs w:val="22"/>
              </w:rPr>
              <w:t>Table 4.1</w:t>
            </w:r>
            <w:r w:rsidR="0082519E" w:rsidRPr="003F5A77">
              <w:rPr>
                <w:rFonts w:asciiTheme="minorHAnsi" w:hAnsiTheme="minorHAnsi" w:cs="Arial"/>
                <w:sz w:val="22"/>
                <w:szCs w:val="22"/>
              </w:rPr>
              <w:t xml:space="preserve"> Change in capacity to meet low cost housing needs by EAH municipality</w:t>
            </w:r>
          </w:p>
          <w:p w:rsidR="0082519E" w:rsidRPr="003F5A77" w:rsidRDefault="0082519E" w:rsidP="00F219A4">
            <w:pPr>
              <w:ind w:left="27"/>
              <w:rPr>
                <w:rFonts w:asciiTheme="minorHAnsi" w:hAnsiTheme="minorHAnsi" w:cs="Arial"/>
                <w:sz w:val="22"/>
                <w:szCs w:val="22"/>
              </w:rPr>
            </w:pPr>
          </w:p>
        </w:tc>
      </w:tr>
      <w:tr w:rsidR="009B5707" w:rsidRPr="003F5A77" w:rsidTr="00F2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F219A4" w:rsidRDefault="009B5707" w:rsidP="00F219A4">
            <w:pPr>
              <w:ind w:left="27"/>
              <w:rPr>
                <w:rFonts w:asciiTheme="minorHAnsi" w:hAnsiTheme="minorHAnsi" w:cs="Arial"/>
                <w:sz w:val="22"/>
                <w:szCs w:val="22"/>
              </w:rPr>
            </w:pPr>
            <w:r w:rsidRPr="00F219A4">
              <w:rPr>
                <w:rFonts w:asciiTheme="minorHAnsi" w:hAnsiTheme="minorHAnsi" w:cs="Arial"/>
                <w:sz w:val="22"/>
                <w:szCs w:val="22"/>
              </w:rPr>
              <w:t>Review year</w:t>
            </w:r>
          </w:p>
        </w:tc>
        <w:tc>
          <w:tcPr>
            <w:tcW w:w="1648" w:type="dxa"/>
            <w:tcBorders>
              <w:top w:val="none" w:sz="0" w:space="0" w:color="auto"/>
              <w:bottom w:val="none" w:sz="0" w:space="0" w:color="auto"/>
            </w:tcBorders>
          </w:tcPr>
          <w:p w:rsidR="009B5707" w:rsidRPr="003F5A77" w:rsidRDefault="009B5707" w:rsidP="00F219A4">
            <w:pPr>
              <w:ind w:left="27"/>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Social housing supply (DH(H)S) data</w:t>
            </w:r>
          </w:p>
        </w:tc>
        <w:tc>
          <w:tcPr>
            <w:tcW w:w="1701" w:type="dxa"/>
            <w:tcBorders>
              <w:top w:val="none" w:sz="0" w:space="0" w:color="auto"/>
              <w:bottom w:val="none" w:sz="0" w:space="0" w:color="auto"/>
            </w:tcBorders>
          </w:tcPr>
          <w:p w:rsidR="009B5707" w:rsidRPr="003F5A77" w:rsidRDefault="009B5707" w:rsidP="00F219A4">
            <w:pPr>
              <w:ind w:left="27"/>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Affordable rental supply (est.)</w:t>
            </w:r>
          </w:p>
          <w:p w:rsidR="009B5707" w:rsidRPr="003F5A77" w:rsidRDefault="009B5707" w:rsidP="00F219A4">
            <w:pPr>
              <w:ind w:left="27"/>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(DH(H)S) data</w:t>
            </w:r>
          </w:p>
        </w:tc>
        <w:tc>
          <w:tcPr>
            <w:tcW w:w="1843" w:type="dxa"/>
            <w:tcBorders>
              <w:top w:val="none" w:sz="0" w:space="0" w:color="auto"/>
              <w:bottom w:val="none" w:sz="0" w:space="0" w:color="auto"/>
            </w:tcBorders>
          </w:tcPr>
          <w:p w:rsidR="009B5707" w:rsidRPr="003F5A77" w:rsidRDefault="009B5707" w:rsidP="00F219A4">
            <w:pPr>
              <w:ind w:left="27"/>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‘Target market’</w:t>
            </w:r>
          </w:p>
          <w:p w:rsidR="009B5707" w:rsidRPr="003F5A77" w:rsidRDefault="009B5707" w:rsidP="00F219A4">
            <w:pPr>
              <w:ind w:left="27"/>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
          <w:p w:rsidR="009B5707" w:rsidRPr="003F5A77" w:rsidRDefault="009B5707" w:rsidP="00F219A4">
            <w:pPr>
              <w:ind w:left="27"/>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(ABS data)</w:t>
            </w:r>
          </w:p>
        </w:tc>
        <w:tc>
          <w:tcPr>
            <w:tcW w:w="2410" w:type="dxa"/>
            <w:tcBorders>
              <w:top w:val="none" w:sz="0" w:space="0" w:color="auto"/>
              <w:bottom w:val="none" w:sz="0" w:space="0" w:color="auto"/>
            </w:tcBorders>
            <w:shd w:val="clear" w:color="auto" w:fill="B8CCE4" w:themeFill="accent1" w:themeFillTint="66"/>
          </w:tcPr>
          <w:p w:rsidR="009B5707" w:rsidRPr="003F5A77" w:rsidRDefault="009B5707" w:rsidP="00F219A4">
            <w:pPr>
              <w:ind w:left="27"/>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 ‘need’ met by existing social housing plus est. affordable private lettings</w:t>
            </w:r>
          </w:p>
        </w:tc>
      </w:tr>
      <w:tr w:rsidR="009B5707" w:rsidRPr="003F5A77" w:rsidTr="00F219A4">
        <w:trPr>
          <w:trHeight w:val="90"/>
        </w:trPr>
        <w:tc>
          <w:tcPr>
            <w:cnfStyle w:val="001000000000" w:firstRow="0" w:lastRow="0" w:firstColumn="1" w:lastColumn="0" w:oddVBand="0" w:evenVBand="0" w:oddHBand="0" w:evenHBand="0" w:firstRowFirstColumn="0" w:firstRowLastColumn="0" w:lastRowFirstColumn="0" w:lastRowLastColumn="0"/>
            <w:tcW w:w="9640" w:type="dxa"/>
            <w:gridSpan w:val="5"/>
            <w:tcBorders>
              <w:right w:val="none" w:sz="0" w:space="0" w:color="auto"/>
            </w:tcBorders>
            <w:shd w:val="clear" w:color="auto" w:fill="B8CCE4" w:themeFill="accent1" w:themeFillTint="66"/>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Knox</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2010</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1212</w:t>
            </w:r>
          </w:p>
        </w:tc>
        <w:tc>
          <w:tcPr>
            <w:tcW w:w="1701" w:type="dxa"/>
            <w:tcBorders>
              <w:top w:val="none" w:sz="0" w:space="0" w:color="auto"/>
              <w:bottom w:val="none" w:sz="0" w:space="0" w:color="auto"/>
            </w:tcBorders>
          </w:tcPr>
          <w:p w:rsidR="009B5707" w:rsidRPr="003F5A77" w:rsidRDefault="00D23CF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360</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1820</w:t>
            </w:r>
          </w:p>
        </w:tc>
        <w:tc>
          <w:tcPr>
            <w:tcW w:w="2410" w:type="dxa"/>
            <w:tcBorders>
              <w:top w:val="none" w:sz="0" w:space="0" w:color="auto"/>
              <w:bottom w:val="none" w:sz="0" w:space="0" w:color="auto"/>
            </w:tcBorders>
            <w:shd w:val="clear" w:color="auto" w:fill="B8CCE4" w:themeFill="accent1" w:themeFillTint="66"/>
          </w:tcPr>
          <w:p w:rsidR="009B5707" w:rsidRPr="003F5A77" w:rsidRDefault="00C9531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86%</w:t>
            </w:r>
          </w:p>
        </w:tc>
      </w:tr>
      <w:tr w:rsidR="009B5707" w:rsidRPr="003F5A77" w:rsidTr="00F219A4">
        <w:trPr>
          <w:trHeight w:val="90"/>
        </w:trPr>
        <w:tc>
          <w:tcPr>
            <w:cnfStyle w:val="001000000000" w:firstRow="0" w:lastRow="0" w:firstColumn="1" w:lastColumn="0" w:oddVBand="0" w:evenVBand="0" w:oddHBand="0" w:evenHBand="0" w:firstRowFirstColumn="0" w:firstRowLastColumn="0" w:lastRowFirstColumn="0" w:lastRowLastColumn="0"/>
            <w:tcW w:w="2038" w:type="dxa"/>
            <w:tcBorders>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2014</w:t>
            </w:r>
          </w:p>
        </w:tc>
        <w:tc>
          <w:tcPr>
            <w:tcW w:w="1648" w:type="dxa"/>
          </w:tcPr>
          <w:p w:rsidR="009B5707" w:rsidRPr="003F5A77" w:rsidRDefault="00420A63"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1452</w:t>
            </w:r>
          </w:p>
        </w:tc>
        <w:tc>
          <w:tcPr>
            <w:tcW w:w="1701" w:type="dxa"/>
          </w:tcPr>
          <w:p w:rsidR="009B5707" w:rsidRPr="003F5A77" w:rsidRDefault="00D23CF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473</w:t>
            </w:r>
          </w:p>
        </w:tc>
        <w:tc>
          <w:tcPr>
            <w:tcW w:w="1843" w:type="dxa"/>
          </w:tcPr>
          <w:p w:rsidR="009B5707" w:rsidRPr="003F5A77" w:rsidRDefault="009A7D9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2310</w:t>
            </w:r>
          </w:p>
        </w:tc>
        <w:tc>
          <w:tcPr>
            <w:tcW w:w="2410" w:type="dxa"/>
            <w:shd w:val="clear" w:color="auto" w:fill="B8CCE4" w:themeFill="accent1" w:themeFillTint="66"/>
          </w:tcPr>
          <w:p w:rsidR="009B5707" w:rsidRPr="003F5A77" w:rsidRDefault="00C9531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83%</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2017</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1445</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373</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2200</w:t>
            </w:r>
          </w:p>
        </w:tc>
        <w:tc>
          <w:tcPr>
            <w:tcW w:w="2410" w:type="dxa"/>
            <w:tcBorders>
              <w:top w:val="none" w:sz="0" w:space="0" w:color="auto"/>
              <w:bottom w:val="none" w:sz="0" w:space="0" w:color="auto"/>
            </w:tcBorders>
            <w:shd w:val="clear" w:color="auto" w:fill="B8CCE4" w:themeFill="accent1" w:themeFillTint="66"/>
          </w:tcPr>
          <w:p w:rsidR="009B5707" w:rsidRPr="003F5A77" w:rsidRDefault="000905BC"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82</w:t>
            </w:r>
            <w:r w:rsidR="00C9531A" w:rsidRPr="003F5A77">
              <w:rPr>
                <w:rFonts w:asciiTheme="minorHAnsi" w:hAnsiTheme="minorHAnsi" w:cs="Arial"/>
                <w:b/>
                <w:sz w:val="22"/>
                <w:szCs w:val="22"/>
              </w:rPr>
              <w:t>%</w:t>
            </w:r>
          </w:p>
        </w:tc>
      </w:tr>
      <w:tr w:rsidR="009B5707" w:rsidRPr="003F5A77" w:rsidTr="00F219A4">
        <w:trPr>
          <w:trHeight w:val="130"/>
        </w:trPr>
        <w:tc>
          <w:tcPr>
            <w:cnfStyle w:val="001000000000" w:firstRow="0" w:lastRow="0" w:firstColumn="1" w:lastColumn="0" w:oddVBand="0" w:evenVBand="0" w:oddHBand="0" w:evenHBand="0" w:firstRowFirstColumn="0" w:firstRowLastColumn="0" w:lastRowFirstColumn="0" w:lastRowLastColumn="0"/>
            <w:tcW w:w="9640" w:type="dxa"/>
            <w:gridSpan w:val="5"/>
            <w:tcBorders>
              <w:right w:val="none" w:sz="0" w:space="0" w:color="auto"/>
            </w:tcBorders>
            <w:shd w:val="clear" w:color="auto" w:fill="B8CCE4" w:themeFill="accent1" w:themeFillTint="66"/>
          </w:tcPr>
          <w:p w:rsidR="009B5707" w:rsidRPr="003F5A77" w:rsidRDefault="009B5707" w:rsidP="00F219A4">
            <w:pPr>
              <w:ind w:left="27"/>
              <w:jc w:val="center"/>
              <w:rPr>
                <w:rFonts w:asciiTheme="minorHAnsi" w:hAnsiTheme="minorHAnsi" w:cs="Arial"/>
                <w:b w:val="0"/>
                <w:sz w:val="22"/>
                <w:szCs w:val="22"/>
              </w:rPr>
            </w:pPr>
            <w:r w:rsidRPr="003F5A77">
              <w:rPr>
                <w:rFonts w:asciiTheme="minorHAnsi" w:hAnsiTheme="minorHAnsi" w:cs="Arial"/>
                <w:color w:val="000000" w:themeColor="text1"/>
                <w:sz w:val="22"/>
                <w:szCs w:val="22"/>
              </w:rPr>
              <w:t>Manningham</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2010</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239</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110</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1270</w:t>
            </w:r>
          </w:p>
        </w:tc>
        <w:tc>
          <w:tcPr>
            <w:tcW w:w="2410" w:type="dxa"/>
            <w:tcBorders>
              <w:top w:val="none" w:sz="0" w:space="0" w:color="auto"/>
              <w:bottom w:val="none" w:sz="0" w:space="0" w:color="auto"/>
            </w:tcBorders>
            <w:shd w:val="clear" w:color="auto" w:fill="B8CCE4" w:themeFill="accent1" w:themeFillTint="66"/>
          </w:tcPr>
          <w:p w:rsidR="009B5707" w:rsidRPr="003F5A77" w:rsidRDefault="00C9531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27%</w:t>
            </w:r>
          </w:p>
        </w:tc>
      </w:tr>
      <w:tr w:rsidR="009B5707" w:rsidRPr="003F5A77" w:rsidTr="00F219A4">
        <w:trPr>
          <w:trHeight w:val="130"/>
        </w:trPr>
        <w:tc>
          <w:tcPr>
            <w:cnfStyle w:val="001000000000" w:firstRow="0" w:lastRow="0" w:firstColumn="1" w:lastColumn="0" w:oddVBand="0" w:evenVBand="0" w:oddHBand="0" w:evenHBand="0" w:firstRowFirstColumn="0" w:firstRowLastColumn="0" w:lastRowFirstColumn="0" w:lastRowLastColumn="0"/>
            <w:tcW w:w="2038" w:type="dxa"/>
            <w:tcBorders>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2014</w:t>
            </w:r>
          </w:p>
        </w:tc>
        <w:tc>
          <w:tcPr>
            <w:tcW w:w="1648" w:type="dxa"/>
          </w:tcPr>
          <w:p w:rsidR="009B5707" w:rsidRPr="003F5A77" w:rsidRDefault="00420A63"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336</w:t>
            </w:r>
          </w:p>
        </w:tc>
        <w:tc>
          <w:tcPr>
            <w:tcW w:w="1701" w:type="dxa"/>
          </w:tcPr>
          <w:p w:rsidR="009B5707" w:rsidRPr="003F5A77" w:rsidRDefault="00943AA0"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103</w:t>
            </w:r>
          </w:p>
        </w:tc>
        <w:tc>
          <w:tcPr>
            <w:tcW w:w="1843" w:type="dxa"/>
          </w:tcPr>
          <w:p w:rsidR="009B5707" w:rsidRPr="003F5A77" w:rsidRDefault="009A7D9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1670</w:t>
            </w:r>
          </w:p>
        </w:tc>
        <w:tc>
          <w:tcPr>
            <w:tcW w:w="2410" w:type="dxa"/>
            <w:shd w:val="clear" w:color="auto" w:fill="B8CCE4" w:themeFill="accent1" w:themeFillTint="66"/>
          </w:tcPr>
          <w:p w:rsidR="009B5707" w:rsidRPr="003F5A77" w:rsidRDefault="000905BC"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26%</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2017</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333</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106</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2070</w:t>
            </w:r>
          </w:p>
        </w:tc>
        <w:tc>
          <w:tcPr>
            <w:tcW w:w="2410" w:type="dxa"/>
            <w:tcBorders>
              <w:top w:val="none" w:sz="0" w:space="0" w:color="auto"/>
              <w:bottom w:val="none" w:sz="0" w:space="0" w:color="auto"/>
            </w:tcBorders>
            <w:shd w:val="clear" w:color="auto" w:fill="B8CCE4" w:themeFill="accent1" w:themeFillTint="66"/>
          </w:tcPr>
          <w:p w:rsidR="009B5707" w:rsidRPr="003F5A77" w:rsidRDefault="000905BC"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21%</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9640" w:type="dxa"/>
            <w:gridSpan w:val="5"/>
            <w:tcBorders>
              <w:right w:val="none" w:sz="0" w:space="0" w:color="auto"/>
            </w:tcBorders>
            <w:shd w:val="clear" w:color="auto" w:fill="B8CCE4" w:themeFill="accent1" w:themeFillTint="66"/>
          </w:tcPr>
          <w:p w:rsidR="009B5707" w:rsidRPr="003F5A77" w:rsidRDefault="009B5707" w:rsidP="00F219A4">
            <w:pPr>
              <w:ind w:left="27"/>
              <w:jc w:val="center"/>
              <w:rPr>
                <w:rFonts w:asciiTheme="minorHAnsi" w:hAnsiTheme="minorHAnsi" w:cs="Arial"/>
                <w:b w:val="0"/>
                <w:sz w:val="22"/>
                <w:szCs w:val="22"/>
              </w:rPr>
            </w:pPr>
            <w:r w:rsidRPr="003F5A77">
              <w:rPr>
                <w:rFonts w:asciiTheme="minorHAnsi" w:hAnsiTheme="minorHAnsi" w:cs="Arial"/>
                <w:color w:val="000000" w:themeColor="text1"/>
                <w:sz w:val="22"/>
                <w:szCs w:val="22"/>
              </w:rPr>
              <w:t>Maroondah</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2010</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1042</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300</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1520</w:t>
            </w:r>
          </w:p>
        </w:tc>
        <w:tc>
          <w:tcPr>
            <w:tcW w:w="2410" w:type="dxa"/>
            <w:tcBorders>
              <w:top w:val="none" w:sz="0" w:space="0" w:color="auto"/>
              <w:bottom w:val="none" w:sz="0" w:space="0" w:color="auto"/>
            </w:tcBorders>
            <w:shd w:val="clear" w:color="auto" w:fill="B8CCE4" w:themeFill="accent1" w:themeFillTint="66"/>
          </w:tcPr>
          <w:p w:rsidR="009B5707" w:rsidRPr="003F5A77" w:rsidRDefault="000905BC"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88%</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2038" w:type="dxa"/>
            <w:tcBorders>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2014</w:t>
            </w:r>
          </w:p>
        </w:tc>
        <w:tc>
          <w:tcPr>
            <w:tcW w:w="1648" w:type="dxa"/>
          </w:tcPr>
          <w:p w:rsidR="009B5707" w:rsidRPr="003F5A77" w:rsidRDefault="00420A63"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1325</w:t>
            </w:r>
          </w:p>
        </w:tc>
        <w:tc>
          <w:tcPr>
            <w:tcW w:w="1701" w:type="dxa"/>
          </w:tcPr>
          <w:p w:rsidR="009B5707" w:rsidRPr="003F5A77" w:rsidRDefault="00943AA0"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339</w:t>
            </w:r>
          </w:p>
        </w:tc>
        <w:tc>
          <w:tcPr>
            <w:tcW w:w="1843" w:type="dxa"/>
          </w:tcPr>
          <w:p w:rsidR="009B5707" w:rsidRPr="003F5A77" w:rsidRDefault="009A7D9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1790</w:t>
            </w:r>
          </w:p>
        </w:tc>
        <w:tc>
          <w:tcPr>
            <w:tcW w:w="2410" w:type="dxa"/>
            <w:shd w:val="clear" w:color="auto" w:fill="B8CCE4" w:themeFill="accent1" w:themeFillTint="66"/>
          </w:tcPr>
          <w:p w:rsidR="009B5707" w:rsidRPr="003F5A77" w:rsidRDefault="000905BC"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93%</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2017</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1347</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287</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1760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93%</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9640" w:type="dxa"/>
            <w:gridSpan w:val="5"/>
            <w:tcBorders>
              <w:right w:val="none" w:sz="0" w:space="0" w:color="auto"/>
            </w:tcBorders>
            <w:shd w:val="clear" w:color="auto" w:fill="B8CCE4" w:themeFill="accent1" w:themeFillTint="66"/>
          </w:tcPr>
          <w:p w:rsidR="009B5707" w:rsidRPr="003F5A77" w:rsidRDefault="009B5707" w:rsidP="00F219A4">
            <w:pPr>
              <w:ind w:left="27"/>
              <w:jc w:val="center"/>
              <w:rPr>
                <w:rFonts w:asciiTheme="minorHAnsi" w:hAnsiTheme="minorHAnsi" w:cs="Arial"/>
                <w:b w:val="0"/>
                <w:sz w:val="22"/>
                <w:szCs w:val="22"/>
              </w:rPr>
            </w:pPr>
            <w:r w:rsidRPr="003F5A77">
              <w:rPr>
                <w:rFonts w:asciiTheme="minorHAnsi" w:hAnsiTheme="minorHAnsi" w:cs="Arial"/>
                <w:color w:val="000000" w:themeColor="text1"/>
                <w:sz w:val="22"/>
                <w:szCs w:val="22"/>
              </w:rPr>
              <w:t>Monash</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2010</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1424</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520</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3290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59%</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2038" w:type="dxa"/>
            <w:tcBorders>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2014</w:t>
            </w:r>
          </w:p>
        </w:tc>
        <w:tc>
          <w:tcPr>
            <w:tcW w:w="1648" w:type="dxa"/>
          </w:tcPr>
          <w:p w:rsidR="009B5707" w:rsidRPr="003F5A77" w:rsidRDefault="00420A63"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1578</w:t>
            </w:r>
          </w:p>
        </w:tc>
        <w:tc>
          <w:tcPr>
            <w:tcW w:w="1701" w:type="dxa"/>
          </w:tcPr>
          <w:p w:rsidR="009B5707" w:rsidRPr="003F5A77" w:rsidRDefault="00943AA0"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441</w:t>
            </w:r>
          </w:p>
        </w:tc>
        <w:tc>
          <w:tcPr>
            <w:tcW w:w="1843" w:type="dxa"/>
          </w:tcPr>
          <w:p w:rsidR="009B5707" w:rsidRPr="003F5A77" w:rsidRDefault="009A7D9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4230</w:t>
            </w:r>
          </w:p>
        </w:tc>
        <w:tc>
          <w:tcPr>
            <w:tcW w:w="2410" w:type="dxa"/>
            <w:shd w:val="clear" w:color="auto" w:fill="B8CCE4" w:themeFill="accent1" w:themeFillTint="66"/>
          </w:tcPr>
          <w:p w:rsidR="009B5707" w:rsidRPr="003F5A77" w:rsidRDefault="007D61A5"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48%</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2017</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1808</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415</w:t>
            </w:r>
          </w:p>
        </w:tc>
        <w:tc>
          <w:tcPr>
            <w:tcW w:w="1843" w:type="dxa"/>
            <w:tcBorders>
              <w:top w:val="none" w:sz="0" w:space="0" w:color="auto"/>
              <w:bottom w:val="none" w:sz="0" w:space="0" w:color="auto"/>
            </w:tcBorders>
          </w:tcPr>
          <w:p w:rsidR="009B5707" w:rsidRPr="003F5A77" w:rsidRDefault="009A7D9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5040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44%</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9640" w:type="dxa"/>
            <w:gridSpan w:val="5"/>
            <w:tcBorders>
              <w:right w:val="none" w:sz="0" w:space="0" w:color="auto"/>
            </w:tcBorders>
            <w:shd w:val="clear" w:color="auto" w:fill="B8CCE4" w:themeFill="accent1" w:themeFillTint="66"/>
          </w:tcPr>
          <w:p w:rsidR="009B5707" w:rsidRPr="003F5A77" w:rsidRDefault="009B5707" w:rsidP="00F219A4">
            <w:pPr>
              <w:ind w:left="27"/>
              <w:jc w:val="center"/>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Whitehorse</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2010</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1469</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220</w:t>
            </w:r>
          </w:p>
        </w:tc>
        <w:tc>
          <w:tcPr>
            <w:tcW w:w="1843" w:type="dxa"/>
            <w:tcBorders>
              <w:top w:val="none" w:sz="0" w:space="0" w:color="auto"/>
              <w:bottom w:val="none" w:sz="0" w:space="0" w:color="auto"/>
            </w:tcBorders>
          </w:tcPr>
          <w:p w:rsidR="009B5707" w:rsidRPr="003F5A77" w:rsidRDefault="0074206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2660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63%</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2038" w:type="dxa"/>
            <w:tcBorders>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2014</w:t>
            </w:r>
          </w:p>
        </w:tc>
        <w:tc>
          <w:tcPr>
            <w:tcW w:w="1648" w:type="dxa"/>
          </w:tcPr>
          <w:p w:rsidR="009B5707" w:rsidRPr="003F5A77" w:rsidRDefault="00420A63"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1614</w:t>
            </w:r>
          </w:p>
        </w:tc>
        <w:tc>
          <w:tcPr>
            <w:tcW w:w="1701" w:type="dxa"/>
          </w:tcPr>
          <w:p w:rsidR="009B5707" w:rsidRPr="003F5A77" w:rsidRDefault="00943AA0"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289</w:t>
            </w:r>
          </w:p>
        </w:tc>
        <w:tc>
          <w:tcPr>
            <w:tcW w:w="1843" w:type="dxa"/>
          </w:tcPr>
          <w:p w:rsidR="009B5707" w:rsidRPr="003F5A77" w:rsidRDefault="00742060"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3690</w:t>
            </w:r>
          </w:p>
        </w:tc>
        <w:tc>
          <w:tcPr>
            <w:tcW w:w="2410" w:type="dxa"/>
            <w:shd w:val="clear" w:color="auto" w:fill="B8CCE4" w:themeFill="accent1" w:themeFillTint="66"/>
          </w:tcPr>
          <w:p w:rsidR="009B5707" w:rsidRPr="003F5A77" w:rsidRDefault="007D61A5"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51%</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2017</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1577</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311</w:t>
            </w:r>
          </w:p>
        </w:tc>
        <w:tc>
          <w:tcPr>
            <w:tcW w:w="1843" w:type="dxa"/>
            <w:tcBorders>
              <w:top w:val="none" w:sz="0" w:space="0" w:color="auto"/>
              <w:bottom w:val="none" w:sz="0" w:space="0" w:color="auto"/>
            </w:tcBorders>
          </w:tcPr>
          <w:p w:rsidR="009B5707" w:rsidRPr="003F5A77" w:rsidRDefault="0074206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4240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45%</w:t>
            </w:r>
          </w:p>
        </w:tc>
      </w:tr>
      <w:tr w:rsidR="009B5707" w:rsidRPr="003F5A77" w:rsidTr="00F219A4">
        <w:trPr>
          <w:trHeight w:val="185"/>
        </w:trPr>
        <w:tc>
          <w:tcPr>
            <w:cnfStyle w:val="001000000000" w:firstRow="0" w:lastRow="0" w:firstColumn="1" w:lastColumn="0" w:oddVBand="0" w:evenVBand="0" w:oddHBand="0" w:evenHBand="0" w:firstRowFirstColumn="0" w:firstRowLastColumn="0" w:lastRowFirstColumn="0" w:lastRowLastColumn="0"/>
            <w:tcW w:w="9640" w:type="dxa"/>
            <w:gridSpan w:val="5"/>
            <w:tcBorders>
              <w:right w:val="none" w:sz="0" w:space="0" w:color="auto"/>
            </w:tcBorders>
            <w:shd w:val="clear" w:color="auto" w:fill="B8CCE4" w:themeFill="accent1" w:themeFillTint="66"/>
          </w:tcPr>
          <w:p w:rsidR="009B5707" w:rsidRPr="003F5A77" w:rsidRDefault="009B5707" w:rsidP="00F219A4">
            <w:pPr>
              <w:ind w:left="27"/>
              <w:jc w:val="center"/>
              <w:rPr>
                <w:rFonts w:asciiTheme="minorHAnsi" w:hAnsiTheme="minorHAnsi" w:cs="Arial"/>
                <w:b w:val="0"/>
                <w:sz w:val="22"/>
                <w:szCs w:val="22"/>
              </w:rPr>
            </w:pPr>
            <w:r w:rsidRPr="003F5A77">
              <w:rPr>
                <w:rFonts w:asciiTheme="minorHAnsi" w:hAnsiTheme="minorHAnsi" w:cs="Arial"/>
                <w:color w:val="000000" w:themeColor="text1"/>
                <w:sz w:val="22"/>
                <w:szCs w:val="22"/>
              </w:rPr>
              <w:t>Yarra Ranges</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2010</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610</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710</w:t>
            </w:r>
          </w:p>
        </w:tc>
        <w:tc>
          <w:tcPr>
            <w:tcW w:w="1843" w:type="dxa"/>
            <w:tcBorders>
              <w:top w:val="none" w:sz="0" w:space="0" w:color="auto"/>
              <w:bottom w:val="none" w:sz="0" w:space="0" w:color="auto"/>
            </w:tcBorders>
          </w:tcPr>
          <w:p w:rsidR="009B5707" w:rsidRPr="003F5A77" w:rsidRDefault="00C9531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2040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65%</w:t>
            </w:r>
          </w:p>
        </w:tc>
      </w:tr>
      <w:tr w:rsidR="009B5707" w:rsidRPr="003F5A77" w:rsidTr="00F219A4">
        <w:trPr>
          <w:trHeight w:val="185"/>
        </w:trPr>
        <w:tc>
          <w:tcPr>
            <w:cnfStyle w:val="001000000000" w:firstRow="0" w:lastRow="0" w:firstColumn="1" w:lastColumn="0" w:oddVBand="0" w:evenVBand="0" w:oddHBand="0" w:evenHBand="0" w:firstRowFirstColumn="0" w:firstRowLastColumn="0" w:lastRowFirstColumn="0" w:lastRowLastColumn="0"/>
            <w:tcW w:w="2038" w:type="dxa"/>
            <w:tcBorders>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2014</w:t>
            </w:r>
          </w:p>
        </w:tc>
        <w:tc>
          <w:tcPr>
            <w:tcW w:w="1648" w:type="dxa"/>
          </w:tcPr>
          <w:p w:rsidR="009B5707" w:rsidRPr="003F5A77" w:rsidRDefault="00420A63"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745</w:t>
            </w:r>
          </w:p>
        </w:tc>
        <w:tc>
          <w:tcPr>
            <w:tcW w:w="1701" w:type="dxa"/>
          </w:tcPr>
          <w:p w:rsidR="009B5707" w:rsidRPr="003F5A77" w:rsidRDefault="00943AA0"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722</w:t>
            </w:r>
          </w:p>
        </w:tc>
        <w:tc>
          <w:tcPr>
            <w:tcW w:w="1843" w:type="dxa"/>
          </w:tcPr>
          <w:p w:rsidR="009B5707" w:rsidRPr="003F5A77" w:rsidRDefault="00C9531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2390</w:t>
            </w:r>
          </w:p>
        </w:tc>
        <w:tc>
          <w:tcPr>
            <w:tcW w:w="2410" w:type="dxa"/>
            <w:shd w:val="clear" w:color="auto" w:fill="B8CCE4" w:themeFill="accent1" w:themeFillTint="66"/>
          </w:tcPr>
          <w:p w:rsidR="009B5707" w:rsidRPr="003F5A77" w:rsidRDefault="007D61A5"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61%</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2017</w:t>
            </w:r>
          </w:p>
        </w:tc>
        <w:tc>
          <w:tcPr>
            <w:tcW w:w="1648" w:type="dxa"/>
            <w:tcBorders>
              <w:top w:val="none" w:sz="0" w:space="0" w:color="auto"/>
              <w:bottom w:val="none" w:sz="0" w:space="0" w:color="auto"/>
            </w:tcBorders>
          </w:tcPr>
          <w:p w:rsidR="009B5707" w:rsidRPr="003F5A77" w:rsidRDefault="00420A63"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762</w:t>
            </w:r>
          </w:p>
        </w:tc>
        <w:tc>
          <w:tcPr>
            <w:tcW w:w="1701" w:type="dxa"/>
            <w:tcBorders>
              <w:top w:val="none" w:sz="0" w:space="0" w:color="auto"/>
              <w:bottom w:val="none" w:sz="0" w:space="0" w:color="auto"/>
            </w:tcBorders>
          </w:tcPr>
          <w:p w:rsidR="009B5707" w:rsidRPr="003F5A77" w:rsidRDefault="00943AA0"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545</w:t>
            </w:r>
          </w:p>
        </w:tc>
        <w:tc>
          <w:tcPr>
            <w:tcW w:w="1843" w:type="dxa"/>
            <w:tcBorders>
              <w:top w:val="none" w:sz="0" w:space="0" w:color="auto"/>
              <w:bottom w:val="none" w:sz="0" w:space="0" w:color="auto"/>
            </w:tcBorders>
          </w:tcPr>
          <w:p w:rsidR="009B5707" w:rsidRPr="003F5A77" w:rsidRDefault="00C9531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1960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67%</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9640" w:type="dxa"/>
            <w:gridSpan w:val="5"/>
            <w:tcBorders>
              <w:right w:val="none" w:sz="0" w:space="0" w:color="auto"/>
            </w:tcBorders>
            <w:shd w:val="clear" w:color="auto" w:fill="B8CCE4" w:themeFill="accent1" w:themeFillTint="66"/>
          </w:tcPr>
          <w:p w:rsidR="009B5707" w:rsidRPr="00F219A4" w:rsidRDefault="009B5707" w:rsidP="00F219A4">
            <w:pPr>
              <w:ind w:left="27"/>
              <w:jc w:val="center"/>
              <w:rPr>
                <w:rFonts w:asciiTheme="minorHAnsi" w:hAnsiTheme="minorHAnsi" w:cs="Arial"/>
                <w:sz w:val="22"/>
                <w:szCs w:val="22"/>
              </w:rPr>
            </w:pPr>
            <w:r w:rsidRPr="00F219A4">
              <w:rPr>
                <w:rFonts w:asciiTheme="minorHAnsi" w:hAnsiTheme="minorHAnsi" w:cs="Arial"/>
                <w:color w:val="000000" w:themeColor="text1"/>
                <w:sz w:val="22"/>
                <w:szCs w:val="22"/>
              </w:rPr>
              <w:t>EAH TOTAL</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2010</w:t>
            </w:r>
          </w:p>
        </w:tc>
        <w:tc>
          <w:tcPr>
            <w:tcW w:w="1648" w:type="dxa"/>
            <w:tcBorders>
              <w:top w:val="none" w:sz="0" w:space="0" w:color="auto"/>
              <w:bottom w:val="none" w:sz="0" w:space="0" w:color="auto"/>
            </w:tcBorders>
          </w:tcPr>
          <w:p w:rsidR="009B5707" w:rsidRPr="003F5A77" w:rsidRDefault="00D23CF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5996</w:t>
            </w:r>
          </w:p>
        </w:tc>
        <w:tc>
          <w:tcPr>
            <w:tcW w:w="1701" w:type="dxa"/>
            <w:tcBorders>
              <w:top w:val="none" w:sz="0" w:space="0" w:color="auto"/>
              <w:bottom w:val="none" w:sz="0" w:space="0" w:color="auto"/>
            </w:tcBorders>
          </w:tcPr>
          <w:p w:rsidR="009B5707" w:rsidRPr="003F5A77" w:rsidRDefault="00A97371"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2220</w:t>
            </w:r>
          </w:p>
        </w:tc>
        <w:tc>
          <w:tcPr>
            <w:tcW w:w="1843" w:type="dxa"/>
            <w:tcBorders>
              <w:top w:val="none" w:sz="0" w:space="0" w:color="auto"/>
              <w:bottom w:val="none" w:sz="0" w:space="0" w:color="auto"/>
            </w:tcBorders>
          </w:tcPr>
          <w:p w:rsidR="009B5707" w:rsidRPr="003F5A77" w:rsidRDefault="00C9531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12,600</w:t>
            </w:r>
          </w:p>
        </w:tc>
        <w:tc>
          <w:tcPr>
            <w:tcW w:w="2410" w:type="dxa"/>
            <w:tcBorders>
              <w:top w:val="none" w:sz="0" w:space="0" w:color="auto"/>
              <w:bottom w:val="none" w:sz="0" w:space="0" w:color="auto"/>
            </w:tcBorders>
            <w:shd w:val="clear" w:color="auto" w:fill="B8CCE4" w:themeFill="accent1" w:themeFillTint="66"/>
          </w:tcPr>
          <w:p w:rsidR="009B5707" w:rsidRPr="003F5A77" w:rsidRDefault="007D61A5"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65%</w:t>
            </w:r>
          </w:p>
        </w:tc>
      </w:tr>
      <w:tr w:rsidR="009B5707" w:rsidRPr="003F5A77" w:rsidTr="00F219A4">
        <w:trPr>
          <w:trHeight w:val="105"/>
        </w:trPr>
        <w:tc>
          <w:tcPr>
            <w:cnfStyle w:val="001000000000" w:firstRow="0" w:lastRow="0" w:firstColumn="1" w:lastColumn="0" w:oddVBand="0" w:evenVBand="0" w:oddHBand="0" w:evenHBand="0" w:firstRowFirstColumn="0" w:firstRowLastColumn="0" w:lastRowFirstColumn="0" w:lastRowLastColumn="0"/>
            <w:tcW w:w="2038" w:type="dxa"/>
            <w:tcBorders>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2014</w:t>
            </w:r>
          </w:p>
        </w:tc>
        <w:tc>
          <w:tcPr>
            <w:tcW w:w="1648" w:type="dxa"/>
          </w:tcPr>
          <w:p w:rsidR="009B5707" w:rsidRPr="003F5A77" w:rsidRDefault="00D23CF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7050</w:t>
            </w:r>
          </w:p>
        </w:tc>
        <w:tc>
          <w:tcPr>
            <w:tcW w:w="1701" w:type="dxa"/>
          </w:tcPr>
          <w:p w:rsidR="009B5707" w:rsidRPr="003F5A77" w:rsidRDefault="00A97371"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2367</w:t>
            </w:r>
          </w:p>
        </w:tc>
        <w:tc>
          <w:tcPr>
            <w:tcW w:w="1843" w:type="dxa"/>
          </w:tcPr>
          <w:p w:rsidR="009B5707" w:rsidRPr="003F5A77" w:rsidRDefault="00C9531A"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16,080</w:t>
            </w:r>
          </w:p>
        </w:tc>
        <w:tc>
          <w:tcPr>
            <w:tcW w:w="2410" w:type="dxa"/>
            <w:shd w:val="clear" w:color="auto" w:fill="B8CCE4" w:themeFill="accent1" w:themeFillTint="66"/>
          </w:tcPr>
          <w:p w:rsidR="009B5707" w:rsidRPr="003F5A77" w:rsidRDefault="009B71E4" w:rsidP="00F219A4">
            <w:pPr>
              <w:ind w:left="2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59%</w:t>
            </w:r>
          </w:p>
        </w:tc>
      </w:tr>
      <w:tr w:rsidR="009B5707" w:rsidRPr="003F5A77" w:rsidTr="00F219A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bottom w:val="none" w:sz="0" w:space="0" w:color="auto"/>
              <w:right w:val="none" w:sz="0" w:space="0" w:color="auto"/>
            </w:tcBorders>
          </w:tcPr>
          <w:p w:rsidR="009B5707" w:rsidRPr="003F5A77" w:rsidRDefault="009B5707" w:rsidP="00F219A4">
            <w:pPr>
              <w:ind w:left="27"/>
              <w:jc w:val="center"/>
              <w:rPr>
                <w:rFonts w:asciiTheme="minorHAnsi" w:hAnsiTheme="minorHAnsi" w:cs="Arial"/>
                <w:sz w:val="22"/>
                <w:szCs w:val="22"/>
              </w:rPr>
            </w:pPr>
            <w:r w:rsidRPr="003F5A77">
              <w:rPr>
                <w:rFonts w:asciiTheme="minorHAnsi" w:hAnsiTheme="minorHAnsi" w:cs="Arial"/>
                <w:sz w:val="22"/>
                <w:szCs w:val="22"/>
              </w:rPr>
              <w:t>2017</w:t>
            </w:r>
          </w:p>
        </w:tc>
        <w:tc>
          <w:tcPr>
            <w:tcW w:w="1648" w:type="dxa"/>
            <w:tcBorders>
              <w:top w:val="none" w:sz="0" w:space="0" w:color="auto"/>
              <w:bottom w:val="none" w:sz="0" w:space="0" w:color="auto"/>
            </w:tcBorders>
          </w:tcPr>
          <w:p w:rsidR="009B5707" w:rsidRPr="003F5A77" w:rsidRDefault="00D23CF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7272</w:t>
            </w:r>
          </w:p>
        </w:tc>
        <w:tc>
          <w:tcPr>
            <w:tcW w:w="1701" w:type="dxa"/>
            <w:tcBorders>
              <w:top w:val="none" w:sz="0" w:space="0" w:color="auto"/>
              <w:bottom w:val="none" w:sz="0" w:space="0" w:color="auto"/>
            </w:tcBorders>
          </w:tcPr>
          <w:p w:rsidR="009B5707" w:rsidRPr="003F5A77" w:rsidRDefault="00A97371"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2037</w:t>
            </w:r>
          </w:p>
        </w:tc>
        <w:tc>
          <w:tcPr>
            <w:tcW w:w="1843" w:type="dxa"/>
            <w:tcBorders>
              <w:top w:val="none" w:sz="0" w:space="0" w:color="auto"/>
              <w:bottom w:val="none" w:sz="0" w:space="0" w:color="auto"/>
            </w:tcBorders>
          </w:tcPr>
          <w:p w:rsidR="009B5707" w:rsidRPr="003F5A77" w:rsidRDefault="00C9531A"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17,270</w:t>
            </w:r>
          </w:p>
        </w:tc>
        <w:tc>
          <w:tcPr>
            <w:tcW w:w="2410" w:type="dxa"/>
            <w:tcBorders>
              <w:top w:val="none" w:sz="0" w:space="0" w:color="auto"/>
              <w:bottom w:val="none" w:sz="0" w:space="0" w:color="auto"/>
            </w:tcBorders>
            <w:shd w:val="clear" w:color="auto" w:fill="B8CCE4" w:themeFill="accent1" w:themeFillTint="66"/>
          </w:tcPr>
          <w:p w:rsidR="009B5707" w:rsidRPr="003F5A77" w:rsidRDefault="009B71E4" w:rsidP="00F219A4">
            <w:pPr>
              <w:ind w:left="2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F5A77">
              <w:rPr>
                <w:rFonts w:asciiTheme="minorHAnsi" w:hAnsiTheme="minorHAnsi" w:cs="Arial"/>
                <w:b/>
                <w:sz w:val="22"/>
                <w:szCs w:val="22"/>
              </w:rPr>
              <w:t>54%</w:t>
            </w:r>
          </w:p>
        </w:tc>
      </w:tr>
    </w:tbl>
    <w:p w:rsidR="000A2BA4" w:rsidRPr="003F5A77" w:rsidRDefault="000A2BA4" w:rsidP="000044F0">
      <w:pPr>
        <w:ind w:left="-851" w:hanging="1440"/>
        <w:rPr>
          <w:rFonts w:asciiTheme="minorHAnsi" w:hAnsiTheme="minorHAnsi" w:cs="Arial"/>
          <w:b/>
          <w:sz w:val="22"/>
          <w:szCs w:val="22"/>
        </w:rPr>
      </w:pPr>
    </w:p>
    <w:p w:rsidR="00F219A4" w:rsidRDefault="00F219A4">
      <w:pPr>
        <w:rPr>
          <w:rFonts w:asciiTheme="minorHAnsi" w:hAnsiTheme="minorHAnsi" w:cs="Arial"/>
          <w:b/>
          <w:sz w:val="22"/>
          <w:szCs w:val="22"/>
        </w:rPr>
      </w:pPr>
      <w:r>
        <w:rPr>
          <w:rFonts w:asciiTheme="minorHAnsi" w:hAnsiTheme="minorHAnsi" w:cs="Arial"/>
          <w:b/>
          <w:sz w:val="22"/>
          <w:szCs w:val="22"/>
        </w:rPr>
        <w:br w:type="page"/>
      </w:r>
    </w:p>
    <w:p w:rsidR="00F9768E" w:rsidRPr="003F5A77" w:rsidRDefault="00B54354" w:rsidP="00F219A4">
      <w:pPr>
        <w:ind w:left="-709"/>
        <w:rPr>
          <w:rFonts w:asciiTheme="minorHAnsi" w:hAnsiTheme="minorHAnsi" w:cs="Arial"/>
          <w:b/>
          <w:sz w:val="22"/>
          <w:szCs w:val="22"/>
        </w:rPr>
      </w:pPr>
      <w:r w:rsidRPr="003F5A77">
        <w:rPr>
          <w:rFonts w:asciiTheme="minorHAnsi" w:hAnsiTheme="minorHAnsi" w:cs="Arial"/>
          <w:b/>
          <w:sz w:val="22"/>
          <w:szCs w:val="22"/>
        </w:rPr>
        <w:lastRenderedPageBreak/>
        <w:t>Figure 4.1</w:t>
      </w:r>
      <w:r w:rsidR="00F9768E" w:rsidRPr="003F5A77">
        <w:rPr>
          <w:rFonts w:asciiTheme="minorHAnsi" w:hAnsiTheme="minorHAnsi" w:cs="Arial"/>
          <w:b/>
          <w:sz w:val="22"/>
          <w:szCs w:val="22"/>
        </w:rPr>
        <w:tab/>
        <w:t>Change in capacity to meet low cost housing needs, 2010-2017</w:t>
      </w:r>
      <w:r w:rsidR="00F9768E" w:rsidRPr="003F5A77">
        <w:rPr>
          <w:rFonts w:asciiTheme="minorHAnsi" w:hAnsiTheme="minorHAnsi" w:cs="Arial"/>
          <w:b/>
          <w:sz w:val="22"/>
          <w:szCs w:val="22"/>
        </w:rPr>
        <w:tab/>
        <w:t xml:space="preserve"> </w:t>
      </w:r>
    </w:p>
    <w:p w:rsidR="00F9768E" w:rsidRPr="003F5A77" w:rsidRDefault="00F9768E" w:rsidP="000044F0">
      <w:pPr>
        <w:ind w:left="-851"/>
        <w:rPr>
          <w:rFonts w:asciiTheme="minorHAnsi" w:hAnsiTheme="minorHAnsi" w:cs="Arial"/>
          <w:b/>
          <w:sz w:val="22"/>
          <w:szCs w:val="22"/>
        </w:rPr>
      </w:pPr>
    </w:p>
    <w:p w:rsidR="00F9768E" w:rsidRPr="003F5A77" w:rsidRDefault="00F9768E" w:rsidP="00F219A4">
      <w:pPr>
        <w:ind w:left="-851"/>
        <w:jc w:val="center"/>
        <w:rPr>
          <w:rFonts w:asciiTheme="minorHAnsi" w:hAnsiTheme="minorHAnsi" w:cs="Arial"/>
          <w:b/>
          <w:sz w:val="22"/>
          <w:szCs w:val="22"/>
        </w:rPr>
      </w:pPr>
      <w:r w:rsidRPr="003F5A77">
        <w:rPr>
          <w:rFonts w:asciiTheme="minorHAnsi" w:hAnsiTheme="minorHAnsi"/>
          <w:noProof/>
          <w:sz w:val="22"/>
          <w:szCs w:val="22"/>
        </w:rPr>
        <w:drawing>
          <wp:inline distT="0" distB="0" distL="0" distR="0">
            <wp:extent cx="4591050" cy="2604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757" cy="2611879"/>
                    </a:xfrm>
                    <a:prstGeom prst="rect">
                      <a:avLst/>
                    </a:prstGeom>
                    <a:noFill/>
                    <a:ln>
                      <a:noFill/>
                    </a:ln>
                  </pic:spPr>
                </pic:pic>
              </a:graphicData>
            </a:graphic>
          </wp:inline>
        </w:drawing>
      </w:r>
    </w:p>
    <w:p w:rsidR="00F9768E" w:rsidRPr="003F5A77" w:rsidRDefault="00F9768E" w:rsidP="000044F0">
      <w:pPr>
        <w:ind w:left="-851"/>
        <w:rPr>
          <w:rFonts w:asciiTheme="minorHAnsi" w:hAnsiTheme="minorHAnsi" w:cs="Arial"/>
          <w:i/>
          <w:color w:val="FF0000"/>
          <w:sz w:val="22"/>
          <w:szCs w:val="22"/>
        </w:rPr>
      </w:pPr>
    </w:p>
    <w:p w:rsidR="00F9768E" w:rsidRPr="003F5A77" w:rsidRDefault="00F9768E" w:rsidP="000044F0">
      <w:pPr>
        <w:ind w:left="-851"/>
        <w:rPr>
          <w:rFonts w:asciiTheme="minorHAnsi" w:hAnsiTheme="minorHAnsi" w:cs="Arial"/>
          <w:b/>
          <w:sz w:val="22"/>
          <w:szCs w:val="22"/>
        </w:rPr>
      </w:pPr>
    </w:p>
    <w:p w:rsidR="00F9768E" w:rsidRPr="003F5A77" w:rsidRDefault="00F9768E" w:rsidP="000044F0">
      <w:pPr>
        <w:ind w:left="-851"/>
        <w:rPr>
          <w:rFonts w:asciiTheme="minorHAnsi" w:hAnsiTheme="minorHAnsi" w:cs="Arial"/>
          <w:b/>
          <w:sz w:val="22"/>
          <w:szCs w:val="22"/>
        </w:rPr>
      </w:pPr>
    </w:p>
    <w:p w:rsidR="007746DF" w:rsidRPr="008C72E1" w:rsidRDefault="00155FC9" w:rsidP="008C72E1">
      <w:pPr>
        <w:pStyle w:val="ListParagraph"/>
        <w:numPr>
          <w:ilvl w:val="0"/>
          <w:numId w:val="12"/>
        </w:numPr>
        <w:spacing w:after="120"/>
        <w:ind w:left="-284" w:hanging="425"/>
        <w:contextualSpacing w:val="0"/>
        <w:rPr>
          <w:rFonts w:asciiTheme="minorHAnsi" w:hAnsiTheme="minorHAnsi" w:cs="Arial"/>
          <w:sz w:val="22"/>
          <w:szCs w:val="22"/>
        </w:rPr>
      </w:pPr>
      <w:r w:rsidRPr="008C72E1">
        <w:rPr>
          <w:rFonts w:asciiTheme="minorHAnsi" w:hAnsiTheme="minorHAnsi" w:cs="Arial"/>
          <w:sz w:val="22"/>
          <w:szCs w:val="22"/>
        </w:rPr>
        <w:t xml:space="preserve">Capacity, in the main, has contracted, </w:t>
      </w:r>
      <w:proofErr w:type="gramStart"/>
      <w:r w:rsidRPr="008C72E1">
        <w:rPr>
          <w:rFonts w:asciiTheme="minorHAnsi" w:hAnsiTheme="minorHAnsi" w:cs="Arial"/>
          <w:sz w:val="22"/>
          <w:szCs w:val="22"/>
        </w:rPr>
        <w:t>with the exception of</w:t>
      </w:r>
      <w:proofErr w:type="gramEnd"/>
      <w:r w:rsidRPr="008C72E1">
        <w:rPr>
          <w:rFonts w:asciiTheme="minorHAnsi" w:hAnsiTheme="minorHAnsi" w:cs="Arial"/>
          <w:sz w:val="22"/>
          <w:szCs w:val="22"/>
        </w:rPr>
        <w:t xml:space="preserve"> Maroondah, where low-cost housing options have remained </w:t>
      </w:r>
      <w:r w:rsidR="007746DF" w:rsidRPr="008C72E1">
        <w:rPr>
          <w:rFonts w:asciiTheme="minorHAnsi" w:hAnsiTheme="minorHAnsi" w:cs="Arial"/>
          <w:sz w:val="22"/>
          <w:szCs w:val="22"/>
        </w:rPr>
        <w:t xml:space="preserve">stable, </w:t>
      </w:r>
      <w:r w:rsidR="005916AD" w:rsidRPr="008C72E1">
        <w:rPr>
          <w:rFonts w:asciiTheme="minorHAnsi" w:hAnsiTheme="minorHAnsi" w:cs="Arial"/>
          <w:sz w:val="22"/>
          <w:szCs w:val="22"/>
        </w:rPr>
        <w:t xml:space="preserve">and </w:t>
      </w:r>
      <w:r w:rsidR="007746DF" w:rsidRPr="008C72E1">
        <w:rPr>
          <w:rFonts w:asciiTheme="minorHAnsi" w:hAnsiTheme="minorHAnsi" w:cs="Arial"/>
          <w:sz w:val="22"/>
          <w:szCs w:val="22"/>
        </w:rPr>
        <w:t>able to meet 93% of local needs.</w:t>
      </w:r>
    </w:p>
    <w:p w:rsidR="00F8514B" w:rsidRPr="003F5A77" w:rsidRDefault="008C72E1" w:rsidP="008C72E1">
      <w:pPr>
        <w:pStyle w:val="ListParagraph"/>
        <w:spacing w:after="120"/>
        <w:ind w:left="-284" w:hanging="425"/>
        <w:contextualSpacing w:val="0"/>
        <w:rPr>
          <w:rFonts w:asciiTheme="minorHAnsi" w:hAnsiTheme="minorHAnsi" w:cs="Arial"/>
          <w:sz w:val="22"/>
          <w:szCs w:val="22"/>
        </w:rPr>
      </w:pPr>
      <w:r>
        <w:rPr>
          <w:rFonts w:asciiTheme="minorHAnsi" w:hAnsiTheme="minorHAnsi" w:cs="Arial"/>
          <w:sz w:val="22"/>
          <w:szCs w:val="22"/>
        </w:rPr>
        <w:tab/>
      </w:r>
      <w:r w:rsidR="007746DF" w:rsidRPr="003F5A77">
        <w:rPr>
          <w:rFonts w:asciiTheme="minorHAnsi" w:hAnsiTheme="minorHAnsi" w:cs="Arial"/>
          <w:sz w:val="22"/>
          <w:szCs w:val="22"/>
        </w:rPr>
        <w:t>The only LGA to experience</w:t>
      </w:r>
      <w:r w:rsidR="00155FC9" w:rsidRPr="003F5A77">
        <w:rPr>
          <w:rFonts w:asciiTheme="minorHAnsi" w:hAnsiTheme="minorHAnsi" w:cs="Arial"/>
          <w:sz w:val="22"/>
          <w:szCs w:val="22"/>
        </w:rPr>
        <w:t xml:space="preserve"> an </w:t>
      </w:r>
      <w:r w:rsidR="00155FC9" w:rsidRPr="003F5A77">
        <w:rPr>
          <w:rFonts w:asciiTheme="minorHAnsi" w:hAnsiTheme="minorHAnsi" w:cs="Arial"/>
          <w:i/>
          <w:sz w:val="22"/>
          <w:szCs w:val="22"/>
        </w:rPr>
        <w:t>increase</w:t>
      </w:r>
      <w:r w:rsidR="00155FC9" w:rsidRPr="003F5A77">
        <w:rPr>
          <w:rFonts w:asciiTheme="minorHAnsi" w:hAnsiTheme="minorHAnsi" w:cs="Arial"/>
          <w:sz w:val="22"/>
          <w:szCs w:val="22"/>
        </w:rPr>
        <w:t xml:space="preserve"> in capacity</w:t>
      </w:r>
      <w:r w:rsidR="007746DF" w:rsidRPr="003F5A77">
        <w:rPr>
          <w:rFonts w:asciiTheme="minorHAnsi" w:hAnsiTheme="minorHAnsi" w:cs="Arial"/>
          <w:sz w:val="22"/>
          <w:szCs w:val="22"/>
        </w:rPr>
        <w:t xml:space="preserve"> to meet low-cost housing need is the Yarra Ranges where there has been a shift in ability to meet</w:t>
      </w:r>
      <w:r w:rsidR="00156FFB" w:rsidRPr="003F5A77">
        <w:rPr>
          <w:rFonts w:asciiTheme="minorHAnsi" w:hAnsiTheme="minorHAnsi" w:cs="Arial"/>
          <w:sz w:val="22"/>
          <w:szCs w:val="22"/>
        </w:rPr>
        <w:t xml:space="preserve"> local needs from 61%</w:t>
      </w:r>
      <w:r w:rsidR="007746DF" w:rsidRPr="003F5A77">
        <w:rPr>
          <w:rFonts w:asciiTheme="minorHAnsi" w:hAnsiTheme="minorHAnsi" w:cs="Arial"/>
          <w:sz w:val="22"/>
          <w:szCs w:val="22"/>
        </w:rPr>
        <w:t xml:space="preserve"> to 67%. This is</w:t>
      </w:r>
      <w:r w:rsidR="00155FC9" w:rsidRPr="003F5A77">
        <w:rPr>
          <w:rFonts w:asciiTheme="minorHAnsi" w:hAnsiTheme="minorHAnsi" w:cs="Arial"/>
          <w:sz w:val="22"/>
          <w:szCs w:val="22"/>
        </w:rPr>
        <w:t xml:space="preserve"> due</w:t>
      </w:r>
      <w:r w:rsidR="007746DF" w:rsidRPr="003F5A77">
        <w:rPr>
          <w:rFonts w:asciiTheme="minorHAnsi" w:hAnsiTheme="minorHAnsi" w:cs="Arial"/>
          <w:sz w:val="22"/>
          <w:szCs w:val="22"/>
        </w:rPr>
        <w:t xml:space="preserve"> mainly </w:t>
      </w:r>
      <w:r w:rsidR="00155FC9" w:rsidRPr="003F5A77">
        <w:rPr>
          <w:rFonts w:asciiTheme="minorHAnsi" w:hAnsiTheme="minorHAnsi" w:cs="Arial"/>
          <w:sz w:val="22"/>
          <w:szCs w:val="22"/>
        </w:rPr>
        <w:t xml:space="preserve">to </w:t>
      </w:r>
      <w:r w:rsidR="007746DF" w:rsidRPr="003F5A77">
        <w:rPr>
          <w:rFonts w:asciiTheme="minorHAnsi" w:hAnsiTheme="minorHAnsi" w:cs="Arial"/>
          <w:sz w:val="22"/>
          <w:szCs w:val="22"/>
        </w:rPr>
        <w:t xml:space="preserve">a significant </w:t>
      </w:r>
      <w:r w:rsidR="00A464B2" w:rsidRPr="003F5A77">
        <w:rPr>
          <w:rFonts w:asciiTheme="minorHAnsi" w:hAnsiTheme="minorHAnsi" w:cs="Arial"/>
          <w:i/>
          <w:sz w:val="22"/>
          <w:szCs w:val="22"/>
        </w:rPr>
        <w:t>reduction</w:t>
      </w:r>
      <w:r w:rsidR="00A464B2" w:rsidRPr="003F5A77">
        <w:rPr>
          <w:rFonts w:asciiTheme="minorHAnsi" w:hAnsiTheme="minorHAnsi" w:cs="Arial"/>
          <w:sz w:val="22"/>
          <w:szCs w:val="22"/>
        </w:rPr>
        <w:t xml:space="preserve"> </w:t>
      </w:r>
      <w:r w:rsidR="00111DD1" w:rsidRPr="003F5A77">
        <w:rPr>
          <w:rFonts w:asciiTheme="minorHAnsi" w:hAnsiTheme="minorHAnsi" w:cs="Arial"/>
          <w:sz w:val="22"/>
          <w:szCs w:val="22"/>
        </w:rPr>
        <w:t>in the number of households in</w:t>
      </w:r>
      <w:r w:rsidR="007746DF" w:rsidRPr="003F5A77">
        <w:rPr>
          <w:rFonts w:asciiTheme="minorHAnsi" w:hAnsiTheme="minorHAnsi" w:cs="Arial"/>
          <w:sz w:val="22"/>
          <w:szCs w:val="22"/>
        </w:rPr>
        <w:t xml:space="preserve"> the ‘target’ market </w:t>
      </w:r>
      <w:r w:rsidR="00A464B2" w:rsidRPr="003F5A77">
        <w:rPr>
          <w:rFonts w:asciiTheme="minorHAnsi" w:hAnsiTheme="minorHAnsi" w:cs="Arial"/>
          <w:sz w:val="22"/>
          <w:szCs w:val="22"/>
        </w:rPr>
        <w:t>in need of low cost housing</w:t>
      </w:r>
      <w:r w:rsidR="007746DF" w:rsidRPr="003F5A77">
        <w:rPr>
          <w:rFonts w:asciiTheme="minorHAnsi" w:hAnsiTheme="minorHAnsi" w:cs="Arial"/>
          <w:sz w:val="22"/>
          <w:szCs w:val="22"/>
        </w:rPr>
        <w:t>- which is</w:t>
      </w:r>
      <w:r w:rsidR="00A464B2" w:rsidRPr="003F5A77">
        <w:rPr>
          <w:rFonts w:asciiTheme="minorHAnsi" w:hAnsiTheme="minorHAnsi" w:cs="Arial"/>
          <w:sz w:val="22"/>
          <w:szCs w:val="22"/>
        </w:rPr>
        <w:t xml:space="preserve"> higher </w:t>
      </w:r>
      <w:r w:rsidR="005916AD" w:rsidRPr="003F5A77">
        <w:rPr>
          <w:rFonts w:asciiTheme="minorHAnsi" w:hAnsiTheme="minorHAnsi" w:cs="Arial"/>
          <w:sz w:val="22"/>
          <w:szCs w:val="22"/>
        </w:rPr>
        <w:t>than the loss of</w:t>
      </w:r>
      <w:r w:rsidR="00A464B2" w:rsidRPr="003F5A77">
        <w:rPr>
          <w:rFonts w:asciiTheme="minorHAnsi" w:hAnsiTheme="minorHAnsi" w:cs="Arial"/>
          <w:sz w:val="22"/>
          <w:szCs w:val="22"/>
        </w:rPr>
        <w:t xml:space="preserve"> low-cost housing stock (430 fewer households in need</w:t>
      </w:r>
      <w:r w:rsidR="00111DD1" w:rsidRPr="003F5A77">
        <w:rPr>
          <w:rFonts w:asciiTheme="minorHAnsi" w:hAnsiTheme="minorHAnsi" w:cs="Arial"/>
          <w:sz w:val="22"/>
          <w:szCs w:val="22"/>
        </w:rPr>
        <w:t xml:space="preserve">, compared </w:t>
      </w:r>
      <w:proofErr w:type="gramStart"/>
      <w:r w:rsidR="00111DD1" w:rsidRPr="003F5A77">
        <w:rPr>
          <w:rFonts w:asciiTheme="minorHAnsi" w:hAnsiTheme="minorHAnsi" w:cs="Arial"/>
          <w:sz w:val="22"/>
          <w:szCs w:val="22"/>
        </w:rPr>
        <w:t xml:space="preserve">to </w:t>
      </w:r>
      <w:r w:rsidR="00A464B2" w:rsidRPr="003F5A77">
        <w:rPr>
          <w:rFonts w:asciiTheme="minorHAnsi" w:hAnsiTheme="minorHAnsi" w:cs="Arial"/>
          <w:sz w:val="22"/>
          <w:szCs w:val="22"/>
        </w:rPr>
        <w:t xml:space="preserve"> 177</w:t>
      </w:r>
      <w:proofErr w:type="gramEnd"/>
      <w:r w:rsidR="00A464B2" w:rsidRPr="003F5A77">
        <w:rPr>
          <w:rFonts w:asciiTheme="minorHAnsi" w:hAnsiTheme="minorHAnsi" w:cs="Arial"/>
          <w:sz w:val="22"/>
          <w:szCs w:val="22"/>
        </w:rPr>
        <w:t xml:space="preserve"> fewer affordable private rentals). Are housing affordability pressures (as evidenced by fewer affordable rentals) forcing low-income households </w:t>
      </w:r>
      <w:r w:rsidR="00FF722E" w:rsidRPr="003F5A77">
        <w:rPr>
          <w:rFonts w:asciiTheme="minorHAnsi" w:hAnsiTheme="minorHAnsi" w:cs="Arial"/>
          <w:sz w:val="22"/>
          <w:szCs w:val="22"/>
        </w:rPr>
        <w:t>to avoid Yarra Ranges</w:t>
      </w:r>
      <w:r w:rsidR="005916AD" w:rsidRPr="003F5A77">
        <w:rPr>
          <w:rFonts w:asciiTheme="minorHAnsi" w:hAnsiTheme="minorHAnsi" w:cs="Arial"/>
          <w:sz w:val="22"/>
          <w:szCs w:val="22"/>
        </w:rPr>
        <w:t>, a traditionally more affordable location</w:t>
      </w:r>
      <w:r w:rsidR="00156FFB" w:rsidRPr="003F5A77">
        <w:rPr>
          <w:rFonts w:asciiTheme="minorHAnsi" w:hAnsiTheme="minorHAnsi" w:cs="Arial"/>
          <w:sz w:val="22"/>
          <w:szCs w:val="22"/>
        </w:rPr>
        <w:t>, and go elsewhere</w:t>
      </w:r>
      <w:r w:rsidR="00FF722E" w:rsidRPr="003F5A77">
        <w:rPr>
          <w:rFonts w:asciiTheme="minorHAnsi" w:hAnsiTheme="minorHAnsi" w:cs="Arial"/>
          <w:sz w:val="22"/>
          <w:szCs w:val="22"/>
        </w:rPr>
        <w:t>?</w:t>
      </w:r>
    </w:p>
    <w:p w:rsidR="004773F8" w:rsidRPr="003F5A77" w:rsidRDefault="004773F8" w:rsidP="008C72E1">
      <w:pPr>
        <w:pStyle w:val="ListParagraph"/>
        <w:numPr>
          <w:ilvl w:val="0"/>
          <w:numId w:val="12"/>
        </w:numPr>
        <w:spacing w:after="120"/>
        <w:ind w:left="-284" w:hanging="425"/>
        <w:contextualSpacing w:val="0"/>
        <w:rPr>
          <w:rFonts w:asciiTheme="minorHAnsi" w:hAnsiTheme="minorHAnsi" w:cs="Arial"/>
          <w:sz w:val="22"/>
          <w:szCs w:val="22"/>
        </w:rPr>
      </w:pPr>
      <w:r w:rsidRPr="003F5A77">
        <w:rPr>
          <w:rFonts w:asciiTheme="minorHAnsi" w:hAnsiTheme="minorHAnsi" w:cs="Arial"/>
          <w:sz w:val="22"/>
          <w:szCs w:val="22"/>
        </w:rPr>
        <w:t xml:space="preserve">Regionally, </w:t>
      </w:r>
      <w:r w:rsidR="00EF7B27" w:rsidRPr="003F5A77">
        <w:rPr>
          <w:rFonts w:asciiTheme="minorHAnsi" w:hAnsiTheme="minorHAnsi" w:cs="Arial"/>
          <w:sz w:val="22"/>
          <w:szCs w:val="22"/>
        </w:rPr>
        <w:t xml:space="preserve">between 2014 and 2017 </w:t>
      </w:r>
      <w:r w:rsidR="00156FFB" w:rsidRPr="003F5A77">
        <w:rPr>
          <w:rFonts w:asciiTheme="minorHAnsi" w:hAnsiTheme="minorHAnsi" w:cs="Arial"/>
          <w:sz w:val="22"/>
          <w:szCs w:val="22"/>
        </w:rPr>
        <w:t>there has been a</w:t>
      </w:r>
      <w:r w:rsidRPr="003F5A77">
        <w:rPr>
          <w:rFonts w:asciiTheme="minorHAnsi" w:hAnsiTheme="minorHAnsi" w:cs="Arial"/>
          <w:sz w:val="22"/>
          <w:szCs w:val="22"/>
        </w:rPr>
        <w:t xml:space="preserve"> margina</w:t>
      </w:r>
      <w:r w:rsidR="00156FFB" w:rsidRPr="003F5A77">
        <w:rPr>
          <w:rFonts w:asciiTheme="minorHAnsi" w:hAnsiTheme="minorHAnsi" w:cs="Arial"/>
          <w:sz w:val="22"/>
          <w:szCs w:val="22"/>
        </w:rPr>
        <w:t xml:space="preserve">l (1.1%) contraction in supply as </w:t>
      </w:r>
      <w:r w:rsidR="00EF7B27" w:rsidRPr="003F5A77">
        <w:rPr>
          <w:rFonts w:asciiTheme="minorHAnsi" w:hAnsiTheme="minorHAnsi" w:cs="Arial"/>
          <w:sz w:val="22"/>
          <w:szCs w:val="22"/>
        </w:rPr>
        <w:t>the increase in</w:t>
      </w:r>
      <w:r w:rsidR="00156FFB" w:rsidRPr="003F5A77">
        <w:rPr>
          <w:rFonts w:asciiTheme="minorHAnsi" w:hAnsiTheme="minorHAnsi" w:cs="Arial"/>
          <w:sz w:val="22"/>
          <w:szCs w:val="22"/>
        </w:rPr>
        <w:t xml:space="preserve"> number </w:t>
      </w:r>
      <w:proofErr w:type="gramStart"/>
      <w:r w:rsidR="00156FFB" w:rsidRPr="003F5A77">
        <w:rPr>
          <w:rFonts w:asciiTheme="minorHAnsi" w:hAnsiTheme="minorHAnsi" w:cs="Arial"/>
          <w:sz w:val="22"/>
          <w:szCs w:val="22"/>
        </w:rPr>
        <w:t xml:space="preserve">of </w:t>
      </w:r>
      <w:r w:rsidR="00EF7B27" w:rsidRPr="003F5A77">
        <w:rPr>
          <w:rFonts w:asciiTheme="minorHAnsi" w:hAnsiTheme="minorHAnsi" w:cs="Arial"/>
          <w:sz w:val="22"/>
          <w:szCs w:val="22"/>
        </w:rPr>
        <w:t xml:space="preserve"> social</w:t>
      </w:r>
      <w:proofErr w:type="gramEnd"/>
      <w:r w:rsidR="00EF7B27" w:rsidRPr="003F5A77">
        <w:rPr>
          <w:rFonts w:asciiTheme="minorHAnsi" w:hAnsiTheme="minorHAnsi" w:cs="Arial"/>
          <w:sz w:val="22"/>
          <w:szCs w:val="22"/>
        </w:rPr>
        <w:t xml:space="preserve"> housing</w:t>
      </w:r>
      <w:r w:rsidR="00156FFB" w:rsidRPr="003F5A77">
        <w:rPr>
          <w:rFonts w:asciiTheme="minorHAnsi" w:hAnsiTheme="minorHAnsi" w:cs="Arial"/>
          <w:sz w:val="22"/>
          <w:szCs w:val="22"/>
        </w:rPr>
        <w:t xml:space="preserve"> dwellings</w:t>
      </w:r>
      <w:r w:rsidR="00EF7B27" w:rsidRPr="003F5A77">
        <w:rPr>
          <w:rFonts w:asciiTheme="minorHAnsi" w:hAnsiTheme="minorHAnsi" w:cs="Arial"/>
          <w:sz w:val="22"/>
          <w:szCs w:val="22"/>
        </w:rPr>
        <w:t xml:space="preserve"> has been largely offset by the </w:t>
      </w:r>
      <w:r w:rsidRPr="003F5A77">
        <w:rPr>
          <w:rFonts w:asciiTheme="minorHAnsi" w:hAnsiTheme="minorHAnsi" w:cs="Arial"/>
          <w:sz w:val="22"/>
          <w:szCs w:val="22"/>
        </w:rPr>
        <w:t>loss</w:t>
      </w:r>
      <w:r w:rsidR="00156FFB" w:rsidRPr="003F5A77">
        <w:rPr>
          <w:rFonts w:asciiTheme="minorHAnsi" w:hAnsiTheme="minorHAnsi" w:cs="Arial"/>
          <w:sz w:val="22"/>
          <w:szCs w:val="22"/>
        </w:rPr>
        <w:t xml:space="preserve"> of affordable rentals. This </w:t>
      </w:r>
      <w:r w:rsidR="00EF7B27" w:rsidRPr="003F5A77">
        <w:rPr>
          <w:rFonts w:asciiTheme="minorHAnsi" w:hAnsiTheme="minorHAnsi" w:cs="Arial"/>
          <w:sz w:val="22"/>
          <w:szCs w:val="22"/>
        </w:rPr>
        <w:t>compares with a 7% increase in ‘need’ for low-cost housing options. There can be no surprise then, that the ability to meet low-cost housing need has contracted.</w:t>
      </w:r>
    </w:p>
    <w:p w:rsidR="004773F8" w:rsidRPr="003F5A77" w:rsidRDefault="004773F8" w:rsidP="000044F0">
      <w:pPr>
        <w:pStyle w:val="ListParagraph"/>
        <w:ind w:left="-851"/>
        <w:rPr>
          <w:rFonts w:asciiTheme="minorHAnsi" w:hAnsiTheme="minorHAnsi" w:cs="Arial"/>
          <w:sz w:val="22"/>
          <w:szCs w:val="22"/>
        </w:rPr>
      </w:pPr>
    </w:p>
    <w:p w:rsidR="00F9768E" w:rsidRPr="003F5A77" w:rsidRDefault="00F9768E" w:rsidP="000044F0">
      <w:pPr>
        <w:ind w:left="-851"/>
        <w:rPr>
          <w:rFonts w:asciiTheme="minorHAnsi" w:hAnsiTheme="minorHAnsi" w:cs="Arial"/>
          <w:sz w:val="22"/>
          <w:szCs w:val="22"/>
        </w:rPr>
      </w:pPr>
      <w:r w:rsidRPr="003F5A77">
        <w:rPr>
          <w:rFonts w:asciiTheme="minorHAnsi" w:hAnsiTheme="minorHAnsi" w:cs="Arial"/>
          <w:sz w:val="22"/>
          <w:szCs w:val="22"/>
        </w:rPr>
        <w:br w:type="page"/>
      </w:r>
    </w:p>
    <w:p w:rsidR="00EF7B27" w:rsidRPr="00D9262D" w:rsidRDefault="00EF7B27" w:rsidP="00D9262D">
      <w:pPr>
        <w:pStyle w:val="ListParagraph"/>
        <w:numPr>
          <w:ilvl w:val="0"/>
          <w:numId w:val="14"/>
        </w:numPr>
        <w:rPr>
          <w:rFonts w:ascii="Calibri" w:eastAsiaTheme="majorEastAsia" w:hAnsi="Calibri" w:cstheme="majorBidi"/>
          <w:color w:val="1F497D" w:themeColor="text2"/>
          <w:sz w:val="30"/>
          <w:szCs w:val="30"/>
          <w:lang w:val="en-US" w:eastAsia="en-US"/>
        </w:rPr>
      </w:pPr>
      <w:r w:rsidRPr="00D9262D">
        <w:rPr>
          <w:rFonts w:ascii="Calibri" w:eastAsiaTheme="majorEastAsia" w:hAnsi="Calibri" w:cstheme="majorBidi"/>
          <w:color w:val="1F497D" w:themeColor="text2"/>
          <w:sz w:val="30"/>
          <w:szCs w:val="30"/>
          <w:lang w:val="en-US" w:eastAsia="en-US"/>
        </w:rPr>
        <w:lastRenderedPageBreak/>
        <w:t>Social housing supply timeframe</w:t>
      </w:r>
    </w:p>
    <w:p w:rsidR="004E2EE9" w:rsidRPr="003F5A77" w:rsidRDefault="004E2EE9" w:rsidP="000044F0">
      <w:pPr>
        <w:ind w:left="-851"/>
        <w:rPr>
          <w:rFonts w:asciiTheme="minorHAnsi" w:hAnsiTheme="minorHAnsi" w:cs="Arial"/>
          <w:sz w:val="22"/>
          <w:szCs w:val="22"/>
        </w:rPr>
      </w:pPr>
    </w:p>
    <w:p w:rsidR="004E2EE9" w:rsidRPr="003F5A77" w:rsidRDefault="004E2EE9" w:rsidP="000044F0">
      <w:pPr>
        <w:ind w:left="-851"/>
        <w:rPr>
          <w:rFonts w:asciiTheme="minorHAnsi" w:hAnsiTheme="minorHAnsi" w:cs="Arial"/>
          <w:color w:val="000000" w:themeColor="text1"/>
          <w:sz w:val="22"/>
          <w:szCs w:val="22"/>
        </w:rPr>
      </w:pPr>
      <w:r w:rsidRPr="003F5A77">
        <w:rPr>
          <w:rFonts w:asciiTheme="minorHAnsi" w:hAnsiTheme="minorHAnsi" w:cs="Arial"/>
          <w:color w:val="000000" w:themeColor="text1"/>
          <w:sz w:val="22"/>
          <w:szCs w:val="22"/>
        </w:rPr>
        <w:t xml:space="preserve">The </w:t>
      </w:r>
      <w:proofErr w:type="gramStart"/>
      <w:r w:rsidRPr="003F5A77">
        <w:rPr>
          <w:rFonts w:asciiTheme="minorHAnsi" w:hAnsiTheme="minorHAnsi" w:cs="Arial"/>
          <w:color w:val="000000" w:themeColor="text1"/>
          <w:sz w:val="22"/>
          <w:szCs w:val="22"/>
        </w:rPr>
        <w:t>time period</w:t>
      </w:r>
      <w:proofErr w:type="gramEnd"/>
      <w:r w:rsidRPr="003F5A77">
        <w:rPr>
          <w:rFonts w:asciiTheme="minorHAnsi" w:hAnsiTheme="minorHAnsi" w:cs="Arial"/>
          <w:color w:val="000000" w:themeColor="text1"/>
          <w:sz w:val="22"/>
          <w:szCs w:val="22"/>
        </w:rPr>
        <w:t xml:space="preserve"> taken to reach a minimum supply level is another important consideration in addressing social housing need.</w:t>
      </w:r>
    </w:p>
    <w:p w:rsidR="00F91CEC" w:rsidRPr="003F5A77" w:rsidRDefault="00F91CEC" w:rsidP="000044F0">
      <w:pPr>
        <w:ind w:left="-851"/>
        <w:rPr>
          <w:rFonts w:asciiTheme="minorHAnsi" w:hAnsiTheme="minorHAnsi" w:cs="Arial"/>
          <w:sz w:val="22"/>
          <w:szCs w:val="22"/>
        </w:rPr>
      </w:pPr>
    </w:p>
    <w:p w:rsidR="00F91CEC" w:rsidRPr="003F5A77" w:rsidRDefault="00EF6B98" w:rsidP="000044F0">
      <w:pPr>
        <w:ind w:left="-851"/>
        <w:rPr>
          <w:rFonts w:asciiTheme="minorHAnsi" w:hAnsiTheme="minorHAnsi" w:cs="Arial"/>
          <w:sz w:val="22"/>
          <w:szCs w:val="22"/>
        </w:rPr>
      </w:pPr>
      <w:r w:rsidRPr="003F5A77">
        <w:rPr>
          <w:rFonts w:asciiTheme="minorHAnsi" w:hAnsiTheme="minorHAnsi" w:cs="Arial"/>
          <w:b/>
          <w:sz w:val="22"/>
          <w:szCs w:val="22"/>
        </w:rPr>
        <w:t xml:space="preserve">A rate of </w:t>
      </w:r>
      <w:r w:rsidR="00156FFB" w:rsidRPr="003F5A77">
        <w:rPr>
          <w:rFonts w:asciiTheme="minorHAnsi" w:hAnsiTheme="minorHAnsi" w:cs="Arial"/>
          <w:b/>
          <w:sz w:val="22"/>
          <w:szCs w:val="22"/>
        </w:rPr>
        <w:t>571</w:t>
      </w:r>
      <w:r w:rsidR="00F91CEC" w:rsidRPr="003F5A77">
        <w:rPr>
          <w:rFonts w:asciiTheme="minorHAnsi" w:hAnsiTheme="minorHAnsi" w:cs="Arial"/>
          <w:b/>
          <w:sz w:val="22"/>
          <w:szCs w:val="22"/>
        </w:rPr>
        <w:t xml:space="preserve"> social housing additions per year would meet the needs of the EAH</w:t>
      </w:r>
      <w:r w:rsidRPr="003F5A77">
        <w:rPr>
          <w:rFonts w:asciiTheme="minorHAnsi" w:hAnsiTheme="minorHAnsi" w:cs="Arial"/>
          <w:b/>
          <w:sz w:val="22"/>
          <w:szCs w:val="22"/>
        </w:rPr>
        <w:t>A</w:t>
      </w:r>
      <w:r w:rsidR="00F91CEC" w:rsidRPr="003F5A77">
        <w:rPr>
          <w:rFonts w:asciiTheme="minorHAnsi" w:hAnsiTheme="minorHAnsi" w:cs="Arial"/>
          <w:b/>
          <w:sz w:val="22"/>
          <w:szCs w:val="22"/>
        </w:rPr>
        <w:t>’s lowest income</w:t>
      </w:r>
      <w:r w:rsidRPr="003F5A77">
        <w:rPr>
          <w:rFonts w:asciiTheme="minorHAnsi" w:hAnsiTheme="minorHAnsi" w:cs="Arial"/>
          <w:b/>
          <w:sz w:val="22"/>
          <w:szCs w:val="22"/>
        </w:rPr>
        <w:t>, non-home owning households</w:t>
      </w:r>
      <w:r w:rsidR="00F91CEC" w:rsidRPr="003F5A77">
        <w:rPr>
          <w:rFonts w:asciiTheme="minorHAnsi" w:hAnsiTheme="minorHAnsi" w:cs="Arial"/>
          <w:b/>
          <w:sz w:val="22"/>
          <w:szCs w:val="22"/>
        </w:rPr>
        <w:t xml:space="preserve"> by 2036, </w:t>
      </w:r>
      <w:r w:rsidR="00F91CEC" w:rsidRPr="003F5A77">
        <w:rPr>
          <w:rFonts w:asciiTheme="minorHAnsi" w:hAnsiTheme="minorHAnsi" w:cs="Arial"/>
          <w:sz w:val="22"/>
          <w:szCs w:val="22"/>
        </w:rPr>
        <w:t xml:space="preserve">though it would take twenty years to do so. This would effectively leave </w:t>
      </w:r>
      <w:proofErr w:type="gramStart"/>
      <w:r w:rsidR="00F91CEC" w:rsidRPr="003F5A77">
        <w:rPr>
          <w:rFonts w:asciiTheme="minorHAnsi" w:hAnsiTheme="minorHAnsi" w:cs="Arial"/>
          <w:sz w:val="22"/>
          <w:szCs w:val="22"/>
        </w:rPr>
        <w:t>a  generation</w:t>
      </w:r>
      <w:proofErr w:type="gramEnd"/>
      <w:r w:rsidR="00F91CEC" w:rsidRPr="003F5A77">
        <w:rPr>
          <w:rFonts w:asciiTheme="minorHAnsi" w:hAnsiTheme="minorHAnsi" w:cs="Arial"/>
          <w:sz w:val="22"/>
          <w:szCs w:val="22"/>
        </w:rPr>
        <w:t xml:space="preserve"> of partially unmet needs.</w:t>
      </w:r>
    </w:p>
    <w:p w:rsidR="006F2BD6" w:rsidRPr="003F5A77" w:rsidRDefault="006F2BD6" w:rsidP="000044F0">
      <w:pPr>
        <w:ind w:left="-851"/>
        <w:rPr>
          <w:rFonts w:asciiTheme="minorHAnsi" w:hAnsiTheme="minorHAnsi" w:cs="Arial"/>
          <w:sz w:val="22"/>
          <w:szCs w:val="22"/>
        </w:rPr>
      </w:pPr>
    </w:p>
    <w:p w:rsidR="006F2BD6" w:rsidRPr="003F5A77" w:rsidRDefault="006F2BD6" w:rsidP="000044F0">
      <w:pPr>
        <w:ind w:left="-851"/>
        <w:rPr>
          <w:rFonts w:asciiTheme="minorHAnsi" w:hAnsiTheme="minorHAnsi" w:cs="Arial"/>
          <w:color w:val="FF0000"/>
          <w:sz w:val="22"/>
          <w:szCs w:val="22"/>
        </w:rPr>
      </w:pPr>
      <w:r w:rsidRPr="003F5A77">
        <w:rPr>
          <w:rFonts w:asciiTheme="minorHAnsi" w:hAnsiTheme="minorHAnsi" w:cs="Arial"/>
          <w:sz w:val="22"/>
          <w:szCs w:val="22"/>
        </w:rPr>
        <w:t>The following</w:t>
      </w:r>
      <w:r w:rsidR="007547DF" w:rsidRPr="003F5A77">
        <w:rPr>
          <w:rFonts w:asciiTheme="minorHAnsi" w:hAnsiTheme="minorHAnsi" w:cs="Arial"/>
          <w:sz w:val="22"/>
          <w:szCs w:val="22"/>
        </w:rPr>
        <w:t xml:space="preserve"> tables (by individual municipality within the EAH</w:t>
      </w:r>
      <w:r w:rsidR="00525E78" w:rsidRPr="003F5A77">
        <w:rPr>
          <w:rFonts w:asciiTheme="minorHAnsi" w:hAnsiTheme="minorHAnsi" w:cs="Arial"/>
          <w:sz w:val="22"/>
          <w:szCs w:val="22"/>
        </w:rPr>
        <w:t>A region and the EAHA</w:t>
      </w:r>
      <w:r w:rsidR="007547DF" w:rsidRPr="003F5A77">
        <w:rPr>
          <w:rFonts w:asciiTheme="minorHAnsi" w:hAnsiTheme="minorHAnsi" w:cs="Arial"/>
          <w:sz w:val="22"/>
          <w:szCs w:val="22"/>
        </w:rPr>
        <w:t xml:space="preserve"> as a </w:t>
      </w:r>
      <w:proofErr w:type="gramStart"/>
      <w:r w:rsidR="007547DF" w:rsidRPr="003F5A77">
        <w:rPr>
          <w:rFonts w:asciiTheme="minorHAnsi" w:hAnsiTheme="minorHAnsi" w:cs="Arial"/>
          <w:sz w:val="22"/>
          <w:szCs w:val="22"/>
        </w:rPr>
        <w:t>whole)  indicate</w:t>
      </w:r>
      <w:proofErr w:type="gramEnd"/>
      <w:r w:rsidRPr="003F5A77">
        <w:rPr>
          <w:rFonts w:asciiTheme="minorHAnsi" w:hAnsiTheme="minorHAnsi" w:cs="Arial"/>
          <w:sz w:val="22"/>
          <w:szCs w:val="22"/>
        </w:rPr>
        <w:t xml:space="preserve"> the number of new social housing dwellings required per annum</w:t>
      </w:r>
      <w:r w:rsidR="007547DF" w:rsidRPr="003F5A77">
        <w:rPr>
          <w:rStyle w:val="FootnoteReference"/>
          <w:rFonts w:asciiTheme="minorHAnsi" w:hAnsiTheme="minorHAnsi" w:cs="Arial"/>
          <w:sz w:val="22"/>
          <w:szCs w:val="22"/>
        </w:rPr>
        <w:footnoteReference w:id="19"/>
      </w:r>
      <w:r w:rsidR="00525E78" w:rsidRPr="003F5A77">
        <w:rPr>
          <w:rFonts w:asciiTheme="minorHAnsi" w:hAnsiTheme="minorHAnsi" w:cs="Arial"/>
          <w:sz w:val="22"/>
          <w:szCs w:val="22"/>
        </w:rPr>
        <w:t xml:space="preserve"> in order to fully meet low-cost</w:t>
      </w:r>
      <w:r w:rsidRPr="003F5A77">
        <w:rPr>
          <w:rFonts w:asciiTheme="minorHAnsi" w:hAnsiTheme="minorHAnsi" w:cs="Arial"/>
          <w:sz w:val="22"/>
          <w:szCs w:val="22"/>
        </w:rPr>
        <w:t xml:space="preserve"> housing needs at diff</w:t>
      </w:r>
      <w:r w:rsidR="00525E78" w:rsidRPr="003F5A77">
        <w:rPr>
          <w:rFonts w:asciiTheme="minorHAnsi" w:hAnsiTheme="minorHAnsi" w:cs="Arial"/>
          <w:sz w:val="22"/>
          <w:szCs w:val="22"/>
        </w:rPr>
        <w:t>erent points along the time span</w:t>
      </w:r>
      <w:r w:rsidRPr="003F5A77">
        <w:rPr>
          <w:rFonts w:asciiTheme="minorHAnsi" w:hAnsiTheme="minorHAnsi" w:cs="Arial"/>
          <w:sz w:val="22"/>
          <w:szCs w:val="22"/>
        </w:rPr>
        <w:t xml:space="preserve"> – within 5 years, 10 years, 15 years or 20 years</w:t>
      </w:r>
      <w:r w:rsidR="00525E78" w:rsidRPr="003F5A77">
        <w:rPr>
          <w:rFonts w:asciiTheme="minorHAnsi" w:hAnsiTheme="minorHAnsi" w:cs="Arial"/>
          <w:sz w:val="22"/>
          <w:szCs w:val="22"/>
        </w:rPr>
        <w:t>.</w:t>
      </w:r>
    </w:p>
    <w:p w:rsidR="00207847" w:rsidRDefault="00207847">
      <w:pPr>
        <w:rPr>
          <w:rFonts w:asciiTheme="minorHAnsi" w:hAnsiTheme="minorHAnsi" w:cs="Arial"/>
          <w:color w:val="FF0000"/>
          <w:sz w:val="22"/>
          <w:szCs w:val="22"/>
        </w:rPr>
      </w:pPr>
      <w:r>
        <w:rPr>
          <w:rFonts w:asciiTheme="minorHAnsi" w:hAnsiTheme="minorHAnsi" w:cs="Arial"/>
          <w:color w:val="FF0000"/>
          <w:sz w:val="22"/>
          <w:szCs w:val="22"/>
        </w:rPr>
        <w:br w:type="page"/>
      </w:r>
    </w:p>
    <w:p w:rsidR="00B059CE" w:rsidRDefault="00B059CE" w:rsidP="00B059CE">
      <w:pPr>
        <w:rPr>
          <w:rFonts w:ascii="Arial" w:hAnsi="Arial" w:cs="Arial"/>
          <w:color w:val="000000" w:themeColor="text1"/>
        </w:rPr>
      </w:pP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1069"/>
        <w:gridCol w:w="1005"/>
        <w:gridCol w:w="1261"/>
        <w:gridCol w:w="1261"/>
        <w:gridCol w:w="1261"/>
        <w:gridCol w:w="1261"/>
      </w:tblGrid>
      <w:tr w:rsidR="00B059CE" w:rsidRPr="00516331" w:rsidTr="009C38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18" w:type="dxa"/>
            <w:gridSpan w:val="6"/>
            <w:tcBorders>
              <w:bottom w:val="none" w:sz="0" w:space="0" w:color="auto"/>
              <w:right w:val="none" w:sz="0" w:space="0" w:color="auto"/>
            </w:tcBorders>
          </w:tcPr>
          <w:p w:rsidR="00B059CE" w:rsidRPr="00516331" w:rsidRDefault="00B059CE" w:rsidP="0082676C">
            <w:pPr>
              <w:rPr>
                <w:rFonts w:asciiTheme="minorHAnsi" w:hAnsiTheme="minorHAnsi" w:cs="Arial"/>
                <w:sz w:val="22"/>
                <w:szCs w:val="22"/>
              </w:rPr>
            </w:pPr>
            <w:proofErr w:type="gramStart"/>
            <w:r w:rsidRPr="00516331">
              <w:rPr>
                <w:rFonts w:asciiTheme="minorHAnsi" w:hAnsiTheme="minorHAnsi" w:cs="Arial"/>
                <w:sz w:val="22"/>
                <w:szCs w:val="22"/>
              </w:rPr>
              <w:t>Table  5.1</w:t>
            </w:r>
            <w:proofErr w:type="gramEnd"/>
            <w:r w:rsidRPr="00516331">
              <w:rPr>
                <w:rFonts w:asciiTheme="minorHAnsi" w:hAnsiTheme="minorHAnsi" w:cs="Arial"/>
                <w:sz w:val="22"/>
                <w:szCs w:val="22"/>
              </w:rPr>
              <w:t xml:space="preserve"> Knox - social housing need – annual supply required to fully meet need within 5, 10, 15, 20 years</w:t>
            </w:r>
          </w:p>
          <w:p w:rsidR="00B059CE" w:rsidRPr="00516331" w:rsidRDefault="00B059CE" w:rsidP="0082676C">
            <w:pPr>
              <w:rPr>
                <w:rFonts w:asciiTheme="minorHAnsi" w:hAnsiTheme="minorHAnsi" w:cs="Arial"/>
                <w:b w:val="0"/>
                <w:color w:val="000000" w:themeColor="text1"/>
              </w:rPr>
            </w:pPr>
          </w:p>
        </w:tc>
      </w:tr>
      <w:tr w:rsidR="00B059CE" w:rsidRPr="00516331" w:rsidTr="009C3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dxa"/>
            <w:tcBorders>
              <w:top w:val="none" w:sz="0" w:space="0" w:color="auto"/>
              <w:bottom w:val="none" w:sz="0" w:space="0" w:color="auto"/>
              <w:right w:val="none" w:sz="0" w:space="0" w:color="auto"/>
            </w:tcBorders>
          </w:tcPr>
          <w:p w:rsidR="00B059CE" w:rsidRPr="00516331" w:rsidRDefault="00B059CE" w:rsidP="0082676C">
            <w:pPr>
              <w:rPr>
                <w:rFonts w:asciiTheme="minorHAnsi" w:hAnsiTheme="minorHAnsi" w:cs="Arial"/>
                <w:color w:val="000000" w:themeColor="text1"/>
              </w:rPr>
            </w:pPr>
            <w:r w:rsidRPr="00516331">
              <w:rPr>
                <w:rFonts w:asciiTheme="minorHAnsi" w:hAnsiTheme="minorHAnsi" w:cs="Arial"/>
                <w:color w:val="000000" w:themeColor="text1"/>
              </w:rPr>
              <w:t>Year</w:t>
            </w:r>
          </w:p>
        </w:tc>
        <w:tc>
          <w:tcPr>
            <w:tcW w:w="1005"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Social housing shortfall</w:t>
            </w: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5 </w:t>
            </w:r>
            <w:r w:rsidRPr="00516331">
              <w:rPr>
                <w:rFonts w:asciiTheme="minorHAnsi" w:hAnsiTheme="minorHAnsi" w:cs="Arial"/>
                <w:b/>
                <w:color w:val="000000" w:themeColor="text1"/>
                <w:sz w:val="20"/>
                <w:szCs w:val="20"/>
              </w:rPr>
              <w:t>years, 2016-2021)</w:t>
            </w: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10 </w:t>
            </w:r>
            <w:r w:rsidRPr="00516331">
              <w:rPr>
                <w:rFonts w:asciiTheme="minorHAnsi" w:hAnsiTheme="minorHAnsi" w:cs="Arial"/>
                <w:b/>
                <w:color w:val="000000" w:themeColor="text1"/>
                <w:sz w:val="20"/>
                <w:szCs w:val="20"/>
              </w:rPr>
              <w:t>years, 2016-2026</w:t>
            </w: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15 </w:t>
            </w:r>
            <w:r w:rsidRPr="00516331">
              <w:rPr>
                <w:rFonts w:asciiTheme="minorHAnsi" w:hAnsiTheme="minorHAnsi" w:cs="Arial"/>
                <w:b/>
                <w:color w:val="000000" w:themeColor="text1"/>
                <w:sz w:val="20"/>
                <w:szCs w:val="20"/>
              </w:rPr>
              <w:t>years, 2016-2031</w:t>
            </w: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20 </w:t>
            </w:r>
            <w:r w:rsidRPr="00516331">
              <w:rPr>
                <w:rFonts w:asciiTheme="minorHAnsi" w:hAnsiTheme="minorHAnsi" w:cs="Arial"/>
                <w:b/>
                <w:color w:val="000000" w:themeColor="text1"/>
                <w:sz w:val="20"/>
                <w:szCs w:val="20"/>
              </w:rPr>
              <w:t>years, 2016-2036</w:t>
            </w:r>
          </w:p>
        </w:tc>
      </w:tr>
      <w:tr w:rsidR="00B059CE" w:rsidRPr="00516331" w:rsidTr="009C38C9">
        <w:tc>
          <w:tcPr>
            <w:cnfStyle w:val="001000000000" w:firstRow="0" w:lastRow="0" w:firstColumn="1" w:lastColumn="0" w:oddVBand="0" w:evenVBand="0" w:oddHBand="0" w:evenHBand="0" w:firstRowFirstColumn="0" w:firstRowLastColumn="0" w:lastRowFirstColumn="0" w:lastRowLastColumn="0"/>
            <w:tcW w:w="1069" w:type="dxa"/>
            <w:tcBorders>
              <w:right w:val="none" w:sz="0" w:space="0" w:color="auto"/>
            </w:tcBorders>
          </w:tcPr>
          <w:p w:rsidR="00B059CE" w:rsidRPr="00516331" w:rsidRDefault="00B059CE" w:rsidP="0082676C">
            <w:pPr>
              <w:rPr>
                <w:rFonts w:asciiTheme="minorHAnsi" w:hAnsiTheme="minorHAnsi" w:cs="Arial"/>
                <w:b w:val="0"/>
                <w:color w:val="000000" w:themeColor="text1"/>
                <w:sz w:val="20"/>
                <w:szCs w:val="20"/>
              </w:rPr>
            </w:pPr>
            <w:r w:rsidRPr="00516331">
              <w:rPr>
                <w:rFonts w:asciiTheme="minorHAnsi" w:hAnsiTheme="minorHAnsi" w:cs="Arial"/>
                <w:color w:val="000000" w:themeColor="text1"/>
                <w:sz w:val="20"/>
                <w:szCs w:val="20"/>
              </w:rPr>
              <w:t>Current (in 2016)</w:t>
            </w:r>
          </w:p>
          <w:p w:rsidR="00B059CE" w:rsidRPr="00516331" w:rsidRDefault="00B059CE" w:rsidP="0082676C">
            <w:pPr>
              <w:rPr>
                <w:rFonts w:asciiTheme="minorHAnsi" w:hAnsiTheme="minorHAnsi" w:cs="Arial"/>
                <w:b w:val="0"/>
                <w:color w:val="000000" w:themeColor="text1"/>
                <w:sz w:val="20"/>
                <w:szCs w:val="20"/>
              </w:rPr>
            </w:pPr>
          </w:p>
          <w:p w:rsidR="00B059CE" w:rsidRPr="00516331" w:rsidRDefault="00B059CE" w:rsidP="0082676C">
            <w:pPr>
              <w:rPr>
                <w:rFonts w:asciiTheme="minorHAnsi" w:hAnsiTheme="minorHAnsi" w:cs="Arial"/>
                <w:b w:val="0"/>
                <w:color w:val="000000" w:themeColor="text1"/>
                <w:sz w:val="20"/>
                <w:szCs w:val="20"/>
              </w:rPr>
            </w:pPr>
          </w:p>
          <w:p w:rsidR="00B059CE" w:rsidRPr="00516331" w:rsidRDefault="00B059CE" w:rsidP="0082676C">
            <w:pPr>
              <w:rPr>
                <w:rFonts w:asciiTheme="minorHAnsi" w:hAnsiTheme="minorHAnsi" w:cs="Arial"/>
                <w:b w:val="0"/>
                <w:color w:val="000000" w:themeColor="text1"/>
                <w:sz w:val="20"/>
                <w:szCs w:val="20"/>
              </w:rPr>
            </w:pPr>
          </w:p>
          <w:p w:rsidR="00B059CE" w:rsidRPr="00516331" w:rsidRDefault="00B059CE" w:rsidP="0082676C">
            <w:pPr>
              <w:rPr>
                <w:rFonts w:asciiTheme="minorHAnsi" w:hAnsiTheme="minorHAnsi" w:cs="Arial"/>
                <w:b w:val="0"/>
                <w:color w:val="000000" w:themeColor="text1"/>
                <w:sz w:val="20"/>
                <w:szCs w:val="20"/>
              </w:rPr>
            </w:pPr>
          </w:p>
          <w:p w:rsidR="00B059CE" w:rsidRPr="00516331" w:rsidRDefault="00B059CE" w:rsidP="0082676C">
            <w:pPr>
              <w:rPr>
                <w:rFonts w:asciiTheme="minorHAnsi" w:hAnsiTheme="minorHAnsi" w:cs="Arial"/>
                <w:b w:val="0"/>
                <w:color w:val="000000" w:themeColor="text1"/>
                <w:sz w:val="20"/>
                <w:szCs w:val="20"/>
              </w:rPr>
            </w:pPr>
          </w:p>
          <w:p w:rsidR="00B059CE" w:rsidRPr="00516331" w:rsidRDefault="00B059CE" w:rsidP="0082676C">
            <w:pPr>
              <w:rPr>
                <w:rFonts w:asciiTheme="minorHAnsi" w:hAnsiTheme="minorHAnsi" w:cs="Arial"/>
                <w:b w:val="0"/>
                <w:color w:val="000000" w:themeColor="text1"/>
                <w:sz w:val="20"/>
                <w:szCs w:val="20"/>
              </w:rPr>
            </w:pPr>
          </w:p>
          <w:p w:rsidR="00B059CE" w:rsidRPr="00516331" w:rsidRDefault="00B059CE" w:rsidP="0082676C">
            <w:pPr>
              <w:rPr>
                <w:rFonts w:asciiTheme="minorHAnsi" w:hAnsiTheme="minorHAnsi" w:cs="Arial"/>
                <w:b w:val="0"/>
                <w:color w:val="000000" w:themeColor="text1"/>
                <w:sz w:val="20"/>
                <w:szCs w:val="20"/>
              </w:rPr>
            </w:pPr>
          </w:p>
        </w:tc>
        <w:tc>
          <w:tcPr>
            <w:tcW w:w="1005" w:type="dxa"/>
          </w:tcPr>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390</w:t>
            </w: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r>
      <w:tr w:rsidR="00B059CE" w:rsidRPr="00516331" w:rsidTr="009C3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dxa"/>
            <w:tcBorders>
              <w:top w:val="none" w:sz="0" w:space="0" w:color="auto"/>
              <w:bottom w:val="none" w:sz="0" w:space="0" w:color="auto"/>
              <w:right w:val="none" w:sz="0" w:space="0" w:color="auto"/>
            </w:tcBorders>
            <w:shd w:val="clear" w:color="auto" w:fill="95B3D7" w:themeFill="accent1" w:themeFillTint="99"/>
          </w:tcPr>
          <w:p w:rsidR="00B059CE" w:rsidRPr="00516331" w:rsidRDefault="00B059CE" w:rsidP="0082676C">
            <w:pPr>
              <w:rPr>
                <w:rFonts w:asciiTheme="minorHAnsi" w:hAnsiTheme="minorHAnsi" w:cs="Arial"/>
                <w:b w:val="0"/>
                <w:color w:val="000000" w:themeColor="text1"/>
              </w:rPr>
            </w:pPr>
            <w:r w:rsidRPr="00516331">
              <w:rPr>
                <w:rFonts w:asciiTheme="minorHAnsi" w:hAnsiTheme="minorHAnsi" w:cs="Arial"/>
                <w:color w:val="000000" w:themeColor="text1"/>
                <w:sz w:val="20"/>
                <w:szCs w:val="20"/>
              </w:rPr>
              <w:t xml:space="preserve">By </w:t>
            </w:r>
            <w:r w:rsidRPr="00516331">
              <w:rPr>
                <w:rFonts w:asciiTheme="minorHAnsi" w:hAnsiTheme="minorHAnsi" w:cs="Arial"/>
                <w:color w:val="000000" w:themeColor="text1"/>
              </w:rPr>
              <w:t>2021</w:t>
            </w:r>
          </w:p>
          <w:p w:rsidR="00B059CE" w:rsidRPr="00516331" w:rsidRDefault="00B059CE" w:rsidP="0082676C">
            <w:pPr>
              <w:rPr>
                <w:rFonts w:asciiTheme="minorHAnsi" w:hAnsiTheme="minorHAnsi" w:cs="Arial"/>
                <w:b w:val="0"/>
                <w:color w:val="000000" w:themeColor="text1"/>
                <w:sz w:val="20"/>
                <w:szCs w:val="20"/>
              </w:rPr>
            </w:pPr>
          </w:p>
        </w:tc>
        <w:tc>
          <w:tcPr>
            <w:tcW w:w="1005" w:type="dxa"/>
            <w:tcBorders>
              <w:top w:val="none" w:sz="0" w:space="0" w:color="auto"/>
              <w:bottom w:val="none" w:sz="0" w:space="0" w:color="auto"/>
            </w:tcBorders>
          </w:tcPr>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530</w:t>
            </w:r>
          </w:p>
        </w:tc>
        <w:tc>
          <w:tcPr>
            <w:tcW w:w="1261" w:type="dxa"/>
            <w:tcBorders>
              <w:top w:val="none" w:sz="0" w:space="0" w:color="auto"/>
              <w:bottom w:val="none" w:sz="0" w:space="0" w:color="auto"/>
            </w:tcBorders>
            <w:shd w:val="clear" w:color="auto" w:fill="95B3D7" w:themeFill="accent1" w:themeFillTint="99"/>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106 </w:t>
            </w:r>
            <w:r w:rsidRPr="00516331">
              <w:rPr>
                <w:rFonts w:asciiTheme="minorHAnsi" w:hAnsiTheme="minorHAnsi" w:cs="Arial"/>
                <w:color w:val="000000" w:themeColor="text1"/>
                <w:sz w:val="20"/>
                <w:szCs w:val="20"/>
              </w:rPr>
              <w:t>per year</w:t>
            </w:r>
          </w:p>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2016-2021)</w:t>
            </w:r>
          </w:p>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18"/>
                <w:szCs w:val="18"/>
              </w:rPr>
            </w:pPr>
          </w:p>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(+ 22 per annum over fifteen years </w:t>
            </w:r>
            <w:r w:rsidRPr="00516331">
              <w:rPr>
                <w:rFonts w:asciiTheme="minorHAnsi" w:hAnsiTheme="minorHAnsi" w:cs="Arial"/>
                <w:color w:val="000000" w:themeColor="text1"/>
                <w:sz w:val="18"/>
                <w:szCs w:val="18"/>
              </w:rPr>
              <w:t>2021-2036</w:t>
            </w:r>
            <w:r w:rsidRPr="00516331">
              <w:rPr>
                <w:rFonts w:asciiTheme="minorHAnsi" w:hAnsiTheme="minorHAnsi" w:cs="Arial"/>
                <w:b/>
                <w:color w:val="000000" w:themeColor="text1"/>
                <w:sz w:val="20"/>
                <w:szCs w:val="20"/>
              </w:rPr>
              <w:t>)</w:t>
            </w: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tc>
      </w:tr>
      <w:tr w:rsidR="00B059CE" w:rsidRPr="00516331" w:rsidTr="009C38C9">
        <w:tc>
          <w:tcPr>
            <w:cnfStyle w:val="001000000000" w:firstRow="0" w:lastRow="0" w:firstColumn="1" w:lastColumn="0" w:oddVBand="0" w:evenVBand="0" w:oddHBand="0" w:evenHBand="0" w:firstRowFirstColumn="0" w:firstRowLastColumn="0" w:lastRowFirstColumn="0" w:lastRowLastColumn="0"/>
            <w:tcW w:w="1069" w:type="dxa"/>
            <w:tcBorders>
              <w:right w:val="none" w:sz="0" w:space="0" w:color="auto"/>
            </w:tcBorders>
            <w:shd w:val="clear" w:color="auto" w:fill="B8CCE4" w:themeFill="accent1" w:themeFillTint="66"/>
          </w:tcPr>
          <w:p w:rsidR="00B059CE" w:rsidRPr="00516331" w:rsidRDefault="00B059CE" w:rsidP="0082676C">
            <w:pPr>
              <w:rPr>
                <w:rFonts w:asciiTheme="minorHAnsi" w:hAnsiTheme="minorHAnsi" w:cs="Arial"/>
                <w:b w:val="0"/>
                <w:color w:val="000000" w:themeColor="text1"/>
                <w:sz w:val="20"/>
                <w:szCs w:val="20"/>
              </w:rPr>
            </w:pPr>
            <w:r w:rsidRPr="00516331">
              <w:rPr>
                <w:rFonts w:asciiTheme="minorHAnsi" w:hAnsiTheme="minorHAnsi" w:cs="Arial"/>
                <w:color w:val="000000" w:themeColor="text1"/>
                <w:sz w:val="20"/>
                <w:szCs w:val="20"/>
              </w:rPr>
              <w:t xml:space="preserve">By </w:t>
            </w:r>
            <w:r w:rsidRPr="00516331">
              <w:rPr>
                <w:rFonts w:asciiTheme="minorHAnsi" w:hAnsiTheme="minorHAnsi" w:cs="Arial"/>
                <w:color w:val="000000" w:themeColor="text1"/>
              </w:rPr>
              <w:t>2026</w:t>
            </w:r>
          </w:p>
          <w:p w:rsidR="00B059CE" w:rsidRPr="00516331" w:rsidRDefault="00B059CE" w:rsidP="0082676C">
            <w:pPr>
              <w:rPr>
                <w:rFonts w:asciiTheme="minorHAnsi" w:hAnsiTheme="minorHAnsi" w:cs="Arial"/>
                <w:b w:val="0"/>
                <w:color w:val="000000" w:themeColor="text1"/>
                <w:sz w:val="20"/>
                <w:szCs w:val="20"/>
              </w:rPr>
            </w:pPr>
          </w:p>
        </w:tc>
        <w:tc>
          <w:tcPr>
            <w:tcW w:w="1005" w:type="dxa"/>
          </w:tcPr>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640</w:t>
            </w: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shd w:val="clear" w:color="auto" w:fill="B8CCE4" w:themeFill="accent1" w:themeFillTint="66"/>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64 </w:t>
            </w:r>
            <w:r w:rsidRPr="00516331">
              <w:rPr>
                <w:rFonts w:asciiTheme="minorHAnsi" w:hAnsiTheme="minorHAnsi" w:cs="Arial"/>
                <w:color w:val="000000" w:themeColor="text1"/>
                <w:sz w:val="20"/>
                <w:szCs w:val="20"/>
              </w:rPr>
              <w:t>per year</w:t>
            </w:r>
          </w:p>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2016-2026)</w:t>
            </w:r>
          </w:p>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18"/>
                <w:szCs w:val="18"/>
              </w:rPr>
            </w:pPr>
          </w:p>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(+ 22 per annum over ten years </w:t>
            </w:r>
            <w:r w:rsidRPr="00516331">
              <w:rPr>
                <w:rFonts w:asciiTheme="minorHAnsi" w:hAnsiTheme="minorHAnsi" w:cs="Arial"/>
                <w:color w:val="000000" w:themeColor="text1"/>
                <w:sz w:val="18"/>
                <w:szCs w:val="18"/>
              </w:rPr>
              <w:t>2026-2036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r>
      <w:tr w:rsidR="00B059CE" w:rsidRPr="00516331" w:rsidTr="009C3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dxa"/>
            <w:tcBorders>
              <w:top w:val="none" w:sz="0" w:space="0" w:color="auto"/>
              <w:bottom w:val="none" w:sz="0" w:space="0" w:color="auto"/>
              <w:right w:val="none" w:sz="0" w:space="0" w:color="auto"/>
            </w:tcBorders>
            <w:shd w:val="clear" w:color="auto" w:fill="DBE5F1" w:themeFill="accent1" w:themeFillTint="33"/>
          </w:tcPr>
          <w:p w:rsidR="00B059CE" w:rsidRPr="00516331" w:rsidRDefault="00B059CE" w:rsidP="0082676C">
            <w:pPr>
              <w:rPr>
                <w:rFonts w:asciiTheme="minorHAnsi" w:hAnsiTheme="minorHAnsi" w:cs="Arial"/>
                <w:b w:val="0"/>
                <w:color w:val="000000" w:themeColor="text1"/>
                <w:sz w:val="20"/>
                <w:szCs w:val="20"/>
              </w:rPr>
            </w:pPr>
            <w:r w:rsidRPr="00516331">
              <w:rPr>
                <w:rFonts w:asciiTheme="minorHAnsi" w:hAnsiTheme="minorHAnsi" w:cs="Arial"/>
                <w:color w:val="000000" w:themeColor="text1"/>
                <w:sz w:val="20"/>
                <w:szCs w:val="20"/>
              </w:rPr>
              <w:t xml:space="preserve">By </w:t>
            </w:r>
            <w:r w:rsidRPr="00516331">
              <w:rPr>
                <w:rFonts w:asciiTheme="minorHAnsi" w:hAnsiTheme="minorHAnsi" w:cs="Arial"/>
                <w:color w:val="000000" w:themeColor="text1"/>
              </w:rPr>
              <w:t>2031</w:t>
            </w:r>
          </w:p>
          <w:p w:rsidR="00B059CE" w:rsidRPr="00516331" w:rsidRDefault="00B059CE" w:rsidP="0082676C">
            <w:pPr>
              <w:rPr>
                <w:rFonts w:asciiTheme="minorHAnsi" w:hAnsiTheme="minorHAnsi" w:cs="Arial"/>
                <w:b w:val="0"/>
                <w:color w:val="000000" w:themeColor="text1"/>
                <w:sz w:val="20"/>
                <w:szCs w:val="20"/>
              </w:rPr>
            </w:pPr>
          </w:p>
        </w:tc>
        <w:tc>
          <w:tcPr>
            <w:tcW w:w="1005" w:type="dxa"/>
            <w:tcBorders>
              <w:top w:val="none" w:sz="0" w:space="0" w:color="auto"/>
              <w:bottom w:val="none" w:sz="0" w:space="0" w:color="auto"/>
            </w:tcBorders>
          </w:tcPr>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750</w:t>
            </w: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tc>
        <w:tc>
          <w:tcPr>
            <w:tcW w:w="1261" w:type="dxa"/>
            <w:tcBorders>
              <w:top w:val="none" w:sz="0" w:space="0" w:color="auto"/>
              <w:bottom w:val="none" w:sz="0" w:space="0" w:color="auto"/>
            </w:tcBorders>
            <w:shd w:val="clear" w:color="auto" w:fill="DBE5F1" w:themeFill="accent1" w:themeFillTint="33"/>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50 </w:t>
            </w:r>
            <w:r w:rsidRPr="00516331">
              <w:rPr>
                <w:rFonts w:asciiTheme="minorHAnsi" w:hAnsiTheme="minorHAnsi" w:cs="Arial"/>
                <w:color w:val="000000" w:themeColor="text1"/>
                <w:sz w:val="20"/>
                <w:szCs w:val="20"/>
              </w:rPr>
              <w:t>per year</w:t>
            </w:r>
          </w:p>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2016-2031)</w:t>
            </w:r>
          </w:p>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18"/>
                <w:szCs w:val="18"/>
              </w:rPr>
            </w:pPr>
          </w:p>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(+ 22 per annum over five years </w:t>
            </w:r>
            <w:r w:rsidRPr="00516331">
              <w:rPr>
                <w:rFonts w:asciiTheme="minorHAnsi" w:hAnsiTheme="minorHAnsi" w:cs="Arial"/>
                <w:color w:val="000000" w:themeColor="text1"/>
                <w:sz w:val="18"/>
                <w:szCs w:val="18"/>
              </w:rPr>
              <w:t>2031-2036</w:t>
            </w:r>
            <w:r w:rsidRPr="00516331">
              <w:rPr>
                <w:rFonts w:asciiTheme="minorHAnsi" w:hAnsiTheme="minorHAnsi" w:cs="Arial"/>
                <w:b/>
                <w:color w:val="000000" w:themeColor="text1"/>
                <w:sz w:val="20"/>
                <w:szCs w:val="20"/>
              </w:rPr>
              <w:t>)</w:t>
            </w:r>
          </w:p>
        </w:tc>
        <w:tc>
          <w:tcPr>
            <w:tcW w:w="1261" w:type="dxa"/>
            <w:tcBorders>
              <w:top w:val="none" w:sz="0" w:space="0" w:color="auto"/>
              <w:bottom w:val="none" w:sz="0" w:space="0" w:color="auto"/>
            </w:tcBorders>
          </w:tcPr>
          <w:p w:rsidR="00B059CE" w:rsidRPr="00516331" w:rsidRDefault="00B059CE" w:rsidP="008267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themeColor="text1"/>
                <w:sz w:val="20"/>
                <w:szCs w:val="20"/>
              </w:rPr>
            </w:pPr>
          </w:p>
        </w:tc>
      </w:tr>
      <w:tr w:rsidR="00B059CE" w:rsidRPr="00516331" w:rsidTr="009C38C9">
        <w:tc>
          <w:tcPr>
            <w:cnfStyle w:val="001000000000" w:firstRow="0" w:lastRow="0" w:firstColumn="1" w:lastColumn="0" w:oddVBand="0" w:evenVBand="0" w:oddHBand="0" w:evenHBand="0" w:firstRowFirstColumn="0" w:firstRowLastColumn="0" w:lastRowFirstColumn="0" w:lastRowLastColumn="0"/>
            <w:tcW w:w="1069" w:type="dxa"/>
            <w:tcBorders>
              <w:right w:val="none" w:sz="0" w:space="0" w:color="auto"/>
            </w:tcBorders>
            <w:shd w:val="clear" w:color="auto" w:fill="E9EFF7"/>
          </w:tcPr>
          <w:p w:rsidR="00B059CE" w:rsidRPr="00516331" w:rsidRDefault="00B059CE" w:rsidP="0082676C">
            <w:pPr>
              <w:rPr>
                <w:rFonts w:asciiTheme="minorHAnsi" w:hAnsiTheme="minorHAnsi" w:cs="Arial"/>
                <w:b w:val="0"/>
                <w:color w:val="000000" w:themeColor="text1"/>
                <w:sz w:val="20"/>
                <w:szCs w:val="20"/>
              </w:rPr>
            </w:pPr>
            <w:r w:rsidRPr="00516331">
              <w:rPr>
                <w:rFonts w:asciiTheme="minorHAnsi" w:hAnsiTheme="minorHAnsi" w:cs="Arial"/>
                <w:color w:val="000000" w:themeColor="text1"/>
                <w:sz w:val="20"/>
                <w:szCs w:val="20"/>
              </w:rPr>
              <w:t xml:space="preserve">By </w:t>
            </w:r>
            <w:r w:rsidRPr="00516331">
              <w:rPr>
                <w:rFonts w:asciiTheme="minorHAnsi" w:hAnsiTheme="minorHAnsi" w:cs="Arial"/>
                <w:color w:val="000000" w:themeColor="text1"/>
              </w:rPr>
              <w:t>2036</w:t>
            </w:r>
          </w:p>
          <w:p w:rsidR="00B059CE" w:rsidRPr="00516331" w:rsidRDefault="00B059CE" w:rsidP="0082676C">
            <w:pPr>
              <w:rPr>
                <w:rFonts w:asciiTheme="minorHAnsi" w:hAnsiTheme="minorHAnsi" w:cs="Arial"/>
                <w:b w:val="0"/>
                <w:color w:val="000000" w:themeColor="text1"/>
                <w:sz w:val="20"/>
                <w:szCs w:val="20"/>
              </w:rPr>
            </w:pPr>
          </w:p>
          <w:p w:rsidR="00B059CE" w:rsidRPr="00516331" w:rsidRDefault="00B059CE" w:rsidP="0082676C">
            <w:pPr>
              <w:rPr>
                <w:rFonts w:asciiTheme="minorHAnsi" w:hAnsiTheme="minorHAnsi" w:cs="Arial"/>
                <w:b w:val="0"/>
                <w:color w:val="000000" w:themeColor="text1"/>
                <w:sz w:val="20"/>
                <w:szCs w:val="20"/>
              </w:rPr>
            </w:pPr>
          </w:p>
        </w:tc>
        <w:tc>
          <w:tcPr>
            <w:tcW w:w="1005" w:type="dxa"/>
          </w:tcPr>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860</w:t>
            </w:r>
          </w:p>
          <w:p w:rsidR="00B059CE" w:rsidRPr="00516331" w:rsidRDefault="00B059CE" w:rsidP="0082676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20"/>
                <w:szCs w:val="20"/>
              </w:rPr>
            </w:pPr>
          </w:p>
        </w:tc>
        <w:tc>
          <w:tcPr>
            <w:tcW w:w="1261" w:type="dxa"/>
            <w:shd w:val="clear" w:color="auto" w:fill="E9EFF7"/>
          </w:tcPr>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43</w:t>
            </w:r>
            <w:r w:rsidRPr="00516331">
              <w:rPr>
                <w:rFonts w:asciiTheme="minorHAnsi" w:hAnsiTheme="minorHAnsi" w:cs="Arial"/>
                <w:color w:val="000000" w:themeColor="text1"/>
                <w:sz w:val="20"/>
                <w:szCs w:val="20"/>
              </w:rPr>
              <w:t xml:space="preserve"> per year</w:t>
            </w:r>
          </w:p>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18"/>
                <w:szCs w:val="18"/>
              </w:rPr>
            </w:pPr>
            <w:r w:rsidRPr="00516331">
              <w:rPr>
                <w:rFonts w:asciiTheme="minorHAnsi" w:hAnsiTheme="minorHAnsi" w:cs="Arial"/>
                <w:color w:val="000000" w:themeColor="text1"/>
                <w:sz w:val="18"/>
                <w:szCs w:val="18"/>
              </w:rPr>
              <w:t>(2016-2036)</w:t>
            </w:r>
          </w:p>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18"/>
                <w:szCs w:val="18"/>
              </w:rPr>
            </w:pPr>
          </w:p>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18"/>
                <w:szCs w:val="18"/>
              </w:rPr>
            </w:pPr>
          </w:p>
          <w:p w:rsidR="00B059CE" w:rsidRPr="00516331" w:rsidRDefault="00B059CE" w:rsidP="0082676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themeColor="text1"/>
                <w:sz w:val="18"/>
                <w:szCs w:val="18"/>
              </w:rPr>
            </w:pPr>
          </w:p>
        </w:tc>
      </w:tr>
    </w:tbl>
    <w:p w:rsidR="00B059CE" w:rsidRDefault="00B059CE" w:rsidP="00B059CE">
      <w:pPr>
        <w:rPr>
          <w:rFonts w:ascii="Arial" w:hAnsi="Arial" w:cs="Arial"/>
          <w:color w:val="000000" w:themeColor="text1"/>
        </w:rPr>
      </w:pPr>
    </w:p>
    <w:tbl>
      <w:tblPr>
        <w:tblStyle w:val="TableGrid"/>
        <w:tblW w:w="0" w:type="auto"/>
        <w:tblLook w:val="04A0" w:firstRow="1" w:lastRow="0" w:firstColumn="1" w:lastColumn="0" w:noHBand="0" w:noVBand="1"/>
      </w:tblPr>
      <w:tblGrid>
        <w:gridCol w:w="1069"/>
        <w:gridCol w:w="1005"/>
        <w:gridCol w:w="1261"/>
        <w:gridCol w:w="1261"/>
        <w:gridCol w:w="1261"/>
        <w:gridCol w:w="1261"/>
      </w:tblGrid>
      <w:tr w:rsidR="00B059CE" w:rsidTr="00630A3D">
        <w:tc>
          <w:tcPr>
            <w:tcW w:w="7118" w:type="dxa"/>
            <w:gridSpan w:val="6"/>
            <w:shd w:val="clear" w:color="auto" w:fill="4F81BD" w:themeFill="accent1"/>
          </w:tcPr>
          <w:p w:rsidR="00B059CE" w:rsidRPr="00516331" w:rsidRDefault="00B059CE" w:rsidP="0082676C">
            <w:pPr>
              <w:rPr>
                <w:rFonts w:asciiTheme="minorHAnsi" w:hAnsiTheme="minorHAnsi" w:cs="Arial"/>
                <w:b/>
                <w:color w:val="FFFFFF" w:themeColor="background1"/>
                <w:sz w:val="22"/>
                <w:szCs w:val="22"/>
              </w:rPr>
            </w:pPr>
            <w:proofErr w:type="gramStart"/>
            <w:r w:rsidRPr="00516331">
              <w:rPr>
                <w:rFonts w:asciiTheme="minorHAnsi" w:hAnsiTheme="minorHAnsi" w:cs="Arial"/>
                <w:b/>
                <w:color w:val="FFFFFF" w:themeColor="background1"/>
                <w:sz w:val="22"/>
                <w:szCs w:val="22"/>
              </w:rPr>
              <w:lastRenderedPageBreak/>
              <w:t>Table  5.2</w:t>
            </w:r>
            <w:proofErr w:type="gramEnd"/>
            <w:r w:rsidRPr="00516331">
              <w:rPr>
                <w:rFonts w:asciiTheme="minorHAnsi" w:hAnsiTheme="minorHAnsi" w:cs="Arial"/>
                <w:b/>
                <w:color w:val="FFFFFF" w:themeColor="background1"/>
                <w:sz w:val="22"/>
                <w:szCs w:val="22"/>
              </w:rPr>
              <w:t xml:space="preserve"> Manningham - social housing need – annual supply required to fully meet need within 5, 10, 15, 20 years</w:t>
            </w:r>
          </w:p>
          <w:p w:rsidR="00B059CE" w:rsidRPr="00516331" w:rsidRDefault="00B059CE" w:rsidP="0082676C">
            <w:pPr>
              <w:rPr>
                <w:rFonts w:asciiTheme="minorHAnsi" w:hAnsiTheme="minorHAnsi" w:cs="Arial"/>
                <w:b/>
                <w:color w:val="000000" w:themeColor="text1"/>
              </w:rPr>
            </w:pPr>
          </w:p>
        </w:tc>
      </w:tr>
      <w:tr w:rsidR="00B059CE" w:rsidTr="0082676C">
        <w:tc>
          <w:tcPr>
            <w:tcW w:w="1069" w:type="dxa"/>
          </w:tcPr>
          <w:p w:rsidR="00B059CE" w:rsidRPr="00516331" w:rsidRDefault="00B059CE" w:rsidP="0082676C">
            <w:pPr>
              <w:rPr>
                <w:rFonts w:asciiTheme="minorHAnsi" w:hAnsiTheme="minorHAnsi" w:cs="Arial"/>
                <w:color w:val="000000" w:themeColor="text1"/>
              </w:rPr>
            </w:pPr>
            <w:r w:rsidRPr="00516331">
              <w:rPr>
                <w:rFonts w:asciiTheme="minorHAnsi" w:hAnsiTheme="minorHAnsi" w:cs="Arial"/>
                <w:color w:val="000000" w:themeColor="text1"/>
              </w:rPr>
              <w:t>Year</w:t>
            </w:r>
          </w:p>
        </w:tc>
        <w:tc>
          <w:tcPr>
            <w:tcW w:w="1005"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Social housing shortfall</w:t>
            </w:r>
          </w:p>
        </w:tc>
        <w:tc>
          <w:tcPr>
            <w:tcW w:w="1261"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5 </w:t>
            </w:r>
            <w:r w:rsidRPr="00516331">
              <w:rPr>
                <w:rFonts w:asciiTheme="minorHAnsi" w:hAnsiTheme="minorHAnsi" w:cs="Arial"/>
                <w:b/>
                <w:color w:val="000000" w:themeColor="text1"/>
                <w:sz w:val="20"/>
                <w:szCs w:val="20"/>
              </w:rPr>
              <w:t>years, 2016-2021)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10 </w:t>
            </w:r>
            <w:r w:rsidRPr="00516331">
              <w:rPr>
                <w:rFonts w:asciiTheme="minorHAnsi" w:hAnsiTheme="minorHAnsi" w:cs="Arial"/>
                <w:b/>
                <w:color w:val="000000" w:themeColor="text1"/>
                <w:sz w:val="20"/>
                <w:szCs w:val="20"/>
              </w:rPr>
              <w:t>years, 2016-2026</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15 </w:t>
            </w:r>
            <w:r w:rsidRPr="00516331">
              <w:rPr>
                <w:rFonts w:asciiTheme="minorHAnsi" w:hAnsiTheme="minorHAnsi" w:cs="Arial"/>
                <w:b/>
                <w:color w:val="000000" w:themeColor="text1"/>
                <w:sz w:val="20"/>
                <w:szCs w:val="20"/>
              </w:rPr>
              <w:t>years, 2016-2031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20 </w:t>
            </w:r>
            <w:r w:rsidRPr="00516331">
              <w:rPr>
                <w:rFonts w:asciiTheme="minorHAnsi" w:hAnsiTheme="minorHAnsi" w:cs="Arial"/>
                <w:b/>
                <w:color w:val="000000" w:themeColor="text1"/>
                <w:sz w:val="20"/>
                <w:szCs w:val="20"/>
              </w:rPr>
              <w:t>years, 2016-2036</w:t>
            </w:r>
          </w:p>
        </w:tc>
      </w:tr>
      <w:tr w:rsidR="00B059CE" w:rsidTr="0082676C">
        <w:tc>
          <w:tcPr>
            <w:tcW w:w="1069"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Current (in 2016)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1630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630A3D">
        <w:tc>
          <w:tcPr>
            <w:tcW w:w="1069" w:type="dxa"/>
            <w:shd w:val="clear" w:color="auto" w:fill="95B3D7" w:themeFill="accent1" w:themeFillTint="99"/>
          </w:tcPr>
          <w:p w:rsidR="00B059CE" w:rsidRPr="00516331" w:rsidRDefault="00B059CE" w:rsidP="0082676C">
            <w:pPr>
              <w:rPr>
                <w:rFonts w:asciiTheme="minorHAnsi" w:hAnsiTheme="minorHAnsi" w:cs="Arial"/>
                <w:b/>
                <w:color w:val="000000" w:themeColor="text1"/>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1810</w:t>
            </w:r>
          </w:p>
        </w:tc>
        <w:tc>
          <w:tcPr>
            <w:tcW w:w="1261" w:type="dxa"/>
            <w:shd w:val="clear" w:color="auto" w:fill="95B3D7" w:themeFill="accent1" w:themeFillTint="99"/>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362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(+ 25 per annum over fifteen years </w:t>
            </w:r>
            <w:r w:rsidRPr="00516331">
              <w:rPr>
                <w:rFonts w:asciiTheme="minorHAnsi" w:hAnsiTheme="minorHAnsi" w:cs="Arial"/>
                <w:color w:val="000000" w:themeColor="text1"/>
                <w:sz w:val="18"/>
                <w:szCs w:val="18"/>
              </w:rPr>
              <w:t>2021-2036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630A3D">
        <w:tc>
          <w:tcPr>
            <w:tcW w:w="1069" w:type="dxa"/>
            <w:shd w:val="clear" w:color="auto" w:fill="B8CCE4" w:themeFill="accent1" w:themeFillTint="66"/>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2026</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1930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B8CCE4" w:themeFill="accent1" w:themeFillTint="66"/>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193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(+ 26 per annum over ten years </w:t>
            </w:r>
            <w:r w:rsidRPr="00516331">
              <w:rPr>
                <w:rFonts w:asciiTheme="minorHAnsi" w:hAnsiTheme="minorHAnsi" w:cs="Arial"/>
                <w:color w:val="000000" w:themeColor="text1"/>
                <w:sz w:val="18"/>
                <w:szCs w:val="18"/>
              </w:rPr>
              <w:t>2026-2036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630A3D">
        <w:tc>
          <w:tcPr>
            <w:tcW w:w="1069" w:type="dxa"/>
            <w:shd w:val="clear" w:color="auto" w:fill="DBE5F1" w:themeFill="accent1" w:themeFillTint="33"/>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2040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DBE5F1" w:themeFill="accent1" w:themeFillTint="33"/>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136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2016-2031)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(+ 30 per annum over five years </w:t>
            </w:r>
            <w:r w:rsidRPr="00516331">
              <w:rPr>
                <w:rFonts w:asciiTheme="minorHAnsi" w:hAnsiTheme="minorHAnsi" w:cs="Arial"/>
                <w:color w:val="000000" w:themeColor="text1"/>
                <w:sz w:val="18"/>
                <w:szCs w:val="18"/>
              </w:rPr>
              <w:t>2031-2036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E9EFF7"/>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2190</w:t>
            </w:r>
          </w:p>
          <w:p w:rsidR="00B059CE" w:rsidRPr="00516331" w:rsidRDefault="00B059CE" w:rsidP="0082676C">
            <w:pPr>
              <w:jc w:val="cente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E9EFF7"/>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110</w:t>
            </w:r>
            <w:r w:rsidRPr="00516331">
              <w:rPr>
                <w:rFonts w:asciiTheme="minorHAnsi" w:hAnsiTheme="minorHAnsi" w:cs="Arial"/>
                <w:color w:val="000000" w:themeColor="text1"/>
                <w:sz w:val="20"/>
                <w:szCs w:val="20"/>
              </w:rPr>
              <w:t xml:space="preserve"> 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18"/>
                <w:szCs w:val="18"/>
              </w:rPr>
              <w:t>(2016-2036)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18"/>
                <w:szCs w:val="18"/>
              </w:rPr>
            </w:pPr>
          </w:p>
        </w:tc>
      </w:tr>
      <w:tr w:rsidR="00B059CE" w:rsidTr="00630A3D">
        <w:tc>
          <w:tcPr>
            <w:tcW w:w="7118" w:type="dxa"/>
            <w:gridSpan w:val="6"/>
            <w:shd w:val="clear" w:color="auto" w:fill="4F81BD" w:themeFill="accent1"/>
          </w:tcPr>
          <w:p w:rsidR="00B059CE" w:rsidRPr="00516331" w:rsidRDefault="00B059CE" w:rsidP="0082676C">
            <w:pPr>
              <w:rPr>
                <w:rFonts w:asciiTheme="minorHAnsi" w:hAnsiTheme="minorHAnsi" w:cs="Arial"/>
                <w:b/>
                <w:color w:val="FFFFFF" w:themeColor="background1"/>
                <w:sz w:val="22"/>
                <w:szCs w:val="22"/>
              </w:rPr>
            </w:pPr>
            <w:proofErr w:type="gramStart"/>
            <w:r w:rsidRPr="00516331">
              <w:rPr>
                <w:rFonts w:asciiTheme="minorHAnsi" w:hAnsiTheme="minorHAnsi" w:cs="Arial"/>
                <w:b/>
                <w:color w:val="FFFFFF" w:themeColor="background1"/>
                <w:sz w:val="22"/>
                <w:szCs w:val="22"/>
              </w:rPr>
              <w:lastRenderedPageBreak/>
              <w:t>Table  5.3</w:t>
            </w:r>
            <w:proofErr w:type="gramEnd"/>
            <w:r w:rsidRPr="00516331">
              <w:rPr>
                <w:rFonts w:asciiTheme="minorHAnsi" w:hAnsiTheme="minorHAnsi" w:cs="Arial"/>
                <w:b/>
                <w:color w:val="FFFFFF" w:themeColor="background1"/>
                <w:sz w:val="22"/>
                <w:szCs w:val="22"/>
              </w:rPr>
              <w:t xml:space="preserve"> Maroondah - social housing need – annual supply required to fully meet need within 5, 10, 15, 20, </w:t>
            </w:r>
            <w:r w:rsidRPr="00516331">
              <w:rPr>
                <w:rFonts w:asciiTheme="minorHAnsi" w:hAnsiTheme="minorHAnsi" w:cs="Arial"/>
                <w:b/>
                <w:color w:val="FF0000"/>
                <w:sz w:val="22"/>
                <w:szCs w:val="22"/>
              </w:rPr>
              <w:t>25</w:t>
            </w:r>
            <w:r w:rsidRPr="00516331">
              <w:rPr>
                <w:rFonts w:asciiTheme="minorHAnsi" w:hAnsiTheme="minorHAnsi" w:cs="Arial"/>
                <w:b/>
                <w:color w:val="FFFFFF" w:themeColor="background1"/>
                <w:sz w:val="22"/>
                <w:szCs w:val="22"/>
              </w:rPr>
              <w:t xml:space="preserve"> years</w:t>
            </w:r>
          </w:p>
          <w:p w:rsidR="00B059CE" w:rsidRPr="00516331" w:rsidRDefault="00B059CE" w:rsidP="0082676C">
            <w:pPr>
              <w:rPr>
                <w:rFonts w:asciiTheme="minorHAnsi" w:hAnsiTheme="minorHAnsi" w:cs="Arial"/>
                <w:b/>
                <w:color w:val="000000" w:themeColor="text1"/>
              </w:rPr>
            </w:pPr>
          </w:p>
        </w:tc>
      </w:tr>
      <w:tr w:rsidR="00B059CE" w:rsidTr="0082676C">
        <w:tc>
          <w:tcPr>
            <w:tcW w:w="1069" w:type="dxa"/>
          </w:tcPr>
          <w:p w:rsidR="00B059CE" w:rsidRPr="00516331" w:rsidRDefault="00B059CE" w:rsidP="0082676C">
            <w:pPr>
              <w:rPr>
                <w:rFonts w:asciiTheme="minorHAnsi" w:hAnsiTheme="minorHAnsi" w:cs="Arial"/>
                <w:color w:val="000000" w:themeColor="text1"/>
              </w:rPr>
            </w:pPr>
            <w:r w:rsidRPr="00516331">
              <w:rPr>
                <w:rFonts w:asciiTheme="minorHAnsi" w:hAnsiTheme="minorHAnsi" w:cs="Arial"/>
                <w:color w:val="000000" w:themeColor="text1"/>
              </w:rPr>
              <w:t>Year</w:t>
            </w:r>
          </w:p>
        </w:tc>
        <w:tc>
          <w:tcPr>
            <w:tcW w:w="1005"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Social housing shortfall</w:t>
            </w:r>
          </w:p>
        </w:tc>
        <w:tc>
          <w:tcPr>
            <w:tcW w:w="1261"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5 </w:t>
            </w:r>
            <w:r w:rsidRPr="00516331">
              <w:rPr>
                <w:rFonts w:asciiTheme="minorHAnsi" w:hAnsiTheme="minorHAnsi" w:cs="Arial"/>
                <w:b/>
                <w:color w:val="000000" w:themeColor="text1"/>
                <w:sz w:val="20"/>
                <w:szCs w:val="20"/>
              </w:rPr>
              <w:t>years, 2016-2021)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10 </w:t>
            </w:r>
            <w:r w:rsidRPr="00516331">
              <w:rPr>
                <w:rFonts w:asciiTheme="minorHAnsi" w:hAnsiTheme="minorHAnsi" w:cs="Arial"/>
                <w:b/>
                <w:color w:val="000000" w:themeColor="text1"/>
                <w:sz w:val="20"/>
                <w:szCs w:val="20"/>
              </w:rPr>
              <w:t>years, 2016-2026</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15 </w:t>
            </w:r>
            <w:r w:rsidRPr="00516331">
              <w:rPr>
                <w:rFonts w:asciiTheme="minorHAnsi" w:hAnsiTheme="minorHAnsi" w:cs="Arial"/>
                <w:b/>
                <w:color w:val="000000" w:themeColor="text1"/>
                <w:sz w:val="20"/>
                <w:szCs w:val="20"/>
              </w:rPr>
              <w:t>years, 2016-2031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20 </w:t>
            </w:r>
            <w:r w:rsidRPr="00516331">
              <w:rPr>
                <w:rFonts w:asciiTheme="minorHAnsi" w:hAnsiTheme="minorHAnsi" w:cs="Arial"/>
                <w:b/>
                <w:color w:val="000000" w:themeColor="text1"/>
                <w:sz w:val="20"/>
                <w:szCs w:val="20"/>
              </w:rPr>
              <w:t>years, 2016-2036</w:t>
            </w:r>
          </w:p>
        </w:tc>
      </w:tr>
      <w:tr w:rsidR="00B059CE" w:rsidTr="0082676C">
        <w:tc>
          <w:tcPr>
            <w:tcW w:w="1069"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Current (in 2016)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130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630A3D">
        <w:tc>
          <w:tcPr>
            <w:tcW w:w="1069" w:type="dxa"/>
            <w:shd w:val="clear" w:color="auto" w:fill="95B3D7" w:themeFill="accent1" w:themeFillTint="99"/>
          </w:tcPr>
          <w:p w:rsidR="00B059CE" w:rsidRPr="00516331" w:rsidRDefault="00B059CE" w:rsidP="0082676C">
            <w:pPr>
              <w:rPr>
                <w:rFonts w:asciiTheme="minorHAnsi" w:hAnsiTheme="minorHAnsi" w:cs="Arial"/>
                <w:b/>
                <w:color w:val="000000" w:themeColor="text1"/>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230</w:t>
            </w:r>
          </w:p>
        </w:tc>
        <w:tc>
          <w:tcPr>
            <w:tcW w:w="1261" w:type="dxa"/>
            <w:shd w:val="clear" w:color="auto" w:fill="95B3D7" w:themeFill="accent1" w:themeFillTint="99"/>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46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(+ 18 per annum over fifteen years </w:t>
            </w:r>
            <w:r w:rsidRPr="00516331">
              <w:rPr>
                <w:rFonts w:asciiTheme="minorHAnsi" w:hAnsiTheme="minorHAnsi" w:cs="Arial"/>
                <w:color w:val="000000" w:themeColor="text1"/>
                <w:sz w:val="18"/>
                <w:szCs w:val="18"/>
              </w:rPr>
              <w:t>2021-2036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630A3D">
        <w:tc>
          <w:tcPr>
            <w:tcW w:w="1069" w:type="dxa"/>
            <w:shd w:val="clear" w:color="auto" w:fill="B8CCE4" w:themeFill="accent1" w:themeFillTint="66"/>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2026</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320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B8CCE4" w:themeFill="accent1" w:themeFillTint="66"/>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32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(+ 18 per annum over ten years </w:t>
            </w:r>
            <w:r w:rsidRPr="00516331">
              <w:rPr>
                <w:rFonts w:asciiTheme="minorHAnsi" w:hAnsiTheme="minorHAnsi" w:cs="Arial"/>
                <w:color w:val="000000" w:themeColor="text1"/>
                <w:sz w:val="18"/>
                <w:szCs w:val="18"/>
              </w:rPr>
              <w:t>2026-2036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630A3D">
        <w:tc>
          <w:tcPr>
            <w:tcW w:w="1069" w:type="dxa"/>
            <w:shd w:val="clear" w:color="auto" w:fill="DBE5F1" w:themeFill="accent1" w:themeFillTint="33"/>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410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DBE5F1" w:themeFill="accent1" w:themeFillTint="33"/>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27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2016-2031)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(+19 per annum over five years </w:t>
            </w:r>
            <w:r w:rsidRPr="00516331">
              <w:rPr>
                <w:rFonts w:asciiTheme="minorHAnsi" w:hAnsiTheme="minorHAnsi" w:cs="Arial"/>
                <w:color w:val="000000" w:themeColor="text1"/>
                <w:sz w:val="18"/>
                <w:szCs w:val="18"/>
              </w:rPr>
              <w:t>2031-2036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E9EFF7"/>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500</w:t>
            </w:r>
          </w:p>
          <w:p w:rsidR="00B059CE" w:rsidRPr="00516331" w:rsidRDefault="00B059CE" w:rsidP="0082676C">
            <w:pPr>
              <w:jc w:val="cente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E9EFF7"/>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25</w:t>
            </w:r>
            <w:r w:rsidRPr="00516331">
              <w:rPr>
                <w:rFonts w:asciiTheme="minorHAnsi" w:hAnsiTheme="minorHAnsi" w:cs="Arial"/>
                <w:color w:val="000000" w:themeColor="text1"/>
                <w:sz w:val="20"/>
                <w:szCs w:val="20"/>
              </w:rPr>
              <w:t xml:space="preserve"> 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18"/>
                <w:szCs w:val="18"/>
              </w:rPr>
              <w:t>(2016-2036)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18"/>
                <w:szCs w:val="18"/>
              </w:rPr>
            </w:pPr>
          </w:p>
        </w:tc>
      </w:tr>
      <w:tr w:rsidR="00B059CE" w:rsidTr="009C38C9">
        <w:tc>
          <w:tcPr>
            <w:tcW w:w="7118" w:type="dxa"/>
            <w:gridSpan w:val="6"/>
            <w:shd w:val="clear" w:color="auto" w:fill="4F81BD" w:themeFill="accent1"/>
          </w:tcPr>
          <w:p w:rsidR="00B059CE" w:rsidRPr="00516331" w:rsidRDefault="00B059CE" w:rsidP="0082676C">
            <w:pPr>
              <w:rPr>
                <w:rFonts w:asciiTheme="minorHAnsi" w:hAnsiTheme="minorHAnsi" w:cs="Arial"/>
                <w:b/>
                <w:color w:val="FFFFFF" w:themeColor="background1"/>
                <w:sz w:val="22"/>
                <w:szCs w:val="22"/>
              </w:rPr>
            </w:pPr>
            <w:proofErr w:type="gramStart"/>
            <w:r w:rsidRPr="00516331">
              <w:rPr>
                <w:rFonts w:asciiTheme="minorHAnsi" w:hAnsiTheme="minorHAnsi" w:cs="Arial"/>
                <w:b/>
                <w:color w:val="FFFFFF" w:themeColor="background1"/>
                <w:sz w:val="22"/>
                <w:szCs w:val="22"/>
              </w:rPr>
              <w:lastRenderedPageBreak/>
              <w:t>Table  5.4</w:t>
            </w:r>
            <w:proofErr w:type="gramEnd"/>
            <w:r w:rsidRPr="00516331">
              <w:rPr>
                <w:rFonts w:asciiTheme="minorHAnsi" w:hAnsiTheme="minorHAnsi" w:cs="Arial"/>
                <w:b/>
                <w:color w:val="FFFFFF" w:themeColor="background1"/>
                <w:sz w:val="22"/>
                <w:szCs w:val="22"/>
              </w:rPr>
              <w:t xml:space="preserve"> Monash - social housing need – annual supply required to fully meet need within 5, 10, 15, 20  years</w:t>
            </w:r>
          </w:p>
          <w:p w:rsidR="00B059CE" w:rsidRPr="00516331" w:rsidRDefault="00B059CE" w:rsidP="0082676C">
            <w:pPr>
              <w:rPr>
                <w:rFonts w:asciiTheme="minorHAnsi" w:hAnsiTheme="minorHAnsi" w:cs="Arial"/>
                <w:b/>
                <w:color w:val="000000" w:themeColor="text1"/>
              </w:rPr>
            </w:pPr>
          </w:p>
        </w:tc>
      </w:tr>
      <w:tr w:rsidR="00B059CE" w:rsidTr="0082676C">
        <w:tc>
          <w:tcPr>
            <w:tcW w:w="1069" w:type="dxa"/>
          </w:tcPr>
          <w:p w:rsidR="00B059CE" w:rsidRPr="00516331" w:rsidRDefault="00B059CE" w:rsidP="0082676C">
            <w:pPr>
              <w:rPr>
                <w:rFonts w:asciiTheme="minorHAnsi" w:hAnsiTheme="minorHAnsi" w:cs="Arial"/>
                <w:color w:val="000000" w:themeColor="text1"/>
              </w:rPr>
            </w:pPr>
            <w:r w:rsidRPr="00516331">
              <w:rPr>
                <w:rFonts w:asciiTheme="minorHAnsi" w:hAnsiTheme="minorHAnsi" w:cs="Arial"/>
                <w:color w:val="000000" w:themeColor="text1"/>
              </w:rPr>
              <w:t>Year</w:t>
            </w:r>
          </w:p>
        </w:tc>
        <w:tc>
          <w:tcPr>
            <w:tcW w:w="1005"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Social housing shortfall</w:t>
            </w:r>
          </w:p>
        </w:tc>
        <w:tc>
          <w:tcPr>
            <w:tcW w:w="1261"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5 </w:t>
            </w:r>
            <w:r w:rsidRPr="00516331">
              <w:rPr>
                <w:rFonts w:asciiTheme="minorHAnsi" w:hAnsiTheme="minorHAnsi" w:cs="Arial"/>
                <w:b/>
                <w:color w:val="000000" w:themeColor="text1"/>
                <w:sz w:val="20"/>
                <w:szCs w:val="20"/>
              </w:rPr>
              <w:t>years, 2016-2021)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10 </w:t>
            </w:r>
            <w:r w:rsidRPr="00516331">
              <w:rPr>
                <w:rFonts w:asciiTheme="minorHAnsi" w:hAnsiTheme="minorHAnsi" w:cs="Arial"/>
                <w:b/>
                <w:color w:val="000000" w:themeColor="text1"/>
                <w:sz w:val="20"/>
                <w:szCs w:val="20"/>
              </w:rPr>
              <w:t>years, 2016-2026</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15 </w:t>
            </w:r>
            <w:r w:rsidRPr="00516331">
              <w:rPr>
                <w:rFonts w:asciiTheme="minorHAnsi" w:hAnsiTheme="minorHAnsi" w:cs="Arial"/>
                <w:b/>
                <w:color w:val="000000" w:themeColor="text1"/>
                <w:sz w:val="20"/>
                <w:szCs w:val="20"/>
              </w:rPr>
              <w:t>years, 2016-2031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20 </w:t>
            </w:r>
            <w:r w:rsidRPr="00516331">
              <w:rPr>
                <w:rFonts w:asciiTheme="minorHAnsi" w:hAnsiTheme="minorHAnsi" w:cs="Arial"/>
                <w:b/>
                <w:color w:val="000000" w:themeColor="text1"/>
                <w:sz w:val="20"/>
                <w:szCs w:val="20"/>
              </w:rPr>
              <w:t>years, 2016-2036</w:t>
            </w:r>
          </w:p>
        </w:tc>
      </w:tr>
      <w:tr w:rsidR="00B059CE" w:rsidTr="0082676C">
        <w:tc>
          <w:tcPr>
            <w:tcW w:w="1069"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Current (in 2016)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2820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95B3D7" w:themeFill="accent1" w:themeFillTint="99"/>
          </w:tcPr>
          <w:p w:rsidR="00B059CE" w:rsidRPr="00516331" w:rsidRDefault="00B059CE" w:rsidP="0082676C">
            <w:pPr>
              <w:rPr>
                <w:rFonts w:asciiTheme="minorHAnsi" w:hAnsiTheme="minorHAnsi" w:cs="Arial"/>
                <w:b/>
                <w:color w:val="000000" w:themeColor="text1"/>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3070</w:t>
            </w:r>
          </w:p>
        </w:tc>
        <w:tc>
          <w:tcPr>
            <w:tcW w:w="1261" w:type="dxa"/>
            <w:shd w:val="clear" w:color="auto" w:fill="95B3D7" w:themeFill="accent1" w:themeFillTint="99"/>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615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(+37 per annum over fifteen years </w:t>
            </w:r>
            <w:r w:rsidRPr="00516331">
              <w:rPr>
                <w:rFonts w:asciiTheme="minorHAnsi" w:hAnsiTheme="minorHAnsi" w:cs="Arial"/>
                <w:color w:val="000000" w:themeColor="text1"/>
                <w:sz w:val="18"/>
                <w:szCs w:val="18"/>
              </w:rPr>
              <w:t>2021-2036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B8CCE4" w:themeFill="accent1" w:themeFillTint="66"/>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2026</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3260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B8CCE4" w:themeFill="accent1" w:themeFillTint="66"/>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326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(+37 per annum over ten years </w:t>
            </w:r>
            <w:r w:rsidRPr="00516331">
              <w:rPr>
                <w:rFonts w:asciiTheme="minorHAnsi" w:hAnsiTheme="minorHAnsi" w:cs="Arial"/>
                <w:color w:val="000000" w:themeColor="text1"/>
                <w:sz w:val="18"/>
                <w:szCs w:val="18"/>
              </w:rPr>
              <w:t>2026-2036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DBE5F1" w:themeFill="accent1" w:themeFillTint="33"/>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3440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DBE5F1" w:themeFill="accent1" w:themeFillTint="33"/>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229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2016-2031)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(+39 per annum over five years </w:t>
            </w:r>
            <w:r w:rsidRPr="00516331">
              <w:rPr>
                <w:rFonts w:asciiTheme="minorHAnsi" w:hAnsiTheme="minorHAnsi" w:cs="Arial"/>
                <w:color w:val="000000" w:themeColor="text1"/>
                <w:sz w:val="18"/>
                <w:szCs w:val="18"/>
              </w:rPr>
              <w:t>2031-2036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E9EFF7"/>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3630</w:t>
            </w:r>
          </w:p>
          <w:p w:rsidR="00B059CE" w:rsidRPr="00516331" w:rsidRDefault="00B059CE" w:rsidP="0082676C">
            <w:pPr>
              <w:jc w:val="cente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E9EFF7"/>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181</w:t>
            </w:r>
            <w:r w:rsidRPr="00516331">
              <w:rPr>
                <w:rFonts w:asciiTheme="minorHAnsi" w:hAnsiTheme="minorHAnsi" w:cs="Arial"/>
                <w:color w:val="000000" w:themeColor="text1"/>
                <w:sz w:val="20"/>
                <w:szCs w:val="20"/>
              </w:rPr>
              <w:t xml:space="preserve"> 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18"/>
                <w:szCs w:val="18"/>
              </w:rPr>
              <w:t>(2016-2036)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18"/>
                <w:szCs w:val="18"/>
              </w:rPr>
            </w:pPr>
          </w:p>
        </w:tc>
      </w:tr>
      <w:tr w:rsidR="00B059CE" w:rsidTr="009C38C9">
        <w:tc>
          <w:tcPr>
            <w:tcW w:w="7118" w:type="dxa"/>
            <w:gridSpan w:val="6"/>
            <w:shd w:val="clear" w:color="auto" w:fill="4F81BD" w:themeFill="accent1"/>
          </w:tcPr>
          <w:p w:rsidR="00B059CE" w:rsidRPr="00516331" w:rsidRDefault="00B059CE" w:rsidP="0082676C">
            <w:pPr>
              <w:rPr>
                <w:rFonts w:asciiTheme="minorHAnsi" w:hAnsiTheme="minorHAnsi" w:cs="Arial"/>
                <w:b/>
                <w:color w:val="FFFFFF" w:themeColor="background1"/>
                <w:sz w:val="22"/>
                <w:szCs w:val="22"/>
              </w:rPr>
            </w:pPr>
            <w:r w:rsidRPr="00516331">
              <w:rPr>
                <w:rFonts w:asciiTheme="minorHAnsi" w:hAnsiTheme="minorHAnsi" w:cs="Arial"/>
                <w:b/>
              </w:rPr>
              <w:lastRenderedPageBreak/>
              <w:br w:type="page"/>
            </w:r>
            <w:proofErr w:type="gramStart"/>
            <w:r w:rsidRPr="00516331">
              <w:rPr>
                <w:rFonts w:asciiTheme="minorHAnsi" w:hAnsiTheme="minorHAnsi" w:cs="Arial"/>
                <w:b/>
                <w:color w:val="FFFFFF" w:themeColor="background1"/>
                <w:sz w:val="22"/>
                <w:szCs w:val="22"/>
              </w:rPr>
              <w:t>Table  5.5</w:t>
            </w:r>
            <w:proofErr w:type="gramEnd"/>
            <w:r w:rsidRPr="00516331">
              <w:rPr>
                <w:rFonts w:asciiTheme="minorHAnsi" w:hAnsiTheme="minorHAnsi" w:cs="Arial"/>
                <w:b/>
                <w:color w:val="FFFFFF" w:themeColor="background1"/>
                <w:sz w:val="22"/>
                <w:szCs w:val="22"/>
              </w:rPr>
              <w:t xml:space="preserve"> Whitehorse- social housing need – annual supply required to fully meet need within 5, 10, 15, 20 years</w:t>
            </w:r>
          </w:p>
          <w:p w:rsidR="00B059CE" w:rsidRPr="00516331" w:rsidRDefault="00B059CE" w:rsidP="0082676C">
            <w:pPr>
              <w:rPr>
                <w:rFonts w:asciiTheme="minorHAnsi" w:hAnsiTheme="minorHAnsi" w:cs="Arial"/>
                <w:b/>
                <w:color w:val="000000" w:themeColor="text1"/>
              </w:rPr>
            </w:pPr>
          </w:p>
        </w:tc>
      </w:tr>
      <w:tr w:rsidR="00B059CE" w:rsidTr="0082676C">
        <w:tc>
          <w:tcPr>
            <w:tcW w:w="1069" w:type="dxa"/>
          </w:tcPr>
          <w:p w:rsidR="00B059CE" w:rsidRPr="00516331" w:rsidRDefault="00B059CE" w:rsidP="0082676C">
            <w:pPr>
              <w:rPr>
                <w:rFonts w:asciiTheme="minorHAnsi" w:hAnsiTheme="minorHAnsi" w:cs="Arial"/>
                <w:color w:val="000000" w:themeColor="text1"/>
              </w:rPr>
            </w:pPr>
            <w:r w:rsidRPr="00516331">
              <w:rPr>
                <w:rFonts w:asciiTheme="minorHAnsi" w:hAnsiTheme="minorHAnsi" w:cs="Arial"/>
                <w:color w:val="000000" w:themeColor="text1"/>
              </w:rPr>
              <w:t>Year</w:t>
            </w:r>
          </w:p>
        </w:tc>
        <w:tc>
          <w:tcPr>
            <w:tcW w:w="1005"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Social housing shortfall</w:t>
            </w:r>
          </w:p>
        </w:tc>
        <w:tc>
          <w:tcPr>
            <w:tcW w:w="1261"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5 </w:t>
            </w:r>
            <w:r w:rsidRPr="00516331">
              <w:rPr>
                <w:rFonts w:asciiTheme="minorHAnsi" w:hAnsiTheme="minorHAnsi" w:cs="Arial"/>
                <w:b/>
                <w:color w:val="000000" w:themeColor="text1"/>
                <w:sz w:val="20"/>
                <w:szCs w:val="20"/>
              </w:rPr>
              <w:t>years, 2016-2021)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10 </w:t>
            </w:r>
            <w:r w:rsidRPr="00516331">
              <w:rPr>
                <w:rFonts w:asciiTheme="minorHAnsi" w:hAnsiTheme="minorHAnsi" w:cs="Arial"/>
                <w:b/>
                <w:color w:val="000000" w:themeColor="text1"/>
                <w:sz w:val="20"/>
                <w:szCs w:val="20"/>
              </w:rPr>
              <w:t>years, 2016-2026</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15 </w:t>
            </w:r>
            <w:r w:rsidRPr="00516331">
              <w:rPr>
                <w:rFonts w:asciiTheme="minorHAnsi" w:hAnsiTheme="minorHAnsi" w:cs="Arial"/>
                <w:b/>
                <w:color w:val="000000" w:themeColor="text1"/>
                <w:sz w:val="20"/>
                <w:szCs w:val="20"/>
              </w:rPr>
              <w:t>years, 2016-2031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20 </w:t>
            </w:r>
            <w:r w:rsidRPr="00516331">
              <w:rPr>
                <w:rFonts w:asciiTheme="minorHAnsi" w:hAnsiTheme="minorHAnsi" w:cs="Arial"/>
                <w:b/>
                <w:color w:val="000000" w:themeColor="text1"/>
                <w:sz w:val="20"/>
                <w:szCs w:val="20"/>
              </w:rPr>
              <w:t>years, 2016-2036</w:t>
            </w:r>
          </w:p>
        </w:tc>
      </w:tr>
      <w:tr w:rsidR="00B059CE" w:rsidTr="0082676C">
        <w:tc>
          <w:tcPr>
            <w:tcW w:w="1069"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Current (in 2016)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2350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95B3D7" w:themeFill="accent1" w:themeFillTint="99"/>
          </w:tcPr>
          <w:p w:rsidR="00B059CE" w:rsidRPr="00516331" w:rsidRDefault="00B059CE" w:rsidP="0082676C">
            <w:pPr>
              <w:rPr>
                <w:rFonts w:asciiTheme="minorHAnsi" w:hAnsiTheme="minorHAnsi" w:cs="Arial"/>
                <w:b/>
                <w:color w:val="000000" w:themeColor="text1"/>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2660</w:t>
            </w:r>
          </w:p>
        </w:tc>
        <w:tc>
          <w:tcPr>
            <w:tcW w:w="1261" w:type="dxa"/>
            <w:shd w:val="clear" w:color="auto" w:fill="95B3D7" w:themeFill="accent1" w:themeFillTint="99"/>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532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(+ 42 per annum over fifteen years </w:t>
            </w:r>
            <w:r w:rsidRPr="00516331">
              <w:rPr>
                <w:rFonts w:asciiTheme="minorHAnsi" w:hAnsiTheme="minorHAnsi" w:cs="Arial"/>
                <w:color w:val="000000" w:themeColor="text1"/>
                <w:sz w:val="18"/>
                <w:szCs w:val="18"/>
              </w:rPr>
              <w:t>2021-2036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B8CCE4" w:themeFill="accent1" w:themeFillTint="66"/>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2026</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2890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B8CCE4" w:themeFill="accent1" w:themeFillTint="66"/>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289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(+ 40 per annum over ten years </w:t>
            </w:r>
            <w:r w:rsidRPr="00516331">
              <w:rPr>
                <w:rFonts w:asciiTheme="minorHAnsi" w:hAnsiTheme="minorHAnsi" w:cs="Arial"/>
                <w:color w:val="000000" w:themeColor="text1"/>
                <w:sz w:val="18"/>
                <w:szCs w:val="18"/>
              </w:rPr>
              <w:t>2026-2036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DBE5F1" w:themeFill="accent1" w:themeFillTint="33"/>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3090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DBE5F1" w:themeFill="accent1" w:themeFillTint="33"/>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206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2016-2031)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(+ 40 per annum over five years </w:t>
            </w:r>
            <w:r w:rsidRPr="00516331">
              <w:rPr>
                <w:rFonts w:asciiTheme="minorHAnsi" w:hAnsiTheme="minorHAnsi" w:cs="Arial"/>
                <w:color w:val="000000" w:themeColor="text1"/>
                <w:sz w:val="18"/>
                <w:szCs w:val="18"/>
              </w:rPr>
              <w:t>2031-2036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E9EFF7"/>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3290</w:t>
            </w:r>
          </w:p>
          <w:p w:rsidR="00B059CE" w:rsidRPr="00516331" w:rsidRDefault="00B059CE" w:rsidP="0082676C">
            <w:pPr>
              <w:jc w:val="cente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E9EFF7"/>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165</w:t>
            </w:r>
            <w:r w:rsidRPr="00516331">
              <w:rPr>
                <w:rFonts w:asciiTheme="minorHAnsi" w:hAnsiTheme="minorHAnsi" w:cs="Arial"/>
                <w:color w:val="000000" w:themeColor="text1"/>
                <w:sz w:val="20"/>
                <w:szCs w:val="20"/>
              </w:rPr>
              <w:t xml:space="preserve"> 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18"/>
                <w:szCs w:val="18"/>
              </w:rPr>
              <w:t>(2016-2036)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18"/>
                <w:szCs w:val="18"/>
              </w:rPr>
            </w:pPr>
          </w:p>
        </w:tc>
      </w:tr>
      <w:tr w:rsidR="00B059CE" w:rsidTr="009C38C9">
        <w:tc>
          <w:tcPr>
            <w:tcW w:w="7118" w:type="dxa"/>
            <w:gridSpan w:val="6"/>
            <w:shd w:val="clear" w:color="auto" w:fill="4F81BD" w:themeFill="accent1"/>
          </w:tcPr>
          <w:p w:rsidR="00B059CE" w:rsidRPr="00516331" w:rsidRDefault="00B059CE" w:rsidP="0082676C">
            <w:pPr>
              <w:rPr>
                <w:rFonts w:asciiTheme="minorHAnsi" w:hAnsiTheme="minorHAnsi" w:cs="Arial"/>
                <w:b/>
                <w:color w:val="FFFFFF" w:themeColor="background1"/>
                <w:sz w:val="22"/>
                <w:szCs w:val="22"/>
              </w:rPr>
            </w:pPr>
            <w:r w:rsidRPr="00516331">
              <w:rPr>
                <w:rFonts w:asciiTheme="minorHAnsi" w:hAnsiTheme="minorHAnsi" w:cs="Arial"/>
                <w:b/>
              </w:rPr>
              <w:lastRenderedPageBreak/>
              <w:br w:type="page"/>
            </w:r>
            <w:proofErr w:type="gramStart"/>
            <w:r w:rsidRPr="00516331">
              <w:rPr>
                <w:rFonts w:asciiTheme="minorHAnsi" w:hAnsiTheme="minorHAnsi" w:cs="Arial"/>
                <w:b/>
                <w:color w:val="FFFFFF" w:themeColor="background1"/>
                <w:sz w:val="22"/>
                <w:szCs w:val="22"/>
              </w:rPr>
              <w:t>Table  5.6</w:t>
            </w:r>
            <w:proofErr w:type="gramEnd"/>
            <w:r w:rsidRPr="00516331">
              <w:rPr>
                <w:rFonts w:asciiTheme="minorHAnsi" w:hAnsiTheme="minorHAnsi" w:cs="Arial"/>
                <w:b/>
                <w:color w:val="FFFFFF" w:themeColor="background1"/>
                <w:sz w:val="22"/>
                <w:szCs w:val="22"/>
              </w:rPr>
              <w:t xml:space="preserve"> Yarra Ranges - social housing need – annual supply required to fully meet need within 5, 10, 15, 20 years</w:t>
            </w:r>
          </w:p>
          <w:p w:rsidR="00B059CE" w:rsidRPr="00516331" w:rsidRDefault="00B059CE" w:rsidP="0082676C">
            <w:pPr>
              <w:rPr>
                <w:rFonts w:asciiTheme="minorHAnsi" w:hAnsiTheme="minorHAnsi" w:cs="Arial"/>
                <w:b/>
                <w:color w:val="000000" w:themeColor="text1"/>
              </w:rPr>
            </w:pPr>
          </w:p>
        </w:tc>
      </w:tr>
      <w:tr w:rsidR="00B059CE" w:rsidTr="0082676C">
        <w:tc>
          <w:tcPr>
            <w:tcW w:w="1069" w:type="dxa"/>
          </w:tcPr>
          <w:p w:rsidR="00B059CE" w:rsidRPr="00516331" w:rsidRDefault="00B059CE" w:rsidP="0082676C">
            <w:pPr>
              <w:rPr>
                <w:rFonts w:asciiTheme="minorHAnsi" w:hAnsiTheme="minorHAnsi" w:cs="Arial"/>
                <w:color w:val="000000" w:themeColor="text1"/>
              </w:rPr>
            </w:pPr>
            <w:r w:rsidRPr="00516331">
              <w:rPr>
                <w:rFonts w:asciiTheme="minorHAnsi" w:hAnsiTheme="minorHAnsi" w:cs="Arial"/>
                <w:color w:val="000000" w:themeColor="text1"/>
              </w:rPr>
              <w:t>Year</w:t>
            </w:r>
          </w:p>
        </w:tc>
        <w:tc>
          <w:tcPr>
            <w:tcW w:w="1005"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Social housing shortfall</w:t>
            </w:r>
          </w:p>
        </w:tc>
        <w:tc>
          <w:tcPr>
            <w:tcW w:w="1261"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5 </w:t>
            </w:r>
            <w:r w:rsidRPr="00516331">
              <w:rPr>
                <w:rFonts w:asciiTheme="minorHAnsi" w:hAnsiTheme="minorHAnsi" w:cs="Arial"/>
                <w:b/>
                <w:color w:val="000000" w:themeColor="text1"/>
                <w:sz w:val="20"/>
                <w:szCs w:val="20"/>
              </w:rPr>
              <w:t>years, 2016-2021)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10 </w:t>
            </w:r>
            <w:r w:rsidRPr="00516331">
              <w:rPr>
                <w:rFonts w:asciiTheme="minorHAnsi" w:hAnsiTheme="minorHAnsi" w:cs="Arial"/>
                <w:b/>
                <w:color w:val="000000" w:themeColor="text1"/>
                <w:sz w:val="20"/>
                <w:szCs w:val="20"/>
              </w:rPr>
              <w:t>years, 2016-2026</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15 </w:t>
            </w:r>
            <w:r w:rsidRPr="00516331">
              <w:rPr>
                <w:rFonts w:asciiTheme="minorHAnsi" w:hAnsiTheme="minorHAnsi" w:cs="Arial"/>
                <w:b/>
                <w:color w:val="000000" w:themeColor="text1"/>
                <w:sz w:val="20"/>
                <w:szCs w:val="20"/>
              </w:rPr>
              <w:t>years, 2016-2031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20 </w:t>
            </w:r>
            <w:r w:rsidRPr="00516331">
              <w:rPr>
                <w:rFonts w:asciiTheme="minorHAnsi" w:hAnsiTheme="minorHAnsi" w:cs="Arial"/>
                <w:b/>
                <w:color w:val="000000" w:themeColor="text1"/>
                <w:sz w:val="20"/>
                <w:szCs w:val="20"/>
              </w:rPr>
              <w:t>years, 2016-2036</w:t>
            </w:r>
          </w:p>
        </w:tc>
      </w:tr>
      <w:tr w:rsidR="00B059CE" w:rsidTr="0082676C">
        <w:tc>
          <w:tcPr>
            <w:tcW w:w="1069"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Current (in 2016)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650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95B3D7" w:themeFill="accent1" w:themeFillTint="99"/>
          </w:tcPr>
          <w:p w:rsidR="00B059CE" w:rsidRPr="00516331" w:rsidRDefault="00B059CE" w:rsidP="0082676C">
            <w:pPr>
              <w:rPr>
                <w:rFonts w:asciiTheme="minorHAnsi" w:hAnsiTheme="minorHAnsi" w:cs="Arial"/>
                <w:b/>
                <w:color w:val="000000" w:themeColor="text1"/>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730</w:t>
            </w:r>
          </w:p>
        </w:tc>
        <w:tc>
          <w:tcPr>
            <w:tcW w:w="1261" w:type="dxa"/>
            <w:shd w:val="clear" w:color="auto" w:fill="95B3D7" w:themeFill="accent1" w:themeFillTint="99"/>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146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(+ 15 per annum over fifteen years </w:t>
            </w:r>
            <w:r w:rsidRPr="00516331">
              <w:rPr>
                <w:rFonts w:asciiTheme="minorHAnsi" w:hAnsiTheme="minorHAnsi" w:cs="Arial"/>
                <w:color w:val="000000" w:themeColor="text1"/>
                <w:sz w:val="18"/>
                <w:szCs w:val="18"/>
              </w:rPr>
              <w:t>2021-2036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B8CCE4" w:themeFill="accent1" w:themeFillTint="66"/>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2026</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810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B8CCE4" w:themeFill="accent1" w:themeFillTint="66"/>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81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(+ 14 per annum over ten years </w:t>
            </w:r>
            <w:r w:rsidRPr="00516331">
              <w:rPr>
                <w:rFonts w:asciiTheme="minorHAnsi" w:hAnsiTheme="minorHAnsi" w:cs="Arial"/>
                <w:color w:val="000000" w:themeColor="text1"/>
                <w:sz w:val="18"/>
                <w:szCs w:val="18"/>
              </w:rPr>
              <w:t>2026-2036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DBE5F1" w:themeFill="accent1" w:themeFillTint="33"/>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880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DBE5F1" w:themeFill="accent1" w:themeFillTint="33"/>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59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2016-2031)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(+ 13 per annum over five years </w:t>
            </w:r>
            <w:r w:rsidRPr="00516331">
              <w:rPr>
                <w:rFonts w:asciiTheme="minorHAnsi" w:hAnsiTheme="minorHAnsi" w:cs="Arial"/>
                <w:color w:val="000000" w:themeColor="text1"/>
                <w:sz w:val="18"/>
                <w:szCs w:val="18"/>
              </w:rPr>
              <w:t>2031-2036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E9EFF7"/>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950</w:t>
            </w:r>
          </w:p>
          <w:p w:rsidR="00B059CE" w:rsidRPr="00516331" w:rsidRDefault="00B059CE" w:rsidP="0082676C">
            <w:pPr>
              <w:jc w:val="cente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E9EFF7"/>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48</w:t>
            </w:r>
            <w:r w:rsidRPr="00516331">
              <w:rPr>
                <w:rFonts w:asciiTheme="minorHAnsi" w:hAnsiTheme="minorHAnsi" w:cs="Arial"/>
                <w:color w:val="000000" w:themeColor="text1"/>
                <w:sz w:val="20"/>
                <w:szCs w:val="20"/>
              </w:rPr>
              <w:t xml:space="preserve"> 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18"/>
                <w:szCs w:val="18"/>
              </w:rPr>
              <w:t>(2016-2036)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18"/>
                <w:szCs w:val="18"/>
              </w:rPr>
            </w:pPr>
          </w:p>
        </w:tc>
      </w:tr>
      <w:tr w:rsidR="00B059CE" w:rsidTr="009C38C9">
        <w:tc>
          <w:tcPr>
            <w:tcW w:w="7118" w:type="dxa"/>
            <w:gridSpan w:val="6"/>
            <w:shd w:val="clear" w:color="auto" w:fill="4F81BD" w:themeFill="accent1"/>
          </w:tcPr>
          <w:p w:rsidR="00B059CE" w:rsidRPr="00516331" w:rsidRDefault="00B059CE" w:rsidP="0082676C">
            <w:pPr>
              <w:rPr>
                <w:rFonts w:asciiTheme="minorHAnsi" w:hAnsiTheme="minorHAnsi" w:cs="Arial"/>
                <w:b/>
                <w:color w:val="FFFFFF" w:themeColor="background1"/>
                <w:sz w:val="22"/>
                <w:szCs w:val="22"/>
              </w:rPr>
            </w:pPr>
            <w:proofErr w:type="gramStart"/>
            <w:r w:rsidRPr="00516331">
              <w:rPr>
                <w:rFonts w:asciiTheme="minorHAnsi" w:hAnsiTheme="minorHAnsi" w:cs="Arial"/>
                <w:b/>
                <w:color w:val="FFFFFF" w:themeColor="background1"/>
                <w:sz w:val="22"/>
                <w:szCs w:val="22"/>
              </w:rPr>
              <w:lastRenderedPageBreak/>
              <w:t>Table  5.7</w:t>
            </w:r>
            <w:proofErr w:type="gramEnd"/>
            <w:r w:rsidRPr="00516331">
              <w:rPr>
                <w:rFonts w:asciiTheme="minorHAnsi" w:hAnsiTheme="minorHAnsi" w:cs="Arial"/>
                <w:b/>
                <w:color w:val="FFFFFF" w:themeColor="background1"/>
                <w:sz w:val="22"/>
                <w:szCs w:val="22"/>
              </w:rPr>
              <w:t xml:space="preserve"> Eastern Affordable Housing Alliance Region - social housing need – annual supply required to fully meet need within 5, 10, 15, 20 years</w:t>
            </w:r>
          </w:p>
          <w:p w:rsidR="00B059CE" w:rsidRPr="00516331" w:rsidRDefault="00B059CE" w:rsidP="0082676C">
            <w:pPr>
              <w:rPr>
                <w:rFonts w:asciiTheme="minorHAnsi" w:hAnsiTheme="minorHAnsi" w:cs="Arial"/>
                <w:b/>
                <w:color w:val="000000" w:themeColor="text1"/>
              </w:rPr>
            </w:pPr>
          </w:p>
        </w:tc>
      </w:tr>
      <w:tr w:rsidR="00B059CE" w:rsidTr="0082676C">
        <w:tc>
          <w:tcPr>
            <w:tcW w:w="1069" w:type="dxa"/>
          </w:tcPr>
          <w:p w:rsidR="00B059CE" w:rsidRPr="00516331" w:rsidRDefault="00B059CE" w:rsidP="0082676C">
            <w:pPr>
              <w:rPr>
                <w:rFonts w:asciiTheme="minorHAnsi" w:hAnsiTheme="minorHAnsi" w:cs="Arial"/>
                <w:color w:val="000000" w:themeColor="text1"/>
              </w:rPr>
            </w:pPr>
            <w:r w:rsidRPr="00516331">
              <w:rPr>
                <w:rFonts w:asciiTheme="minorHAnsi" w:hAnsiTheme="minorHAnsi" w:cs="Arial"/>
                <w:color w:val="000000" w:themeColor="text1"/>
              </w:rPr>
              <w:t>Year</w:t>
            </w:r>
          </w:p>
        </w:tc>
        <w:tc>
          <w:tcPr>
            <w:tcW w:w="1005"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Social housing shortfall</w:t>
            </w:r>
          </w:p>
        </w:tc>
        <w:tc>
          <w:tcPr>
            <w:tcW w:w="1261"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5 </w:t>
            </w:r>
            <w:r w:rsidRPr="00516331">
              <w:rPr>
                <w:rFonts w:asciiTheme="minorHAnsi" w:hAnsiTheme="minorHAnsi" w:cs="Arial"/>
                <w:b/>
                <w:color w:val="000000" w:themeColor="text1"/>
                <w:sz w:val="20"/>
                <w:szCs w:val="20"/>
              </w:rPr>
              <w:t>years, 2016-2021)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10 </w:t>
            </w:r>
            <w:r w:rsidRPr="00516331">
              <w:rPr>
                <w:rFonts w:asciiTheme="minorHAnsi" w:hAnsiTheme="minorHAnsi" w:cs="Arial"/>
                <w:b/>
                <w:color w:val="000000" w:themeColor="text1"/>
                <w:sz w:val="20"/>
                <w:szCs w:val="20"/>
              </w:rPr>
              <w:t>years, 2016-2026</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15 </w:t>
            </w:r>
            <w:r w:rsidRPr="00516331">
              <w:rPr>
                <w:rFonts w:asciiTheme="minorHAnsi" w:hAnsiTheme="minorHAnsi" w:cs="Arial"/>
                <w:b/>
                <w:color w:val="000000" w:themeColor="text1"/>
                <w:sz w:val="20"/>
                <w:szCs w:val="20"/>
              </w:rPr>
              <w:t>years, 2016-2031</w:t>
            </w:r>
          </w:p>
        </w:tc>
        <w:tc>
          <w:tcPr>
            <w:tcW w:w="1261" w:type="dxa"/>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b/>
                <w:color w:val="000000" w:themeColor="text1"/>
                <w:sz w:val="20"/>
                <w:szCs w:val="20"/>
              </w:rPr>
              <w:t xml:space="preserve">Annual minimum supply (calculated over </w:t>
            </w:r>
            <w:r w:rsidRPr="00516331">
              <w:rPr>
                <w:rFonts w:asciiTheme="minorHAnsi" w:hAnsiTheme="minorHAnsi" w:cs="Arial"/>
                <w:b/>
                <w:color w:val="000000" w:themeColor="text1"/>
                <w:sz w:val="28"/>
                <w:szCs w:val="28"/>
              </w:rPr>
              <w:t xml:space="preserve">20 </w:t>
            </w:r>
            <w:r w:rsidRPr="00516331">
              <w:rPr>
                <w:rFonts w:asciiTheme="minorHAnsi" w:hAnsiTheme="minorHAnsi" w:cs="Arial"/>
                <w:b/>
                <w:color w:val="000000" w:themeColor="text1"/>
                <w:sz w:val="20"/>
                <w:szCs w:val="20"/>
              </w:rPr>
              <w:t>years, 2016-2036</w:t>
            </w:r>
          </w:p>
        </w:tc>
      </w:tr>
      <w:tr w:rsidR="00B059CE" w:rsidTr="0082676C">
        <w:tc>
          <w:tcPr>
            <w:tcW w:w="1069" w:type="dxa"/>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Current (in 2016)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7970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95B3D7" w:themeFill="accent1" w:themeFillTint="99"/>
          </w:tcPr>
          <w:p w:rsidR="00B059CE" w:rsidRPr="00516331" w:rsidRDefault="00B059CE" w:rsidP="0082676C">
            <w:pPr>
              <w:rPr>
                <w:rFonts w:asciiTheme="minorHAnsi" w:hAnsiTheme="minorHAnsi" w:cs="Arial"/>
                <w:b/>
                <w:color w:val="000000" w:themeColor="text1"/>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9030</w:t>
            </w:r>
          </w:p>
        </w:tc>
        <w:tc>
          <w:tcPr>
            <w:tcW w:w="1261" w:type="dxa"/>
            <w:shd w:val="clear" w:color="auto" w:fill="95B3D7" w:themeFill="accent1" w:themeFillTint="99"/>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1806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(+ 159 per annum over fifteen years </w:t>
            </w:r>
            <w:r w:rsidRPr="00516331">
              <w:rPr>
                <w:rFonts w:asciiTheme="minorHAnsi" w:hAnsiTheme="minorHAnsi" w:cs="Arial"/>
                <w:color w:val="000000" w:themeColor="text1"/>
                <w:sz w:val="18"/>
                <w:szCs w:val="18"/>
              </w:rPr>
              <w:t>2021-2036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B8CCE4" w:themeFill="accent1" w:themeFillTint="66"/>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2026</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9850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B8CCE4" w:themeFill="accent1" w:themeFillTint="66"/>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985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2016-2026)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(+ 157 per annum over ten years </w:t>
            </w:r>
            <w:r w:rsidRPr="00516331">
              <w:rPr>
                <w:rFonts w:asciiTheme="minorHAnsi" w:hAnsiTheme="minorHAnsi" w:cs="Arial"/>
                <w:color w:val="000000" w:themeColor="text1"/>
                <w:sz w:val="18"/>
                <w:szCs w:val="18"/>
              </w:rPr>
              <w:t>2026-2036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DBE5F1" w:themeFill="accent1" w:themeFillTint="33"/>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2031</w:t>
            </w: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10610</w:t>
            </w: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DBE5F1" w:themeFill="accent1" w:themeFillTint="33"/>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 xml:space="preserve">707 </w:t>
            </w:r>
            <w:r w:rsidRPr="00516331">
              <w:rPr>
                <w:rFonts w:asciiTheme="minorHAnsi" w:hAnsiTheme="minorHAnsi" w:cs="Arial"/>
                <w:color w:val="000000" w:themeColor="text1"/>
                <w:sz w:val="20"/>
                <w:szCs w:val="20"/>
              </w:rPr>
              <w:t>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20"/>
                <w:szCs w:val="20"/>
              </w:rPr>
              <w:t>(</w:t>
            </w:r>
            <w:r w:rsidRPr="00516331">
              <w:rPr>
                <w:rFonts w:asciiTheme="minorHAnsi" w:hAnsiTheme="minorHAnsi" w:cs="Arial"/>
                <w:color w:val="000000" w:themeColor="text1"/>
                <w:sz w:val="18"/>
                <w:szCs w:val="18"/>
              </w:rPr>
              <w:t>2016-2031)</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color w:val="000000" w:themeColor="text1"/>
                <w:sz w:val="20"/>
                <w:szCs w:val="20"/>
              </w:rPr>
              <w:t xml:space="preserve">(+ 163 per annum over five years </w:t>
            </w:r>
            <w:r w:rsidRPr="00516331">
              <w:rPr>
                <w:rFonts w:asciiTheme="minorHAnsi" w:hAnsiTheme="minorHAnsi" w:cs="Arial"/>
                <w:color w:val="000000" w:themeColor="text1"/>
                <w:sz w:val="18"/>
                <w:szCs w:val="18"/>
              </w:rPr>
              <w:t>2031-2036</w:t>
            </w:r>
            <w:r w:rsidRPr="00516331">
              <w:rPr>
                <w:rFonts w:asciiTheme="minorHAnsi" w:hAnsiTheme="minorHAnsi" w:cs="Arial"/>
                <w:b/>
                <w:color w:val="000000" w:themeColor="text1"/>
                <w:sz w:val="20"/>
                <w:szCs w:val="20"/>
              </w:rPr>
              <w:t>)</w:t>
            </w:r>
          </w:p>
        </w:tc>
        <w:tc>
          <w:tcPr>
            <w:tcW w:w="1261" w:type="dxa"/>
          </w:tcPr>
          <w:p w:rsidR="00B059CE" w:rsidRPr="00516331" w:rsidRDefault="00B059CE" w:rsidP="0082676C">
            <w:pPr>
              <w:rPr>
                <w:rFonts w:asciiTheme="minorHAnsi" w:hAnsiTheme="minorHAnsi" w:cs="Arial"/>
                <w:b/>
                <w:color w:val="000000" w:themeColor="text1"/>
                <w:sz w:val="20"/>
                <w:szCs w:val="20"/>
              </w:rPr>
            </w:pPr>
          </w:p>
        </w:tc>
      </w:tr>
      <w:tr w:rsidR="00B059CE" w:rsidTr="009C38C9">
        <w:tc>
          <w:tcPr>
            <w:tcW w:w="1069" w:type="dxa"/>
            <w:shd w:val="clear" w:color="auto" w:fill="E9EFF7"/>
          </w:tcPr>
          <w:p w:rsidR="00B059CE" w:rsidRPr="00516331" w:rsidRDefault="00B059CE" w:rsidP="0082676C">
            <w:pP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 xml:space="preserve">By </w:t>
            </w:r>
            <w:r w:rsidRPr="00516331">
              <w:rPr>
                <w:rFonts w:asciiTheme="minorHAnsi" w:hAnsiTheme="minorHAnsi" w:cs="Arial"/>
                <w:b/>
                <w:color w:val="000000" w:themeColor="text1"/>
              </w:rPr>
              <w:t>2036</w:t>
            </w:r>
          </w:p>
          <w:p w:rsidR="00B059CE" w:rsidRPr="00516331" w:rsidRDefault="00B059CE" w:rsidP="0082676C">
            <w:pPr>
              <w:rPr>
                <w:rFonts w:asciiTheme="minorHAnsi" w:hAnsiTheme="minorHAnsi" w:cs="Arial"/>
                <w:b/>
                <w:color w:val="000000" w:themeColor="text1"/>
                <w:sz w:val="20"/>
                <w:szCs w:val="20"/>
              </w:rPr>
            </w:pPr>
          </w:p>
          <w:p w:rsidR="00B059CE" w:rsidRPr="00516331" w:rsidRDefault="00B059CE" w:rsidP="0082676C">
            <w:pPr>
              <w:rPr>
                <w:rFonts w:asciiTheme="minorHAnsi" w:hAnsiTheme="minorHAnsi" w:cs="Arial"/>
                <w:b/>
                <w:color w:val="000000" w:themeColor="text1"/>
                <w:sz w:val="20"/>
                <w:szCs w:val="20"/>
              </w:rPr>
            </w:pPr>
          </w:p>
        </w:tc>
        <w:tc>
          <w:tcPr>
            <w:tcW w:w="1005" w:type="dxa"/>
          </w:tcPr>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p>
          <w:p w:rsidR="00B059CE" w:rsidRPr="00516331" w:rsidRDefault="00B059CE" w:rsidP="0082676C">
            <w:pPr>
              <w:jc w:val="center"/>
              <w:rPr>
                <w:rFonts w:asciiTheme="minorHAnsi" w:hAnsiTheme="minorHAnsi" w:cs="Arial"/>
                <w:b/>
                <w:color w:val="000000" w:themeColor="text1"/>
                <w:sz w:val="20"/>
                <w:szCs w:val="20"/>
              </w:rPr>
            </w:pPr>
            <w:r w:rsidRPr="00516331">
              <w:rPr>
                <w:rFonts w:asciiTheme="minorHAnsi" w:hAnsiTheme="minorHAnsi" w:cs="Arial"/>
                <w:b/>
                <w:color w:val="000000" w:themeColor="text1"/>
                <w:sz w:val="20"/>
                <w:szCs w:val="20"/>
              </w:rPr>
              <w:t>11420</w:t>
            </w:r>
          </w:p>
          <w:p w:rsidR="00B059CE" w:rsidRPr="00516331" w:rsidRDefault="00B059CE" w:rsidP="0082676C">
            <w:pPr>
              <w:jc w:val="cente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tcPr>
          <w:p w:rsidR="00B059CE" w:rsidRPr="00516331" w:rsidRDefault="00B059CE" w:rsidP="0082676C">
            <w:pPr>
              <w:rPr>
                <w:rFonts w:asciiTheme="minorHAnsi" w:hAnsiTheme="minorHAnsi" w:cs="Arial"/>
                <w:b/>
                <w:color w:val="000000" w:themeColor="text1"/>
                <w:sz w:val="20"/>
                <w:szCs w:val="20"/>
              </w:rPr>
            </w:pPr>
          </w:p>
        </w:tc>
        <w:tc>
          <w:tcPr>
            <w:tcW w:w="1261" w:type="dxa"/>
            <w:shd w:val="clear" w:color="auto" w:fill="E9EFF7"/>
          </w:tcPr>
          <w:p w:rsidR="00B059CE" w:rsidRPr="00516331" w:rsidRDefault="00B059CE" w:rsidP="0082676C">
            <w:pPr>
              <w:rPr>
                <w:rFonts w:asciiTheme="minorHAnsi" w:hAnsiTheme="minorHAnsi" w:cs="Arial"/>
                <w:color w:val="000000" w:themeColor="text1"/>
                <w:sz w:val="20"/>
                <w:szCs w:val="20"/>
              </w:rPr>
            </w:pPr>
            <w:r w:rsidRPr="00516331">
              <w:rPr>
                <w:rFonts w:asciiTheme="minorHAnsi" w:hAnsiTheme="minorHAnsi" w:cs="Arial"/>
                <w:color w:val="000000" w:themeColor="text1"/>
                <w:sz w:val="32"/>
                <w:szCs w:val="32"/>
              </w:rPr>
              <w:t>571</w:t>
            </w:r>
            <w:r w:rsidRPr="00516331">
              <w:rPr>
                <w:rFonts w:asciiTheme="minorHAnsi" w:hAnsiTheme="minorHAnsi" w:cs="Arial"/>
                <w:color w:val="000000" w:themeColor="text1"/>
                <w:sz w:val="20"/>
                <w:szCs w:val="20"/>
              </w:rPr>
              <w:t xml:space="preserve"> per year</w:t>
            </w:r>
          </w:p>
          <w:p w:rsidR="00B059CE" w:rsidRPr="00516331" w:rsidRDefault="00B059CE" w:rsidP="0082676C">
            <w:pPr>
              <w:rPr>
                <w:rFonts w:asciiTheme="minorHAnsi" w:hAnsiTheme="minorHAnsi" w:cs="Arial"/>
                <w:color w:val="000000" w:themeColor="text1"/>
                <w:sz w:val="18"/>
                <w:szCs w:val="18"/>
              </w:rPr>
            </w:pPr>
            <w:r w:rsidRPr="00516331">
              <w:rPr>
                <w:rFonts w:asciiTheme="minorHAnsi" w:hAnsiTheme="minorHAnsi" w:cs="Arial"/>
                <w:color w:val="000000" w:themeColor="text1"/>
                <w:sz w:val="18"/>
                <w:szCs w:val="18"/>
              </w:rPr>
              <w:t>(2016-2036)</w:t>
            </w: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color w:val="000000" w:themeColor="text1"/>
                <w:sz w:val="18"/>
                <w:szCs w:val="18"/>
              </w:rPr>
            </w:pPr>
          </w:p>
          <w:p w:rsidR="00B059CE" w:rsidRPr="00516331" w:rsidRDefault="00B059CE" w:rsidP="0082676C">
            <w:pPr>
              <w:rPr>
                <w:rFonts w:asciiTheme="minorHAnsi" w:hAnsiTheme="minorHAnsi" w:cs="Arial"/>
                <w:b/>
                <w:color w:val="000000" w:themeColor="text1"/>
                <w:sz w:val="18"/>
                <w:szCs w:val="18"/>
              </w:rPr>
            </w:pPr>
          </w:p>
        </w:tc>
      </w:tr>
    </w:tbl>
    <w:p w:rsidR="00B059CE" w:rsidRDefault="00B059CE">
      <w:pPr>
        <w:rPr>
          <w:rFonts w:asciiTheme="minorHAnsi" w:hAnsiTheme="minorHAnsi" w:cs="Arial"/>
          <w:b/>
          <w:color w:val="000000" w:themeColor="text1"/>
          <w:sz w:val="22"/>
          <w:szCs w:val="22"/>
        </w:rPr>
      </w:pPr>
    </w:p>
    <w:p w:rsidR="00545441" w:rsidRPr="00B059CE" w:rsidRDefault="00545441" w:rsidP="000044F0">
      <w:pPr>
        <w:ind w:left="-851"/>
        <w:rPr>
          <w:rFonts w:ascii="Calibri" w:eastAsiaTheme="majorEastAsia" w:hAnsi="Calibri" w:cstheme="majorBidi"/>
          <w:color w:val="1F497D" w:themeColor="text2"/>
          <w:sz w:val="30"/>
          <w:szCs w:val="30"/>
          <w:lang w:val="en-US" w:eastAsia="en-US"/>
        </w:rPr>
      </w:pPr>
      <w:r w:rsidRPr="00B059CE">
        <w:rPr>
          <w:rFonts w:ascii="Calibri" w:eastAsiaTheme="majorEastAsia" w:hAnsi="Calibri" w:cstheme="majorBidi"/>
          <w:color w:val="1F497D" w:themeColor="text2"/>
          <w:sz w:val="30"/>
          <w:szCs w:val="30"/>
          <w:lang w:val="en-US" w:eastAsia="en-US"/>
        </w:rPr>
        <w:lastRenderedPageBreak/>
        <w:t>APPENDIX A – Population Forecast Averaging</w:t>
      </w:r>
    </w:p>
    <w:p w:rsidR="00475D68" w:rsidRPr="003F5A77" w:rsidRDefault="00475D68" w:rsidP="000044F0">
      <w:pPr>
        <w:pStyle w:val="ListParagraph"/>
        <w:ind w:left="-851"/>
        <w:rPr>
          <w:rFonts w:asciiTheme="minorHAnsi" w:hAnsiTheme="minorHAnsi" w:cs="Arial"/>
          <w:b/>
          <w:sz w:val="22"/>
          <w:szCs w:val="22"/>
        </w:rPr>
      </w:pPr>
    </w:p>
    <w:p w:rsidR="00765ED7" w:rsidRPr="003F5A77" w:rsidRDefault="00765ED7" w:rsidP="000044F0">
      <w:pPr>
        <w:pStyle w:val="ListParagraph"/>
        <w:ind w:left="-851"/>
        <w:rPr>
          <w:rFonts w:asciiTheme="minorHAnsi" w:hAnsiTheme="minorHAnsi" w:cs="Arial"/>
          <w:b/>
          <w:sz w:val="22"/>
          <w:szCs w:val="22"/>
        </w:rPr>
      </w:pPr>
    </w:p>
    <w:p w:rsidR="00545441" w:rsidRPr="003F5A77" w:rsidRDefault="00765ED7" w:rsidP="00B059CE">
      <w:pPr>
        <w:pStyle w:val="ListParagraph"/>
        <w:ind w:left="-851"/>
        <w:jc w:val="center"/>
        <w:rPr>
          <w:rFonts w:asciiTheme="minorHAnsi" w:hAnsiTheme="minorHAnsi" w:cs="Arial"/>
          <w:b/>
          <w:sz w:val="22"/>
          <w:szCs w:val="22"/>
        </w:rPr>
      </w:pPr>
      <w:r w:rsidRPr="003F5A77">
        <w:rPr>
          <w:rFonts w:asciiTheme="minorHAnsi" w:hAnsiTheme="minorHAnsi"/>
          <w:noProof/>
          <w:sz w:val="22"/>
          <w:szCs w:val="22"/>
        </w:rPr>
        <w:drawing>
          <wp:inline distT="0" distB="0" distL="0" distR="0">
            <wp:extent cx="4572000" cy="263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635250"/>
                    </a:xfrm>
                    <a:prstGeom prst="rect">
                      <a:avLst/>
                    </a:prstGeom>
                    <a:noFill/>
                    <a:ln>
                      <a:noFill/>
                    </a:ln>
                  </pic:spPr>
                </pic:pic>
              </a:graphicData>
            </a:graphic>
          </wp:inline>
        </w:drawing>
      </w:r>
    </w:p>
    <w:p w:rsidR="00545441" w:rsidRPr="00B059CE" w:rsidRDefault="00545441" w:rsidP="000044F0">
      <w:pPr>
        <w:pStyle w:val="ListParagraph"/>
        <w:ind w:left="-851"/>
        <w:rPr>
          <w:rFonts w:asciiTheme="minorHAnsi" w:hAnsiTheme="minorHAnsi" w:cs="Arial"/>
          <w:b/>
          <w:sz w:val="22"/>
          <w:szCs w:val="22"/>
        </w:rPr>
      </w:pPr>
      <w:r w:rsidRPr="00B059CE">
        <w:rPr>
          <w:rFonts w:asciiTheme="minorHAnsi" w:hAnsiTheme="minorHAnsi" w:cs="Arial"/>
          <w:b/>
          <w:sz w:val="22"/>
          <w:szCs w:val="22"/>
        </w:rPr>
        <w:t xml:space="preserve">Source: .id 2016 </w:t>
      </w:r>
      <w:r w:rsidR="00765ED7" w:rsidRPr="00B059CE">
        <w:rPr>
          <w:rFonts w:asciiTheme="minorHAnsi" w:hAnsiTheme="minorHAnsi" w:cs="Arial"/>
          <w:b/>
          <w:sz w:val="22"/>
          <w:szCs w:val="22"/>
        </w:rPr>
        <w:t xml:space="preserve">population forecast (preliminary </w:t>
      </w:r>
      <w:r w:rsidRPr="00B059CE">
        <w:rPr>
          <w:rFonts w:asciiTheme="minorHAnsi" w:hAnsiTheme="minorHAnsi" w:cs="Arial"/>
          <w:b/>
          <w:sz w:val="22"/>
          <w:szCs w:val="22"/>
        </w:rPr>
        <w:t>rebase</w:t>
      </w:r>
      <w:r w:rsidR="00765ED7" w:rsidRPr="00B059CE">
        <w:rPr>
          <w:rFonts w:asciiTheme="minorHAnsi" w:hAnsiTheme="minorHAnsi" w:cs="Arial"/>
          <w:b/>
          <w:sz w:val="22"/>
          <w:szCs w:val="22"/>
        </w:rPr>
        <w:t xml:space="preserve">, December, 2017); VIF 2016 </w:t>
      </w:r>
      <w:r w:rsidRPr="00B059CE">
        <w:rPr>
          <w:rFonts w:asciiTheme="minorHAnsi" w:hAnsiTheme="minorHAnsi" w:cs="Arial"/>
          <w:b/>
          <w:sz w:val="22"/>
          <w:szCs w:val="22"/>
        </w:rPr>
        <w:t xml:space="preserve"> </w:t>
      </w: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B059CE">
      <w:pPr>
        <w:pStyle w:val="ListParagraph"/>
        <w:ind w:left="-851"/>
        <w:jc w:val="center"/>
        <w:rPr>
          <w:rFonts w:asciiTheme="minorHAnsi" w:hAnsiTheme="minorHAnsi" w:cs="Arial"/>
          <w:sz w:val="22"/>
          <w:szCs w:val="22"/>
        </w:rPr>
      </w:pPr>
      <w:r w:rsidRPr="003F5A77">
        <w:rPr>
          <w:rFonts w:asciiTheme="minorHAnsi" w:hAnsiTheme="minorHAnsi"/>
          <w:noProof/>
          <w:sz w:val="22"/>
          <w:szCs w:val="22"/>
        </w:rPr>
        <w:drawing>
          <wp:inline distT="0" distB="0" distL="0" distR="0">
            <wp:extent cx="4572000" cy="2626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626995"/>
                    </a:xfrm>
                    <a:prstGeom prst="rect">
                      <a:avLst/>
                    </a:prstGeom>
                    <a:noFill/>
                    <a:ln>
                      <a:noFill/>
                    </a:ln>
                  </pic:spPr>
                </pic:pic>
              </a:graphicData>
            </a:graphic>
          </wp:inline>
        </w:drawing>
      </w:r>
    </w:p>
    <w:p w:rsidR="00765ED7" w:rsidRPr="00B059CE" w:rsidRDefault="00765ED7" w:rsidP="000044F0">
      <w:pPr>
        <w:pStyle w:val="ListParagraph"/>
        <w:ind w:left="-851"/>
        <w:rPr>
          <w:rFonts w:asciiTheme="minorHAnsi" w:hAnsiTheme="minorHAnsi" w:cs="Arial"/>
          <w:b/>
          <w:sz w:val="22"/>
          <w:szCs w:val="22"/>
        </w:rPr>
      </w:pPr>
      <w:r w:rsidRPr="00B059CE">
        <w:rPr>
          <w:rFonts w:asciiTheme="minorHAnsi" w:hAnsiTheme="minorHAnsi" w:cs="Arial"/>
          <w:b/>
          <w:sz w:val="22"/>
          <w:szCs w:val="22"/>
        </w:rPr>
        <w:t xml:space="preserve">Source: .id 2016 population forecast (preliminary rebase, December, 2017); VIF 2016  </w:t>
      </w: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0044F0">
      <w:pPr>
        <w:ind w:left="-851"/>
        <w:rPr>
          <w:rFonts w:asciiTheme="minorHAnsi" w:hAnsiTheme="minorHAnsi" w:cs="Arial"/>
          <w:sz w:val="22"/>
          <w:szCs w:val="22"/>
        </w:rPr>
      </w:pPr>
      <w:r w:rsidRPr="003F5A77">
        <w:rPr>
          <w:rFonts w:asciiTheme="minorHAnsi" w:hAnsiTheme="minorHAnsi" w:cs="Arial"/>
          <w:sz w:val="22"/>
          <w:szCs w:val="22"/>
        </w:rPr>
        <w:br w:type="page"/>
      </w:r>
    </w:p>
    <w:p w:rsidR="00765ED7" w:rsidRPr="003F5A77" w:rsidRDefault="00765ED7" w:rsidP="00B059CE">
      <w:pPr>
        <w:pStyle w:val="ListParagraph"/>
        <w:ind w:left="-851"/>
        <w:jc w:val="center"/>
        <w:rPr>
          <w:rFonts w:asciiTheme="minorHAnsi" w:hAnsiTheme="minorHAnsi" w:cs="Arial"/>
          <w:sz w:val="22"/>
          <w:szCs w:val="22"/>
        </w:rPr>
      </w:pPr>
      <w:r w:rsidRPr="003F5A77">
        <w:rPr>
          <w:rFonts w:asciiTheme="minorHAnsi" w:hAnsiTheme="minorHAnsi"/>
          <w:noProof/>
          <w:sz w:val="22"/>
          <w:szCs w:val="22"/>
        </w:rPr>
        <w:lastRenderedPageBreak/>
        <w:drawing>
          <wp:inline distT="0" distB="0" distL="0" distR="0">
            <wp:extent cx="4572000" cy="26269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626995"/>
                    </a:xfrm>
                    <a:prstGeom prst="rect">
                      <a:avLst/>
                    </a:prstGeom>
                    <a:noFill/>
                    <a:ln>
                      <a:noFill/>
                    </a:ln>
                  </pic:spPr>
                </pic:pic>
              </a:graphicData>
            </a:graphic>
          </wp:inline>
        </w:drawing>
      </w:r>
    </w:p>
    <w:p w:rsidR="00765ED7" w:rsidRPr="00B059CE" w:rsidRDefault="00765ED7" w:rsidP="000044F0">
      <w:pPr>
        <w:pStyle w:val="ListParagraph"/>
        <w:ind w:left="-851"/>
        <w:rPr>
          <w:rFonts w:asciiTheme="minorHAnsi" w:hAnsiTheme="minorHAnsi" w:cs="Arial"/>
          <w:b/>
          <w:sz w:val="22"/>
          <w:szCs w:val="22"/>
        </w:rPr>
      </w:pPr>
      <w:r w:rsidRPr="00B059CE">
        <w:rPr>
          <w:rFonts w:asciiTheme="minorHAnsi" w:hAnsiTheme="minorHAnsi" w:cs="Arial"/>
          <w:b/>
          <w:sz w:val="22"/>
          <w:szCs w:val="22"/>
        </w:rPr>
        <w:t xml:space="preserve">Source: .id 2016 population forecast (preliminary rebase, December, 2017); VIF 2016  </w:t>
      </w: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B059CE">
      <w:pPr>
        <w:pStyle w:val="ListParagraph"/>
        <w:ind w:left="-851"/>
        <w:jc w:val="center"/>
        <w:rPr>
          <w:rFonts w:asciiTheme="minorHAnsi" w:hAnsiTheme="minorHAnsi" w:cs="Arial"/>
          <w:sz w:val="22"/>
          <w:szCs w:val="22"/>
        </w:rPr>
      </w:pPr>
      <w:r w:rsidRPr="003F5A77">
        <w:rPr>
          <w:rFonts w:asciiTheme="minorHAnsi" w:hAnsiTheme="minorHAnsi"/>
          <w:noProof/>
          <w:sz w:val="22"/>
          <w:szCs w:val="22"/>
        </w:rPr>
        <w:drawing>
          <wp:inline distT="0" distB="0" distL="0" distR="0">
            <wp:extent cx="4572000" cy="2618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618740"/>
                    </a:xfrm>
                    <a:prstGeom prst="rect">
                      <a:avLst/>
                    </a:prstGeom>
                    <a:noFill/>
                    <a:ln>
                      <a:noFill/>
                    </a:ln>
                  </pic:spPr>
                </pic:pic>
              </a:graphicData>
            </a:graphic>
          </wp:inline>
        </w:drawing>
      </w:r>
    </w:p>
    <w:p w:rsidR="00765ED7" w:rsidRPr="00B059CE" w:rsidRDefault="00765ED7" w:rsidP="000044F0">
      <w:pPr>
        <w:pStyle w:val="ListParagraph"/>
        <w:ind w:left="-851"/>
        <w:rPr>
          <w:rFonts w:asciiTheme="minorHAnsi" w:hAnsiTheme="minorHAnsi" w:cs="Arial"/>
          <w:b/>
          <w:sz w:val="22"/>
          <w:szCs w:val="22"/>
        </w:rPr>
      </w:pPr>
      <w:r w:rsidRPr="00B059CE">
        <w:rPr>
          <w:rFonts w:asciiTheme="minorHAnsi" w:hAnsiTheme="minorHAnsi" w:cs="Arial"/>
          <w:b/>
          <w:sz w:val="22"/>
          <w:szCs w:val="22"/>
        </w:rPr>
        <w:t xml:space="preserve">Source: .id 2016 population forecast (preliminary rebase, December, 2017); VIF 2016  </w:t>
      </w:r>
    </w:p>
    <w:p w:rsidR="00765ED7" w:rsidRPr="003F5A77" w:rsidRDefault="00765ED7" w:rsidP="000044F0">
      <w:pPr>
        <w:ind w:left="-851"/>
        <w:rPr>
          <w:rFonts w:asciiTheme="minorHAnsi" w:hAnsiTheme="minorHAnsi" w:cs="Arial"/>
          <w:sz w:val="22"/>
          <w:szCs w:val="22"/>
        </w:rPr>
      </w:pPr>
      <w:r w:rsidRPr="003F5A77">
        <w:rPr>
          <w:rFonts w:asciiTheme="minorHAnsi" w:hAnsiTheme="minorHAnsi" w:cs="Arial"/>
          <w:sz w:val="22"/>
          <w:szCs w:val="22"/>
        </w:rPr>
        <w:br w:type="page"/>
      </w:r>
    </w:p>
    <w:p w:rsidR="00765ED7" w:rsidRPr="003F5A77" w:rsidRDefault="00765ED7" w:rsidP="00B059CE">
      <w:pPr>
        <w:pStyle w:val="ListParagraph"/>
        <w:ind w:left="-851"/>
        <w:jc w:val="center"/>
        <w:rPr>
          <w:rFonts w:asciiTheme="minorHAnsi" w:hAnsiTheme="minorHAnsi" w:cs="Arial"/>
          <w:sz w:val="22"/>
          <w:szCs w:val="22"/>
        </w:rPr>
      </w:pPr>
      <w:r w:rsidRPr="003F5A77">
        <w:rPr>
          <w:rFonts w:asciiTheme="minorHAnsi" w:hAnsiTheme="minorHAnsi"/>
          <w:noProof/>
          <w:sz w:val="22"/>
          <w:szCs w:val="22"/>
        </w:rPr>
        <w:lastRenderedPageBreak/>
        <w:drawing>
          <wp:inline distT="0" distB="0" distL="0" distR="0">
            <wp:extent cx="4572000" cy="26269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626995"/>
                    </a:xfrm>
                    <a:prstGeom prst="rect">
                      <a:avLst/>
                    </a:prstGeom>
                    <a:noFill/>
                    <a:ln>
                      <a:noFill/>
                    </a:ln>
                  </pic:spPr>
                </pic:pic>
              </a:graphicData>
            </a:graphic>
          </wp:inline>
        </w:drawing>
      </w:r>
    </w:p>
    <w:p w:rsidR="00765ED7" w:rsidRPr="00B059CE" w:rsidRDefault="00765ED7" w:rsidP="000044F0">
      <w:pPr>
        <w:pStyle w:val="ListParagraph"/>
        <w:ind w:left="-851"/>
        <w:rPr>
          <w:rFonts w:asciiTheme="minorHAnsi" w:hAnsiTheme="minorHAnsi" w:cs="Arial"/>
          <w:b/>
          <w:sz w:val="22"/>
          <w:szCs w:val="22"/>
        </w:rPr>
      </w:pPr>
      <w:r w:rsidRPr="00B059CE">
        <w:rPr>
          <w:rFonts w:asciiTheme="minorHAnsi" w:hAnsiTheme="minorHAnsi" w:cs="Arial"/>
          <w:b/>
          <w:sz w:val="22"/>
          <w:szCs w:val="22"/>
        </w:rPr>
        <w:t xml:space="preserve">Source: .id 2016 population forecast (preliminary rebase, December, 2017); VIF 2016  </w:t>
      </w: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0044F0">
      <w:pPr>
        <w:pStyle w:val="ListParagraph"/>
        <w:ind w:left="-851"/>
        <w:rPr>
          <w:rFonts w:asciiTheme="minorHAnsi" w:hAnsiTheme="minorHAnsi" w:cs="Arial"/>
          <w:sz w:val="22"/>
          <w:szCs w:val="22"/>
        </w:rPr>
      </w:pPr>
    </w:p>
    <w:p w:rsidR="00765ED7" w:rsidRPr="003F5A77" w:rsidRDefault="00765ED7" w:rsidP="00B059CE">
      <w:pPr>
        <w:pStyle w:val="ListParagraph"/>
        <w:ind w:left="-851"/>
        <w:jc w:val="center"/>
        <w:rPr>
          <w:rFonts w:asciiTheme="minorHAnsi" w:hAnsiTheme="minorHAnsi" w:cs="Arial"/>
          <w:sz w:val="22"/>
          <w:szCs w:val="22"/>
        </w:rPr>
      </w:pPr>
      <w:r w:rsidRPr="003F5A77">
        <w:rPr>
          <w:rFonts w:asciiTheme="minorHAnsi" w:hAnsiTheme="minorHAnsi"/>
          <w:noProof/>
          <w:sz w:val="22"/>
          <w:szCs w:val="22"/>
        </w:rPr>
        <w:drawing>
          <wp:inline distT="0" distB="0" distL="0" distR="0">
            <wp:extent cx="4572000" cy="26269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626995"/>
                    </a:xfrm>
                    <a:prstGeom prst="rect">
                      <a:avLst/>
                    </a:prstGeom>
                    <a:noFill/>
                    <a:ln>
                      <a:noFill/>
                    </a:ln>
                  </pic:spPr>
                </pic:pic>
              </a:graphicData>
            </a:graphic>
          </wp:inline>
        </w:drawing>
      </w:r>
    </w:p>
    <w:p w:rsidR="00765ED7" w:rsidRPr="00B059CE" w:rsidRDefault="00765ED7" w:rsidP="000044F0">
      <w:pPr>
        <w:pStyle w:val="ListParagraph"/>
        <w:ind w:left="-851"/>
        <w:rPr>
          <w:rFonts w:asciiTheme="minorHAnsi" w:hAnsiTheme="minorHAnsi" w:cs="Arial"/>
          <w:b/>
          <w:sz w:val="22"/>
          <w:szCs w:val="22"/>
        </w:rPr>
      </w:pPr>
      <w:r w:rsidRPr="00B059CE">
        <w:rPr>
          <w:rFonts w:asciiTheme="minorHAnsi" w:hAnsiTheme="minorHAnsi" w:cs="Arial"/>
          <w:b/>
          <w:sz w:val="22"/>
          <w:szCs w:val="22"/>
        </w:rPr>
        <w:t xml:space="preserve">Source: .id 2016 population forecast (preliminary rebase, December, 2017); VIF 2016  </w:t>
      </w:r>
    </w:p>
    <w:p w:rsidR="00765ED7" w:rsidRPr="003F5A77" w:rsidRDefault="00765ED7" w:rsidP="000044F0">
      <w:pPr>
        <w:pStyle w:val="ListParagraph"/>
        <w:ind w:left="-851"/>
        <w:rPr>
          <w:rFonts w:asciiTheme="minorHAnsi" w:hAnsiTheme="minorHAnsi" w:cs="Arial"/>
          <w:sz w:val="22"/>
          <w:szCs w:val="22"/>
        </w:rPr>
      </w:pPr>
    </w:p>
    <w:sectPr w:rsidR="00765ED7" w:rsidRPr="003F5A77" w:rsidSect="00B059CE">
      <w:pgSz w:w="11906" w:h="16838"/>
      <w:pgMar w:top="1440" w:right="99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49" w:rsidRDefault="00BB2349" w:rsidP="00486779">
      <w:r>
        <w:separator/>
      </w:r>
    </w:p>
  </w:endnote>
  <w:endnote w:type="continuationSeparator" w:id="0">
    <w:p w:rsidR="00BB2349" w:rsidRDefault="00BB2349" w:rsidP="0048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A4" w:rsidRPr="00170B62" w:rsidRDefault="00F219A4" w:rsidP="00B059CE">
    <w:pPr>
      <w:pStyle w:val="Footer"/>
      <w:ind w:left="-567"/>
      <w:rPr>
        <w:rFonts w:asciiTheme="minorHAnsi" w:hAnsiTheme="minorHAnsi"/>
        <w:i/>
        <w:sz w:val="22"/>
        <w:szCs w:val="22"/>
      </w:rPr>
    </w:pPr>
    <w:r w:rsidRPr="00170B62">
      <w:rPr>
        <w:rFonts w:asciiTheme="minorHAnsi" w:hAnsiTheme="minorHAnsi"/>
        <w:i/>
        <w:sz w:val="22"/>
        <w:szCs w:val="22"/>
      </w:rPr>
      <w:t>Updated by Darlene Swan, Social Researcher, January 16, 2018</w:t>
    </w:r>
    <w:r w:rsidR="00B059CE">
      <w:rPr>
        <w:rFonts w:asciiTheme="minorHAnsi" w:hAnsiTheme="minorHAnsi"/>
        <w:i/>
        <w:sz w:val="22"/>
        <w:szCs w:val="22"/>
      </w:rPr>
      <w:tab/>
      <w:t xml:space="preserve">Page </w:t>
    </w:r>
    <w:r w:rsidR="00B059CE" w:rsidRPr="00B059CE">
      <w:rPr>
        <w:rFonts w:asciiTheme="minorHAnsi" w:hAnsiTheme="minorHAnsi"/>
        <w:i/>
        <w:sz w:val="22"/>
        <w:szCs w:val="22"/>
      </w:rPr>
      <w:fldChar w:fldCharType="begin"/>
    </w:r>
    <w:r w:rsidR="00B059CE" w:rsidRPr="00B059CE">
      <w:rPr>
        <w:rFonts w:asciiTheme="minorHAnsi" w:hAnsiTheme="minorHAnsi"/>
        <w:i/>
        <w:sz w:val="22"/>
        <w:szCs w:val="22"/>
      </w:rPr>
      <w:instrText xml:space="preserve"> PAGE   \* MERGEFORMAT </w:instrText>
    </w:r>
    <w:r w:rsidR="00B059CE" w:rsidRPr="00B059CE">
      <w:rPr>
        <w:rFonts w:asciiTheme="minorHAnsi" w:hAnsiTheme="minorHAnsi"/>
        <w:i/>
        <w:sz w:val="22"/>
        <w:szCs w:val="22"/>
      </w:rPr>
      <w:fldChar w:fldCharType="separate"/>
    </w:r>
    <w:r w:rsidR="00873009">
      <w:rPr>
        <w:rFonts w:asciiTheme="minorHAnsi" w:hAnsiTheme="minorHAnsi"/>
        <w:i/>
        <w:noProof/>
        <w:sz w:val="22"/>
        <w:szCs w:val="22"/>
      </w:rPr>
      <w:t>21</w:t>
    </w:r>
    <w:r w:rsidR="00B059CE" w:rsidRPr="00B059CE">
      <w:rPr>
        <w:rFonts w:asciiTheme="minorHAnsi" w:hAnsiTheme="minorHAnsi"/>
        <w: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49" w:rsidRDefault="00BB2349" w:rsidP="00486779">
      <w:r>
        <w:separator/>
      </w:r>
    </w:p>
  </w:footnote>
  <w:footnote w:type="continuationSeparator" w:id="0">
    <w:p w:rsidR="00BB2349" w:rsidRDefault="00BB2349" w:rsidP="00486779">
      <w:r>
        <w:continuationSeparator/>
      </w:r>
    </w:p>
  </w:footnote>
  <w:footnote w:id="1">
    <w:p w:rsidR="00F219A4" w:rsidRPr="00834A35" w:rsidRDefault="00F219A4" w:rsidP="00DE3081">
      <w:pPr>
        <w:pStyle w:val="FootnoteText"/>
        <w:rPr>
          <w:rFonts w:asciiTheme="minorHAnsi" w:hAnsiTheme="minorHAnsi"/>
        </w:rPr>
      </w:pPr>
      <w:r w:rsidRPr="00834A35">
        <w:rPr>
          <w:rStyle w:val="FootnoteReference"/>
          <w:rFonts w:asciiTheme="minorHAnsi" w:hAnsiTheme="minorHAnsi"/>
        </w:rPr>
        <w:footnoteRef/>
      </w:r>
      <w:r w:rsidRPr="00834A35">
        <w:rPr>
          <w:rFonts w:asciiTheme="minorHAnsi" w:hAnsiTheme="minorHAnsi"/>
        </w:rPr>
        <w:t xml:space="preserve"> DHHS data as reported in Local Government Area (LGA) Profile, June, 2016</w:t>
      </w:r>
    </w:p>
  </w:footnote>
  <w:footnote w:id="2">
    <w:p w:rsidR="00F219A4" w:rsidRDefault="00F219A4">
      <w:pPr>
        <w:pStyle w:val="FootnoteText"/>
      </w:pPr>
      <w:r w:rsidRPr="00834A35">
        <w:rPr>
          <w:rStyle w:val="FootnoteReference"/>
          <w:rFonts w:asciiTheme="minorHAnsi" w:hAnsiTheme="minorHAnsi"/>
        </w:rPr>
        <w:footnoteRef/>
      </w:r>
      <w:r w:rsidRPr="00834A35">
        <w:rPr>
          <w:rFonts w:asciiTheme="minorHAnsi" w:hAnsiTheme="minorHAnsi"/>
        </w:rPr>
        <w:t xml:space="preserve"> Based on 2016 Census data on households by tenure (place of enumeration data).  Note that the number of social housing dwellings reported in the Census is always lower than DHHS data due to households either not stating tenure or not in situ at the time of the Census.</w:t>
      </w:r>
      <w:r>
        <w:t xml:space="preserve"> </w:t>
      </w:r>
    </w:p>
  </w:footnote>
  <w:footnote w:id="3">
    <w:p w:rsidR="00F219A4" w:rsidRPr="00170B62" w:rsidRDefault="00F219A4">
      <w:pPr>
        <w:pStyle w:val="FootnoteText"/>
        <w:rPr>
          <w:rFonts w:asciiTheme="minorHAnsi" w:hAnsiTheme="minorHAnsi"/>
        </w:rPr>
      </w:pPr>
      <w:r w:rsidRPr="00170B62">
        <w:rPr>
          <w:rStyle w:val="FootnoteReference"/>
          <w:rFonts w:asciiTheme="minorHAnsi" w:hAnsiTheme="minorHAnsi"/>
        </w:rPr>
        <w:footnoteRef/>
      </w:r>
      <w:r w:rsidRPr="00170B62">
        <w:rPr>
          <w:rFonts w:asciiTheme="minorHAnsi" w:hAnsiTheme="minorHAnsi"/>
        </w:rPr>
        <w:t xml:space="preserve"> Based on 2006-2012 data on social housing stock.</w:t>
      </w:r>
    </w:p>
  </w:footnote>
  <w:footnote w:id="4">
    <w:p w:rsidR="00F219A4" w:rsidRDefault="00F219A4">
      <w:pPr>
        <w:pStyle w:val="FootnoteText"/>
      </w:pPr>
      <w:r w:rsidRPr="00170B62">
        <w:rPr>
          <w:rStyle w:val="FootnoteReference"/>
          <w:rFonts w:asciiTheme="minorHAnsi" w:hAnsiTheme="minorHAnsi"/>
        </w:rPr>
        <w:footnoteRef/>
      </w:r>
      <w:r w:rsidRPr="00170B62">
        <w:rPr>
          <w:rFonts w:asciiTheme="minorHAnsi" w:hAnsiTheme="minorHAnsi"/>
        </w:rPr>
        <w:t xml:space="preserve"> Based on 2012-2015</w:t>
      </w:r>
    </w:p>
  </w:footnote>
  <w:footnote w:id="5">
    <w:p w:rsidR="00F219A4" w:rsidRPr="009656F2" w:rsidRDefault="00F219A4" w:rsidP="00486779">
      <w:pPr>
        <w:pStyle w:val="FootnoteText"/>
        <w:rPr>
          <w:rFonts w:asciiTheme="minorHAnsi" w:hAnsiTheme="minorHAnsi"/>
        </w:rPr>
      </w:pPr>
      <w:r w:rsidRPr="009656F2">
        <w:rPr>
          <w:rStyle w:val="FootnoteReference"/>
          <w:rFonts w:asciiTheme="minorHAnsi" w:hAnsiTheme="minorHAnsi"/>
        </w:rPr>
        <w:footnoteRef/>
      </w:r>
      <w:r w:rsidRPr="009656F2">
        <w:rPr>
          <w:rFonts w:asciiTheme="minorHAnsi" w:hAnsiTheme="minorHAnsi"/>
        </w:rPr>
        <w:t xml:space="preserve"> Council is better positioned to influence the public sector, social housing market in partnership with social housing providers rather than affordable housing which is largely a function of the private sector housing market (home purchase and private rental) The primary means for influencing private development (through the Victorian Planning System) does not allow Councils to require developers to contribute to affordable and/or social housing.</w:t>
      </w:r>
    </w:p>
  </w:footnote>
  <w:footnote w:id="6">
    <w:p w:rsidR="00F219A4" w:rsidRPr="009656F2" w:rsidRDefault="00F219A4" w:rsidP="00456032">
      <w:pPr>
        <w:pStyle w:val="FootnoteText"/>
        <w:rPr>
          <w:rFonts w:asciiTheme="minorHAnsi" w:hAnsiTheme="minorHAnsi"/>
        </w:rPr>
      </w:pPr>
      <w:r w:rsidRPr="009656F2">
        <w:rPr>
          <w:rStyle w:val="FootnoteReference"/>
          <w:rFonts w:asciiTheme="minorHAnsi" w:hAnsiTheme="minorHAnsi"/>
        </w:rPr>
        <w:footnoteRef/>
      </w:r>
      <w:r w:rsidRPr="009656F2">
        <w:rPr>
          <w:rFonts w:asciiTheme="minorHAnsi" w:hAnsiTheme="minorHAnsi"/>
        </w:rPr>
        <w:t xml:space="preserve"> Less than $201 a week in 2006; less than $313 in 2011; less than $345 in 2016.</w:t>
      </w:r>
    </w:p>
  </w:footnote>
  <w:footnote w:id="7">
    <w:p w:rsidR="00F219A4" w:rsidRPr="00F52C42" w:rsidRDefault="00F219A4" w:rsidP="00456032">
      <w:pPr>
        <w:pStyle w:val="FootnoteText"/>
        <w:rPr>
          <w:i/>
        </w:rPr>
      </w:pPr>
      <w:r w:rsidRPr="009656F2">
        <w:rPr>
          <w:rStyle w:val="FootnoteReference"/>
          <w:rFonts w:asciiTheme="minorHAnsi" w:hAnsiTheme="minorHAnsi"/>
        </w:rPr>
        <w:footnoteRef/>
      </w:r>
      <w:r w:rsidRPr="009656F2">
        <w:rPr>
          <w:rFonts w:asciiTheme="minorHAnsi" w:hAnsiTheme="minorHAnsi"/>
        </w:rPr>
        <w:t xml:space="preserve"> Affordable rents are those that are affordable for lower income households in Victoria – based on a maximum of 30% of the income of indicative household types on a Centrelink income (plus Rent Assistance). Assumes that </w:t>
      </w:r>
      <w:proofErr w:type="gramStart"/>
      <w:r w:rsidRPr="009656F2">
        <w:rPr>
          <w:rFonts w:asciiTheme="minorHAnsi" w:hAnsiTheme="minorHAnsi"/>
          <w:i/>
        </w:rPr>
        <w:t>all affordable private lettings are accessed by those</w:t>
      </w:r>
      <w:proofErr w:type="gramEnd"/>
      <w:r w:rsidRPr="009656F2">
        <w:rPr>
          <w:rFonts w:asciiTheme="minorHAnsi" w:hAnsiTheme="minorHAnsi"/>
          <w:i/>
        </w:rPr>
        <w:t xml:space="preserve"> most in need (</w:t>
      </w:r>
      <w:proofErr w:type="spellStart"/>
      <w:r w:rsidRPr="009656F2">
        <w:rPr>
          <w:rFonts w:asciiTheme="minorHAnsi" w:hAnsiTheme="minorHAnsi"/>
          <w:i/>
        </w:rPr>
        <w:t>ie</w:t>
      </w:r>
      <w:proofErr w:type="spellEnd"/>
      <w:r w:rsidRPr="009656F2">
        <w:rPr>
          <w:rFonts w:asciiTheme="minorHAnsi" w:hAnsiTheme="minorHAnsi"/>
          <w:i/>
        </w:rPr>
        <w:t xml:space="preserve"> those in the lowest 10% of household incomes).</w:t>
      </w:r>
    </w:p>
  </w:footnote>
  <w:footnote w:id="8">
    <w:p w:rsidR="00F219A4" w:rsidRPr="009656F2" w:rsidRDefault="00F219A4" w:rsidP="00E1534F">
      <w:pPr>
        <w:pStyle w:val="FootnoteText"/>
        <w:rPr>
          <w:rFonts w:asciiTheme="minorHAnsi" w:hAnsiTheme="minorHAnsi"/>
        </w:rPr>
      </w:pPr>
      <w:r w:rsidRPr="009656F2">
        <w:rPr>
          <w:rStyle w:val="FootnoteReference"/>
          <w:rFonts w:asciiTheme="minorHAnsi" w:hAnsiTheme="minorHAnsi"/>
        </w:rPr>
        <w:footnoteRef/>
      </w:r>
      <w:r w:rsidRPr="009656F2">
        <w:rPr>
          <w:rFonts w:asciiTheme="minorHAnsi" w:hAnsiTheme="minorHAnsi"/>
        </w:rPr>
        <w:t xml:space="preserve"> VIF forecasting consistently higher than .id forecasting for Knox, Maroondah, </w:t>
      </w:r>
      <w:proofErr w:type="gramStart"/>
      <w:r w:rsidRPr="009656F2">
        <w:rPr>
          <w:rFonts w:asciiTheme="minorHAnsi" w:hAnsiTheme="minorHAnsi"/>
        </w:rPr>
        <w:t>Monash</w:t>
      </w:r>
      <w:proofErr w:type="gramEnd"/>
      <w:r w:rsidRPr="009656F2">
        <w:rPr>
          <w:rFonts w:asciiTheme="minorHAnsi" w:hAnsiTheme="minorHAnsi"/>
        </w:rPr>
        <w:t xml:space="preserve"> and Yarra Ranges; and lower than .id forecasting for Manningham and Whitehorse.</w:t>
      </w:r>
    </w:p>
  </w:footnote>
  <w:footnote w:id="9">
    <w:p w:rsidR="00F219A4" w:rsidRPr="00553A72" w:rsidRDefault="00F219A4" w:rsidP="00553A72">
      <w:pPr>
        <w:pStyle w:val="FootnoteText"/>
        <w:rPr>
          <w:rFonts w:asciiTheme="minorHAnsi" w:hAnsiTheme="minorHAnsi"/>
        </w:rPr>
      </w:pPr>
      <w:r w:rsidRPr="00553A72">
        <w:rPr>
          <w:rStyle w:val="FootnoteReference"/>
          <w:rFonts w:asciiTheme="minorHAnsi" w:hAnsiTheme="minorHAnsi"/>
        </w:rPr>
        <w:footnoteRef/>
      </w:r>
      <w:r w:rsidRPr="00553A72">
        <w:rPr>
          <w:rFonts w:asciiTheme="minorHAnsi" w:hAnsiTheme="minorHAnsi"/>
        </w:rPr>
        <w:t xml:space="preserve"> Estimate based on averaging .id forecast with estimated VIF forecast based on the latter’s trajectory as established in previous years. Refer Appendix A.</w:t>
      </w:r>
    </w:p>
  </w:footnote>
  <w:footnote w:id="10">
    <w:p w:rsidR="00F219A4" w:rsidRPr="00AC497D" w:rsidRDefault="00F219A4" w:rsidP="000D725F">
      <w:pPr>
        <w:pStyle w:val="FootnoteText"/>
        <w:rPr>
          <w:rFonts w:asciiTheme="minorHAnsi" w:hAnsiTheme="minorHAnsi"/>
        </w:rPr>
      </w:pPr>
      <w:r w:rsidRPr="00AC497D">
        <w:rPr>
          <w:rStyle w:val="FootnoteReference"/>
          <w:rFonts w:asciiTheme="minorHAnsi" w:hAnsiTheme="minorHAnsi"/>
        </w:rPr>
        <w:footnoteRef/>
      </w:r>
      <w:r w:rsidRPr="00AC497D">
        <w:rPr>
          <w:rFonts w:asciiTheme="minorHAnsi" w:hAnsiTheme="minorHAnsi"/>
        </w:rPr>
        <w:t xml:space="preserve"> Estimate based on averaging .id forecast with estimated VIF forecast based on the latter’s trajectory as established in previous years. Refer Appendix A.</w:t>
      </w:r>
    </w:p>
  </w:footnote>
  <w:footnote w:id="11">
    <w:p w:rsidR="00F219A4" w:rsidRPr="00AC497D" w:rsidRDefault="00F219A4" w:rsidP="008D7C04">
      <w:pPr>
        <w:pStyle w:val="FootnoteText"/>
        <w:rPr>
          <w:rFonts w:asciiTheme="minorHAnsi" w:hAnsiTheme="minorHAnsi"/>
        </w:rPr>
      </w:pPr>
      <w:r w:rsidRPr="00AC497D">
        <w:rPr>
          <w:rStyle w:val="FootnoteReference"/>
          <w:rFonts w:asciiTheme="minorHAnsi" w:hAnsiTheme="minorHAnsi"/>
        </w:rPr>
        <w:footnoteRef/>
      </w:r>
      <w:r w:rsidRPr="00AC497D">
        <w:rPr>
          <w:rFonts w:asciiTheme="minorHAnsi" w:hAnsiTheme="minorHAnsi"/>
        </w:rPr>
        <w:t xml:space="preserve"> Estimate based on averaging .id forecast with estimated VIF forecast based on the latter’s trajectory as established in previous years. Refer Appendix A.</w:t>
      </w:r>
    </w:p>
  </w:footnote>
  <w:footnote w:id="12">
    <w:p w:rsidR="00F219A4" w:rsidRPr="003B6CFF" w:rsidRDefault="00F219A4" w:rsidP="007B13A5">
      <w:pPr>
        <w:pStyle w:val="FootnoteText"/>
        <w:rPr>
          <w:rFonts w:asciiTheme="minorHAnsi" w:hAnsiTheme="minorHAnsi"/>
        </w:rPr>
      </w:pPr>
      <w:r w:rsidRPr="003B6CFF">
        <w:rPr>
          <w:rStyle w:val="FootnoteReference"/>
          <w:rFonts w:asciiTheme="minorHAnsi" w:hAnsiTheme="minorHAnsi"/>
        </w:rPr>
        <w:footnoteRef/>
      </w:r>
      <w:r w:rsidRPr="003B6CFF">
        <w:rPr>
          <w:rFonts w:asciiTheme="minorHAnsi" w:hAnsiTheme="minorHAnsi"/>
        </w:rPr>
        <w:t xml:space="preserve"> Estimate based on averaging .id forecast with estimated VIF forecast based on the latter’s trajectory as established in previous years. Refer Appendix A.</w:t>
      </w:r>
    </w:p>
  </w:footnote>
  <w:footnote w:id="13">
    <w:p w:rsidR="00F219A4" w:rsidRPr="003B6CFF" w:rsidRDefault="00F219A4" w:rsidP="007B13A5">
      <w:pPr>
        <w:pStyle w:val="FootnoteText"/>
        <w:rPr>
          <w:rFonts w:asciiTheme="minorHAnsi" w:hAnsiTheme="minorHAnsi"/>
        </w:rPr>
      </w:pPr>
      <w:r w:rsidRPr="003B6CFF">
        <w:rPr>
          <w:rStyle w:val="FootnoteReference"/>
          <w:rFonts w:asciiTheme="minorHAnsi" w:hAnsiTheme="minorHAnsi"/>
        </w:rPr>
        <w:footnoteRef/>
      </w:r>
      <w:r w:rsidRPr="003B6CFF">
        <w:rPr>
          <w:rFonts w:asciiTheme="minorHAnsi" w:hAnsiTheme="minorHAnsi"/>
        </w:rPr>
        <w:t xml:space="preserve"> Estimate based on averaging .id forecast with estimated VIF forecast based on the latter’s trajectory as established in previous years. Refer Appendix A.</w:t>
      </w:r>
    </w:p>
  </w:footnote>
  <w:footnote w:id="14">
    <w:p w:rsidR="00F219A4" w:rsidRPr="003B6CFF" w:rsidRDefault="00F219A4" w:rsidP="00C351B0">
      <w:pPr>
        <w:pStyle w:val="FootnoteText"/>
        <w:rPr>
          <w:rFonts w:asciiTheme="minorHAnsi" w:hAnsiTheme="minorHAnsi"/>
        </w:rPr>
      </w:pPr>
      <w:r w:rsidRPr="003B6CFF">
        <w:rPr>
          <w:rStyle w:val="FootnoteReference"/>
          <w:rFonts w:asciiTheme="minorHAnsi" w:hAnsiTheme="minorHAnsi"/>
        </w:rPr>
        <w:footnoteRef/>
      </w:r>
      <w:r w:rsidRPr="003B6CFF">
        <w:rPr>
          <w:rFonts w:asciiTheme="minorHAnsi" w:hAnsiTheme="minorHAnsi"/>
        </w:rPr>
        <w:t xml:space="preserve"> Estimate based on averaging .id forecast with estimated VIF forecast based on the latter’s trajectory as established in previous years. Refer Appendix A.</w:t>
      </w:r>
    </w:p>
  </w:footnote>
  <w:footnote w:id="15">
    <w:p w:rsidR="00F219A4" w:rsidRDefault="00F219A4">
      <w:pPr>
        <w:pStyle w:val="FootnoteText"/>
      </w:pPr>
      <w:r>
        <w:rPr>
          <w:rStyle w:val="FootnoteReference"/>
        </w:rPr>
        <w:footnoteRef/>
      </w:r>
      <w:r>
        <w:t xml:space="preserve"> All EAH municipalities currently subscribe to .id forecast.</w:t>
      </w:r>
    </w:p>
  </w:footnote>
  <w:footnote w:id="16">
    <w:p w:rsidR="00F219A4" w:rsidRPr="003B6CFF" w:rsidRDefault="00F219A4">
      <w:pPr>
        <w:pStyle w:val="FootnoteText"/>
        <w:rPr>
          <w:rFonts w:asciiTheme="minorHAnsi" w:hAnsiTheme="minorHAnsi"/>
        </w:rPr>
      </w:pPr>
      <w:r w:rsidRPr="003B6CFF">
        <w:rPr>
          <w:rStyle w:val="FootnoteReference"/>
          <w:rFonts w:asciiTheme="minorHAnsi" w:hAnsiTheme="minorHAnsi"/>
        </w:rPr>
        <w:footnoteRef/>
      </w:r>
      <w:r w:rsidRPr="003B6CFF">
        <w:rPr>
          <w:rFonts w:asciiTheme="minorHAnsi" w:hAnsiTheme="minorHAnsi"/>
        </w:rPr>
        <w:t xml:space="preserve"> Forecasts for </w:t>
      </w:r>
      <w:proofErr w:type="gramStart"/>
      <w:r w:rsidRPr="003B6CFF">
        <w:rPr>
          <w:rFonts w:asciiTheme="minorHAnsi" w:hAnsiTheme="minorHAnsi"/>
        </w:rPr>
        <w:t>2036  using</w:t>
      </w:r>
      <w:proofErr w:type="gramEnd"/>
      <w:r w:rsidRPr="003B6CFF">
        <w:rPr>
          <w:rFonts w:asciiTheme="minorHAnsi" w:hAnsiTheme="minorHAnsi"/>
        </w:rPr>
        <w:t xml:space="preserve"> </w:t>
      </w:r>
      <w:r w:rsidRPr="003B6CFF">
        <w:rPr>
          <w:rFonts w:asciiTheme="minorHAnsi" w:hAnsiTheme="minorHAnsi"/>
          <w:i/>
        </w:rPr>
        <w:t>estimated</w:t>
      </w:r>
      <w:r w:rsidRPr="003B6CFF">
        <w:rPr>
          <w:rFonts w:asciiTheme="minorHAnsi" w:hAnsiTheme="minorHAnsi"/>
        </w:rPr>
        <w:t xml:space="preserve"> VIF forecast based on the trajectory established in previous years. Refer Appendix A</w:t>
      </w:r>
    </w:p>
  </w:footnote>
  <w:footnote w:id="17">
    <w:p w:rsidR="00F219A4" w:rsidRPr="003470BF" w:rsidRDefault="00F219A4" w:rsidP="00CC0C90">
      <w:pPr>
        <w:pStyle w:val="FootnoteText"/>
      </w:pPr>
      <w:r w:rsidRPr="003B6CFF">
        <w:rPr>
          <w:rStyle w:val="FootnoteReference"/>
          <w:rFonts w:asciiTheme="minorHAnsi" w:hAnsiTheme="minorHAnsi"/>
        </w:rPr>
        <w:footnoteRef/>
      </w:r>
      <w:r w:rsidRPr="003B6CFF">
        <w:rPr>
          <w:rFonts w:asciiTheme="minorHAnsi" w:hAnsiTheme="minorHAnsi"/>
        </w:rPr>
        <w:t xml:space="preserve"> Renting-Private This figure excludes </w:t>
      </w:r>
      <w:r w:rsidRPr="003B6CFF">
        <w:rPr>
          <w:rFonts w:asciiTheme="minorHAnsi" w:hAnsiTheme="minorHAnsi"/>
          <w:i/>
        </w:rPr>
        <w:t xml:space="preserve">Renting –Social Housing </w:t>
      </w:r>
      <w:r w:rsidRPr="003B6CFF">
        <w:rPr>
          <w:rFonts w:asciiTheme="minorHAnsi" w:hAnsiTheme="minorHAnsi"/>
        </w:rPr>
        <w:t>which is accounted for under number of social housing dwellings.  In 2016 private rentals as a proportion of total dwellings -Knox (16.9%); Manningham (17.2%); Maroondah (20.4%); Monash (26.1%); Whitehorse (24.2%); Yarra Ranges (12.6%)</w:t>
      </w:r>
    </w:p>
  </w:footnote>
  <w:footnote w:id="18">
    <w:p w:rsidR="00F219A4" w:rsidRPr="00232A15" w:rsidRDefault="00F219A4" w:rsidP="00C36E6F">
      <w:pPr>
        <w:pStyle w:val="FootnoteText"/>
        <w:rPr>
          <w:rFonts w:asciiTheme="minorHAnsi" w:hAnsiTheme="minorHAnsi"/>
        </w:rPr>
      </w:pPr>
      <w:r w:rsidRPr="00232A15">
        <w:rPr>
          <w:rStyle w:val="FootnoteReference"/>
          <w:rFonts w:asciiTheme="minorHAnsi" w:hAnsiTheme="minorHAnsi"/>
        </w:rPr>
        <w:footnoteRef/>
      </w:r>
      <w:r w:rsidRPr="00232A15">
        <w:rPr>
          <w:rFonts w:asciiTheme="minorHAnsi" w:hAnsiTheme="minorHAnsi"/>
        </w:rPr>
        <w:t xml:space="preserve"> NB 2006 DHS figures on social housing pertain to </w:t>
      </w:r>
      <w:r w:rsidRPr="00232A15">
        <w:rPr>
          <w:rFonts w:asciiTheme="minorHAnsi" w:hAnsiTheme="minorHAnsi"/>
          <w:i/>
        </w:rPr>
        <w:t xml:space="preserve">Government-owned </w:t>
      </w:r>
      <w:r w:rsidRPr="00232A15">
        <w:rPr>
          <w:rFonts w:asciiTheme="minorHAnsi" w:hAnsiTheme="minorHAnsi"/>
        </w:rPr>
        <w:t xml:space="preserve">social housing only, specifically </w:t>
      </w:r>
      <w:r w:rsidRPr="00232A15">
        <w:rPr>
          <w:rFonts w:asciiTheme="minorHAnsi" w:hAnsiTheme="minorHAnsi"/>
          <w:i/>
        </w:rPr>
        <w:t xml:space="preserve">excluding </w:t>
      </w:r>
      <w:r w:rsidRPr="00232A15">
        <w:rPr>
          <w:rFonts w:asciiTheme="minorHAnsi" w:hAnsiTheme="minorHAnsi"/>
        </w:rPr>
        <w:t>community-owned social housing. Later reports included information on total social housing dwellings, defined as ‘Director-owned (including leases and other Director-managed dwellings) as well as Community-owned dwellings.’ The amount of community owned stock in 2006, however, is believed to have been relatively negligible.</w:t>
      </w:r>
    </w:p>
  </w:footnote>
  <w:footnote w:id="19">
    <w:p w:rsidR="00F219A4" w:rsidRPr="00D9262D" w:rsidRDefault="00F219A4" w:rsidP="007547DF">
      <w:pPr>
        <w:pStyle w:val="FootnoteText"/>
        <w:rPr>
          <w:rFonts w:asciiTheme="minorHAnsi" w:hAnsiTheme="minorHAnsi"/>
        </w:rPr>
      </w:pPr>
      <w:r w:rsidRPr="00D9262D">
        <w:rPr>
          <w:rStyle w:val="FootnoteReference"/>
          <w:rFonts w:asciiTheme="minorHAnsi" w:hAnsiTheme="minorHAnsi"/>
        </w:rPr>
        <w:footnoteRef/>
      </w:r>
      <w:r w:rsidRPr="00D9262D">
        <w:rPr>
          <w:rFonts w:asciiTheme="minorHAnsi" w:hAnsiTheme="minorHAnsi"/>
        </w:rPr>
        <w:t xml:space="preserve"> Per annum figures rounded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A4" w:rsidRPr="00834A35" w:rsidRDefault="00F219A4" w:rsidP="00834A35">
    <w:pPr>
      <w:jc w:val="right"/>
      <w:rPr>
        <w:rFonts w:ascii="Calibri" w:eastAsiaTheme="minorHAnsi" w:hAnsi="Calibri" w:cstheme="minorBidi"/>
        <w:color w:val="1F497D" w:themeColor="text2"/>
        <w:sz w:val="32"/>
        <w:szCs w:val="36"/>
        <w:lang w:val="en-US" w:eastAsia="en-US"/>
      </w:rPr>
    </w:pPr>
    <w:r w:rsidRPr="00834A35">
      <w:rPr>
        <w:rFonts w:ascii="Calibri" w:eastAsiaTheme="minorHAnsi" w:hAnsi="Calibri" w:cstheme="minorBidi"/>
        <w:color w:val="1F497D" w:themeColor="text2"/>
        <w:sz w:val="32"/>
        <w:szCs w:val="36"/>
        <w:lang w:val="en-US" w:eastAsia="en-US"/>
      </w:rPr>
      <w:t xml:space="preserve">Minimum supply of social housing, </w:t>
    </w:r>
  </w:p>
  <w:p w:rsidR="00F219A4" w:rsidRPr="00834A35" w:rsidRDefault="00F219A4" w:rsidP="00834A35">
    <w:pPr>
      <w:jc w:val="right"/>
      <w:rPr>
        <w:rFonts w:ascii="Calibri" w:eastAsiaTheme="minorHAnsi" w:hAnsi="Calibri" w:cstheme="minorBidi"/>
        <w:color w:val="1F497D" w:themeColor="text2"/>
        <w:sz w:val="32"/>
        <w:szCs w:val="36"/>
        <w:lang w:val="en-US" w:eastAsia="en-US"/>
      </w:rPr>
    </w:pPr>
    <w:r w:rsidRPr="00834A35">
      <w:rPr>
        <w:rFonts w:ascii="Calibri" w:eastAsiaTheme="minorHAnsi" w:hAnsi="Calibri" w:cstheme="minorBidi"/>
        <w:color w:val="1F497D" w:themeColor="text2"/>
        <w:sz w:val="32"/>
        <w:szCs w:val="36"/>
        <w:lang w:val="en-US" w:eastAsia="en-US"/>
      </w:rPr>
      <w:t xml:space="preserve">Eastern Metropolitan Region </w:t>
    </w:r>
  </w:p>
  <w:p w:rsidR="00F219A4" w:rsidRPr="00834A35" w:rsidRDefault="00F219A4" w:rsidP="00834A35">
    <w:pPr>
      <w:jc w:val="right"/>
      <w:rPr>
        <w:rFonts w:ascii="Calibri" w:eastAsiaTheme="minorHAnsi" w:hAnsi="Calibri" w:cstheme="minorBidi"/>
        <w:color w:val="1F497D" w:themeColor="text2"/>
        <w:sz w:val="32"/>
        <w:szCs w:val="36"/>
        <w:lang w:val="en-US" w:eastAsia="en-US"/>
      </w:rPr>
    </w:pPr>
    <w:r w:rsidRPr="00834A35">
      <w:rPr>
        <w:rFonts w:ascii="Calibri" w:eastAsiaTheme="minorHAnsi" w:hAnsi="Calibri" w:cstheme="minorBidi"/>
        <w:color w:val="1F497D" w:themeColor="text2"/>
        <w:sz w:val="32"/>
        <w:szCs w:val="36"/>
        <w:lang w:val="en-US" w:eastAsia="en-US"/>
      </w:rPr>
      <w:t>(2016-2036)</w:t>
    </w:r>
  </w:p>
  <w:p w:rsidR="00F219A4" w:rsidRDefault="00F219A4">
    <w:pPr>
      <w:pStyle w:val="Header"/>
    </w:pPr>
    <w:r w:rsidRPr="00A2345A">
      <w:rPr>
        <w:noProof/>
      </w:rPr>
      <w:drawing>
        <wp:anchor distT="0" distB="0" distL="114300" distR="114300" simplePos="0" relativeHeight="251661312" behindDoc="1" locked="0" layoutInCell="1" allowOverlap="1" wp14:anchorId="28261E6A" wp14:editId="59698340">
          <wp:simplePos x="0" y="0"/>
          <wp:positionH relativeFrom="column">
            <wp:posOffset>-1125822</wp:posOffset>
          </wp:positionH>
          <wp:positionV relativeFrom="page">
            <wp:posOffset>-106037</wp:posOffset>
          </wp:positionV>
          <wp:extent cx="7559283" cy="2053589"/>
          <wp:effectExtent l="0" t="0" r="3810" b="444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orate Header - Follower Page A4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283" cy="20535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A4" w:rsidRDefault="00F219A4" w:rsidP="000044F0">
    <w:pPr>
      <w:jc w:val="right"/>
      <w:rPr>
        <w:rFonts w:ascii="Calibri" w:eastAsiaTheme="minorHAnsi" w:hAnsi="Calibri" w:cstheme="minorBidi"/>
        <w:color w:val="FFFFFF" w:themeColor="background1"/>
        <w:sz w:val="40"/>
        <w:szCs w:val="40"/>
        <w:lang w:val="en-US" w:eastAsia="en-US"/>
      </w:rPr>
    </w:pPr>
    <w:r w:rsidRPr="000044F0">
      <w:rPr>
        <w:noProof/>
        <w:sz w:val="40"/>
        <w:szCs w:val="40"/>
      </w:rPr>
      <w:drawing>
        <wp:anchor distT="0" distB="0" distL="114300" distR="114300" simplePos="0" relativeHeight="251659264" behindDoc="1" locked="0" layoutInCell="1" allowOverlap="1" wp14:anchorId="5D2282B7" wp14:editId="0FFD898A">
          <wp:simplePos x="0" y="0"/>
          <wp:positionH relativeFrom="column">
            <wp:posOffset>-1151853</wp:posOffset>
          </wp:positionH>
          <wp:positionV relativeFrom="page">
            <wp:posOffset>-20955</wp:posOffset>
          </wp:positionV>
          <wp:extent cx="7560000" cy="2772914"/>
          <wp:effectExtent l="0" t="0" r="3175"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Header A4_Blue &amp; Light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772914"/>
                  </a:xfrm>
                  <a:prstGeom prst="rect">
                    <a:avLst/>
                  </a:prstGeom>
                </pic:spPr>
              </pic:pic>
            </a:graphicData>
          </a:graphic>
          <wp14:sizeRelH relativeFrom="page">
            <wp14:pctWidth>0</wp14:pctWidth>
          </wp14:sizeRelH>
          <wp14:sizeRelV relativeFrom="page">
            <wp14:pctHeight>0</wp14:pctHeight>
          </wp14:sizeRelV>
        </wp:anchor>
      </w:drawing>
    </w:r>
    <w:r w:rsidRPr="000044F0">
      <w:rPr>
        <w:rFonts w:ascii="Calibri" w:eastAsiaTheme="minorHAnsi" w:hAnsi="Calibri" w:cstheme="minorBidi"/>
        <w:color w:val="FFFFFF" w:themeColor="background1"/>
        <w:sz w:val="40"/>
        <w:szCs w:val="40"/>
        <w:lang w:val="en-US" w:eastAsia="en-US"/>
      </w:rPr>
      <w:t xml:space="preserve">Minimum supply of social housing, </w:t>
    </w:r>
  </w:p>
  <w:p w:rsidR="00F219A4" w:rsidRPr="000044F0" w:rsidRDefault="00F219A4" w:rsidP="000044F0">
    <w:pPr>
      <w:jc w:val="right"/>
      <w:rPr>
        <w:rFonts w:ascii="Calibri" w:eastAsiaTheme="minorHAnsi" w:hAnsi="Calibri" w:cstheme="minorBidi"/>
        <w:color w:val="FFFFFF" w:themeColor="background1"/>
        <w:sz w:val="40"/>
        <w:szCs w:val="40"/>
        <w:lang w:val="en-US" w:eastAsia="en-US"/>
      </w:rPr>
    </w:pPr>
    <w:r w:rsidRPr="000044F0">
      <w:rPr>
        <w:rFonts w:ascii="Calibri" w:eastAsiaTheme="minorHAnsi" w:hAnsi="Calibri" w:cstheme="minorBidi"/>
        <w:color w:val="FFFFFF" w:themeColor="background1"/>
        <w:sz w:val="40"/>
        <w:szCs w:val="40"/>
        <w:lang w:val="en-US" w:eastAsia="en-US"/>
      </w:rPr>
      <w:t xml:space="preserve">Eastern Metropolitan Region </w:t>
    </w:r>
  </w:p>
  <w:p w:rsidR="00F219A4" w:rsidRPr="000044F0" w:rsidRDefault="00F219A4" w:rsidP="000044F0">
    <w:pPr>
      <w:jc w:val="right"/>
      <w:rPr>
        <w:rFonts w:ascii="Calibri" w:eastAsiaTheme="minorHAnsi" w:hAnsi="Calibri" w:cstheme="minorBidi"/>
        <w:color w:val="FFFFFF" w:themeColor="background1"/>
        <w:sz w:val="40"/>
        <w:szCs w:val="40"/>
        <w:lang w:val="en-US" w:eastAsia="en-US"/>
      </w:rPr>
    </w:pPr>
    <w:r w:rsidRPr="000044F0">
      <w:rPr>
        <w:rFonts w:ascii="Calibri" w:eastAsiaTheme="minorHAnsi" w:hAnsi="Calibri" w:cstheme="minorBidi"/>
        <w:color w:val="FFFFFF" w:themeColor="background1"/>
        <w:sz w:val="40"/>
        <w:szCs w:val="40"/>
        <w:lang w:val="en-US" w:eastAsia="en-US"/>
      </w:rPr>
      <w:t>(2016-2036)</w:t>
    </w:r>
  </w:p>
  <w:p w:rsidR="00F219A4" w:rsidRDefault="00F219A4" w:rsidP="000044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C07"/>
    <w:multiLevelType w:val="hybridMultilevel"/>
    <w:tmpl w:val="3670B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F3AA3"/>
    <w:multiLevelType w:val="hybridMultilevel"/>
    <w:tmpl w:val="99F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8B7"/>
    <w:multiLevelType w:val="hybridMultilevel"/>
    <w:tmpl w:val="9AFC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04A65"/>
    <w:multiLevelType w:val="hybridMultilevel"/>
    <w:tmpl w:val="3670B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21765"/>
    <w:multiLevelType w:val="hybridMultilevel"/>
    <w:tmpl w:val="2FA8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B16A52"/>
    <w:multiLevelType w:val="hybridMultilevel"/>
    <w:tmpl w:val="E45AD154"/>
    <w:lvl w:ilvl="0" w:tplc="00C4B36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82D6F"/>
    <w:multiLevelType w:val="hybridMultilevel"/>
    <w:tmpl w:val="60B6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CF1EEB"/>
    <w:multiLevelType w:val="hybridMultilevel"/>
    <w:tmpl w:val="CF6AC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6762AB"/>
    <w:multiLevelType w:val="hybridMultilevel"/>
    <w:tmpl w:val="F286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4C254B"/>
    <w:multiLevelType w:val="hybridMultilevel"/>
    <w:tmpl w:val="CCA4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A85817"/>
    <w:multiLevelType w:val="hybridMultilevel"/>
    <w:tmpl w:val="E2C41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D66C66"/>
    <w:multiLevelType w:val="hybridMultilevel"/>
    <w:tmpl w:val="DB78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D421CF"/>
    <w:multiLevelType w:val="hybridMultilevel"/>
    <w:tmpl w:val="1540872A"/>
    <w:lvl w:ilvl="0" w:tplc="768C3D18">
      <w:start w:val="1"/>
      <w:numFmt w:val="decimal"/>
      <w:lvlText w:val="%1."/>
      <w:lvlJc w:val="left"/>
      <w:pPr>
        <w:ind w:left="-491" w:hanging="360"/>
      </w:pPr>
      <w:rPr>
        <w:rFonts w:hint="default"/>
      </w:rPr>
    </w:lvl>
    <w:lvl w:ilvl="1" w:tplc="0C090019" w:tentative="1">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13" w15:restartNumberingAfterBreak="0">
    <w:nsid w:val="77F00BB3"/>
    <w:multiLevelType w:val="hybridMultilevel"/>
    <w:tmpl w:val="0044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3"/>
  </w:num>
  <w:num w:numId="5">
    <w:abstractNumId w:val="11"/>
  </w:num>
  <w:num w:numId="6">
    <w:abstractNumId w:val="9"/>
  </w:num>
  <w:num w:numId="7">
    <w:abstractNumId w:val="7"/>
  </w:num>
  <w:num w:numId="8">
    <w:abstractNumId w:val="4"/>
  </w:num>
  <w:num w:numId="9">
    <w:abstractNumId w:val="6"/>
  </w:num>
  <w:num w:numId="10">
    <w:abstractNumId w:val="1"/>
  </w:num>
  <w:num w:numId="11">
    <w:abstractNumId w:val="8"/>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9A"/>
    <w:rsid w:val="000009B1"/>
    <w:rsid w:val="00001E38"/>
    <w:rsid w:val="00002A96"/>
    <w:rsid w:val="00002D4B"/>
    <w:rsid w:val="000044F0"/>
    <w:rsid w:val="00004F8F"/>
    <w:rsid w:val="000055C2"/>
    <w:rsid w:val="00006A9E"/>
    <w:rsid w:val="000074B2"/>
    <w:rsid w:val="00007B89"/>
    <w:rsid w:val="00013307"/>
    <w:rsid w:val="00020D3C"/>
    <w:rsid w:val="00022037"/>
    <w:rsid w:val="00025C88"/>
    <w:rsid w:val="00026374"/>
    <w:rsid w:val="000265BE"/>
    <w:rsid w:val="00027CB0"/>
    <w:rsid w:val="00031572"/>
    <w:rsid w:val="000351DE"/>
    <w:rsid w:val="00037B98"/>
    <w:rsid w:val="00041AB6"/>
    <w:rsid w:val="00041BAE"/>
    <w:rsid w:val="00042AD7"/>
    <w:rsid w:val="00044A3C"/>
    <w:rsid w:val="000465EC"/>
    <w:rsid w:val="00047A8E"/>
    <w:rsid w:val="000529E1"/>
    <w:rsid w:val="000569D5"/>
    <w:rsid w:val="00065DCC"/>
    <w:rsid w:val="00066B98"/>
    <w:rsid w:val="00077ACD"/>
    <w:rsid w:val="00080CC2"/>
    <w:rsid w:val="00081F09"/>
    <w:rsid w:val="00082927"/>
    <w:rsid w:val="000905BC"/>
    <w:rsid w:val="00091364"/>
    <w:rsid w:val="000917A9"/>
    <w:rsid w:val="0009275E"/>
    <w:rsid w:val="000A03AA"/>
    <w:rsid w:val="000A22CE"/>
    <w:rsid w:val="000A2BA4"/>
    <w:rsid w:val="000A4290"/>
    <w:rsid w:val="000B4092"/>
    <w:rsid w:val="000B5294"/>
    <w:rsid w:val="000C06AE"/>
    <w:rsid w:val="000C1832"/>
    <w:rsid w:val="000C3D6F"/>
    <w:rsid w:val="000C5594"/>
    <w:rsid w:val="000C65A1"/>
    <w:rsid w:val="000C780C"/>
    <w:rsid w:val="000D36BB"/>
    <w:rsid w:val="000D4497"/>
    <w:rsid w:val="000D46E9"/>
    <w:rsid w:val="000D6404"/>
    <w:rsid w:val="000D725F"/>
    <w:rsid w:val="000E3489"/>
    <w:rsid w:val="000F1766"/>
    <w:rsid w:val="000F2494"/>
    <w:rsid w:val="000F4FAA"/>
    <w:rsid w:val="000F61EF"/>
    <w:rsid w:val="001028A8"/>
    <w:rsid w:val="00102A9B"/>
    <w:rsid w:val="001077D6"/>
    <w:rsid w:val="001117C5"/>
    <w:rsid w:val="001117C6"/>
    <w:rsid w:val="00111DD1"/>
    <w:rsid w:val="001142FD"/>
    <w:rsid w:val="0011736A"/>
    <w:rsid w:val="001249C6"/>
    <w:rsid w:val="001254EE"/>
    <w:rsid w:val="001315CF"/>
    <w:rsid w:val="00131888"/>
    <w:rsid w:val="001332F2"/>
    <w:rsid w:val="001341D0"/>
    <w:rsid w:val="00135A83"/>
    <w:rsid w:val="00142BA0"/>
    <w:rsid w:val="00142CC4"/>
    <w:rsid w:val="0014439A"/>
    <w:rsid w:val="00146D9C"/>
    <w:rsid w:val="00146E71"/>
    <w:rsid w:val="0014766A"/>
    <w:rsid w:val="00151779"/>
    <w:rsid w:val="00152609"/>
    <w:rsid w:val="00152CC3"/>
    <w:rsid w:val="00155931"/>
    <w:rsid w:val="00155AE4"/>
    <w:rsid w:val="00155FC9"/>
    <w:rsid w:val="00156151"/>
    <w:rsid w:val="00156FFB"/>
    <w:rsid w:val="00157175"/>
    <w:rsid w:val="001571CA"/>
    <w:rsid w:val="001577ED"/>
    <w:rsid w:val="001609CC"/>
    <w:rsid w:val="00164711"/>
    <w:rsid w:val="001650EB"/>
    <w:rsid w:val="001679A6"/>
    <w:rsid w:val="00170B62"/>
    <w:rsid w:val="00174184"/>
    <w:rsid w:val="0017431A"/>
    <w:rsid w:val="00174B5D"/>
    <w:rsid w:val="00184168"/>
    <w:rsid w:val="00192798"/>
    <w:rsid w:val="001932F3"/>
    <w:rsid w:val="001940E8"/>
    <w:rsid w:val="001944A0"/>
    <w:rsid w:val="00194E03"/>
    <w:rsid w:val="001A20DB"/>
    <w:rsid w:val="001B0A41"/>
    <w:rsid w:val="001B2AC1"/>
    <w:rsid w:val="001B3048"/>
    <w:rsid w:val="001B3A02"/>
    <w:rsid w:val="001B436C"/>
    <w:rsid w:val="001B491F"/>
    <w:rsid w:val="001B6BD8"/>
    <w:rsid w:val="001B74EC"/>
    <w:rsid w:val="001C0E97"/>
    <w:rsid w:val="001C22CC"/>
    <w:rsid w:val="001C617A"/>
    <w:rsid w:val="001C6A6A"/>
    <w:rsid w:val="001C7801"/>
    <w:rsid w:val="001D0FCA"/>
    <w:rsid w:val="001D119E"/>
    <w:rsid w:val="001D2A36"/>
    <w:rsid w:val="001E074D"/>
    <w:rsid w:val="001E1ED7"/>
    <w:rsid w:val="001E2F9D"/>
    <w:rsid w:val="001E3354"/>
    <w:rsid w:val="001E4CA1"/>
    <w:rsid w:val="001E6F4B"/>
    <w:rsid w:val="001F116C"/>
    <w:rsid w:val="001F24E7"/>
    <w:rsid w:val="001F2699"/>
    <w:rsid w:val="001F2D17"/>
    <w:rsid w:val="001F467E"/>
    <w:rsid w:val="001F6FAF"/>
    <w:rsid w:val="00201A13"/>
    <w:rsid w:val="002022AA"/>
    <w:rsid w:val="00203B7D"/>
    <w:rsid w:val="0020677B"/>
    <w:rsid w:val="00207564"/>
    <w:rsid w:val="00207847"/>
    <w:rsid w:val="00210EA5"/>
    <w:rsid w:val="00211551"/>
    <w:rsid w:val="0021246E"/>
    <w:rsid w:val="002178C4"/>
    <w:rsid w:val="002208B9"/>
    <w:rsid w:val="0022284D"/>
    <w:rsid w:val="00225664"/>
    <w:rsid w:val="00226377"/>
    <w:rsid w:val="00232A15"/>
    <w:rsid w:val="0023671E"/>
    <w:rsid w:val="0024420B"/>
    <w:rsid w:val="002444E7"/>
    <w:rsid w:val="0024491E"/>
    <w:rsid w:val="00245E35"/>
    <w:rsid w:val="002504CA"/>
    <w:rsid w:val="002505F6"/>
    <w:rsid w:val="0025186D"/>
    <w:rsid w:val="00252900"/>
    <w:rsid w:val="0025510D"/>
    <w:rsid w:val="00261EFD"/>
    <w:rsid w:val="00267165"/>
    <w:rsid w:val="00267271"/>
    <w:rsid w:val="0027347D"/>
    <w:rsid w:val="0027723B"/>
    <w:rsid w:val="0028092F"/>
    <w:rsid w:val="002816D8"/>
    <w:rsid w:val="00281B7F"/>
    <w:rsid w:val="00281FE2"/>
    <w:rsid w:val="002825BD"/>
    <w:rsid w:val="00283D27"/>
    <w:rsid w:val="00284D28"/>
    <w:rsid w:val="00285B68"/>
    <w:rsid w:val="00286725"/>
    <w:rsid w:val="0029087B"/>
    <w:rsid w:val="002918EF"/>
    <w:rsid w:val="0029295E"/>
    <w:rsid w:val="0029666A"/>
    <w:rsid w:val="002A250C"/>
    <w:rsid w:val="002A2F9E"/>
    <w:rsid w:val="002A306F"/>
    <w:rsid w:val="002A4294"/>
    <w:rsid w:val="002B15ED"/>
    <w:rsid w:val="002B2F17"/>
    <w:rsid w:val="002B4D62"/>
    <w:rsid w:val="002B5174"/>
    <w:rsid w:val="002C04E3"/>
    <w:rsid w:val="002C2161"/>
    <w:rsid w:val="002C2991"/>
    <w:rsid w:val="002C60B9"/>
    <w:rsid w:val="002C662C"/>
    <w:rsid w:val="002C6974"/>
    <w:rsid w:val="002E1395"/>
    <w:rsid w:val="002E170A"/>
    <w:rsid w:val="002E3BFC"/>
    <w:rsid w:val="002E7C3F"/>
    <w:rsid w:val="002F0398"/>
    <w:rsid w:val="002F0745"/>
    <w:rsid w:val="002F19CE"/>
    <w:rsid w:val="002F6017"/>
    <w:rsid w:val="002F7F4D"/>
    <w:rsid w:val="00303023"/>
    <w:rsid w:val="003036BD"/>
    <w:rsid w:val="003075AB"/>
    <w:rsid w:val="00311283"/>
    <w:rsid w:val="003121E5"/>
    <w:rsid w:val="00312399"/>
    <w:rsid w:val="00312519"/>
    <w:rsid w:val="00312A62"/>
    <w:rsid w:val="00312E7A"/>
    <w:rsid w:val="0031485C"/>
    <w:rsid w:val="00315577"/>
    <w:rsid w:val="00321BEB"/>
    <w:rsid w:val="00322862"/>
    <w:rsid w:val="0032328B"/>
    <w:rsid w:val="003257D4"/>
    <w:rsid w:val="00335246"/>
    <w:rsid w:val="00335385"/>
    <w:rsid w:val="00335F7C"/>
    <w:rsid w:val="003360CA"/>
    <w:rsid w:val="00336F7D"/>
    <w:rsid w:val="00340CAB"/>
    <w:rsid w:val="00341172"/>
    <w:rsid w:val="00344EC8"/>
    <w:rsid w:val="00346943"/>
    <w:rsid w:val="00354619"/>
    <w:rsid w:val="00360F7D"/>
    <w:rsid w:val="0036290F"/>
    <w:rsid w:val="00364DC3"/>
    <w:rsid w:val="00366E41"/>
    <w:rsid w:val="00367CB9"/>
    <w:rsid w:val="00370618"/>
    <w:rsid w:val="00372EAD"/>
    <w:rsid w:val="00376835"/>
    <w:rsid w:val="00376841"/>
    <w:rsid w:val="003774C8"/>
    <w:rsid w:val="003777D9"/>
    <w:rsid w:val="00382B17"/>
    <w:rsid w:val="003856D9"/>
    <w:rsid w:val="0038648E"/>
    <w:rsid w:val="00391390"/>
    <w:rsid w:val="00391A49"/>
    <w:rsid w:val="00392CCA"/>
    <w:rsid w:val="00393F77"/>
    <w:rsid w:val="003955C0"/>
    <w:rsid w:val="00397A5C"/>
    <w:rsid w:val="003A29E8"/>
    <w:rsid w:val="003A495E"/>
    <w:rsid w:val="003A6BB0"/>
    <w:rsid w:val="003A7E1D"/>
    <w:rsid w:val="003B17B5"/>
    <w:rsid w:val="003B188F"/>
    <w:rsid w:val="003B6CFF"/>
    <w:rsid w:val="003C5355"/>
    <w:rsid w:val="003C6955"/>
    <w:rsid w:val="003C6E1C"/>
    <w:rsid w:val="003C72CA"/>
    <w:rsid w:val="003C7B4B"/>
    <w:rsid w:val="003D0852"/>
    <w:rsid w:val="003D09C4"/>
    <w:rsid w:val="003D3331"/>
    <w:rsid w:val="003D4014"/>
    <w:rsid w:val="003D4D92"/>
    <w:rsid w:val="003D6027"/>
    <w:rsid w:val="003D6158"/>
    <w:rsid w:val="003E1AE3"/>
    <w:rsid w:val="003E1C44"/>
    <w:rsid w:val="003E214D"/>
    <w:rsid w:val="003E35D7"/>
    <w:rsid w:val="003E5D94"/>
    <w:rsid w:val="003E772D"/>
    <w:rsid w:val="003E77B1"/>
    <w:rsid w:val="003F59E5"/>
    <w:rsid w:val="003F5A77"/>
    <w:rsid w:val="003F7460"/>
    <w:rsid w:val="00402689"/>
    <w:rsid w:val="004074B4"/>
    <w:rsid w:val="00407903"/>
    <w:rsid w:val="00412A71"/>
    <w:rsid w:val="004132BC"/>
    <w:rsid w:val="00413A69"/>
    <w:rsid w:val="0041450F"/>
    <w:rsid w:val="004171A4"/>
    <w:rsid w:val="0042001B"/>
    <w:rsid w:val="00420A63"/>
    <w:rsid w:val="0042161E"/>
    <w:rsid w:val="00421935"/>
    <w:rsid w:val="004219A7"/>
    <w:rsid w:val="00431570"/>
    <w:rsid w:val="00431597"/>
    <w:rsid w:val="004316AB"/>
    <w:rsid w:val="00435695"/>
    <w:rsid w:val="0043574D"/>
    <w:rsid w:val="00437474"/>
    <w:rsid w:val="00441525"/>
    <w:rsid w:val="004435D1"/>
    <w:rsid w:val="00447517"/>
    <w:rsid w:val="00451694"/>
    <w:rsid w:val="00456032"/>
    <w:rsid w:val="00456B6D"/>
    <w:rsid w:val="0045762F"/>
    <w:rsid w:val="004615D8"/>
    <w:rsid w:val="00461BFA"/>
    <w:rsid w:val="00462159"/>
    <w:rsid w:val="00464967"/>
    <w:rsid w:val="00470CED"/>
    <w:rsid w:val="004722E7"/>
    <w:rsid w:val="00473285"/>
    <w:rsid w:val="00475D68"/>
    <w:rsid w:val="00477101"/>
    <w:rsid w:val="004773F8"/>
    <w:rsid w:val="004861F8"/>
    <w:rsid w:val="00486779"/>
    <w:rsid w:val="00486BF9"/>
    <w:rsid w:val="00487DED"/>
    <w:rsid w:val="00490B1A"/>
    <w:rsid w:val="00491196"/>
    <w:rsid w:val="00491D36"/>
    <w:rsid w:val="004927AA"/>
    <w:rsid w:val="0049714D"/>
    <w:rsid w:val="004A0DB2"/>
    <w:rsid w:val="004A309F"/>
    <w:rsid w:val="004A3D27"/>
    <w:rsid w:val="004A4284"/>
    <w:rsid w:val="004A631B"/>
    <w:rsid w:val="004B2FA1"/>
    <w:rsid w:val="004B3883"/>
    <w:rsid w:val="004B432C"/>
    <w:rsid w:val="004C044A"/>
    <w:rsid w:val="004D5358"/>
    <w:rsid w:val="004D6A9C"/>
    <w:rsid w:val="004D79CF"/>
    <w:rsid w:val="004E074F"/>
    <w:rsid w:val="004E17D9"/>
    <w:rsid w:val="004E29AE"/>
    <w:rsid w:val="004E2EE9"/>
    <w:rsid w:val="004E5961"/>
    <w:rsid w:val="004E7726"/>
    <w:rsid w:val="004F0BA1"/>
    <w:rsid w:val="004F0C63"/>
    <w:rsid w:val="004F3183"/>
    <w:rsid w:val="004F3539"/>
    <w:rsid w:val="004F36C2"/>
    <w:rsid w:val="004F5B92"/>
    <w:rsid w:val="004F7274"/>
    <w:rsid w:val="004F7AC7"/>
    <w:rsid w:val="005042B3"/>
    <w:rsid w:val="00510B71"/>
    <w:rsid w:val="005135E0"/>
    <w:rsid w:val="005153DA"/>
    <w:rsid w:val="00516331"/>
    <w:rsid w:val="00517AB2"/>
    <w:rsid w:val="00521B6E"/>
    <w:rsid w:val="00525E78"/>
    <w:rsid w:val="00531C64"/>
    <w:rsid w:val="0053231F"/>
    <w:rsid w:val="00532B2E"/>
    <w:rsid w:val="00534AA1"/>
    <w:rsid w:val="00534F42"/>
    <w:rsid w:val="0054462B"/>
    <w:rsid w:val="00545307"/>
    <w:rsid w:val="00545441"/>
    <w:rsid w:val="005469F2"/>
    <w:rsid w:val="00551110"/>
    <w:rsid w:val="00553A72"/>
    <w:rsid w:val="005558B3"/>
    <w:rsid w:val="00556643"/>
    <w:rsid w:val="00562058"/>
    <w:rsid w:val="00563C49"/>
    <w:rsid w:val="005656C0"/>
    <w:rsid w:val="005669BD"/>
    <w:rsid w:val="00567E76"/>
    <w:rsid w:val="00577E17"/>
    <w:rsid w:val="005807D5"/>
    <w:rsid w:val="005853F0"/>
    <w:rsid w:val="00585582"/>
    <w:rsid w:val="005916AD"/>
    <w:rsid w:val="00592878"/>
    <w:rsid w:val="00597FDC"/>
    <w:rsid w:val="005A094E"/>
    <w:rsid w:val="005A235A"/>
    <w:rsid w:val="005A4919"/>
    <w:rsid w:val="005A6B8D"/>
    <w:rsid w:val="005A6E39"/>
    <w:rsid w:val="005A7761"/>
    <w:rsid w:val="005A7B3B"/>
    <w:rsid w:val="005B1070"/>
    <w:rsid w:val="005B364C"/>
    <w:rsid w:val="005B3B60"/>
    <w:rsid w:val="005B5033"/>
    <w:rsid w:val="005B61F4"/>
    <w:rsid w:val="005B6541"/>
    <w:rsid w:val="005D1477"/>
    <w:rsid w:val="005D1A66"/>
    <w:rsid w:val="005D26B7"/>
    <w:rsid w:val="005D337E"/>
    <w:rsid w:val="005D748C"/>
    <w:rsid w:val="005D7514"/>
    <w:rsid w:val="005E24B8"/>
    <w:rsid w:val="005E3621"/>
    <w:rsid w:val="005E3837"/>
    <w:rsid w:val="005F23B9"/>
    <w:rsid w:val="005F36CD"/>
    <w:rsid w:val="005F521B"/>
    <w:rsid w:val="005F79B8"/>
    <w:rsid w:val="0060590A"/>
    <w:rsid w:val="00610B24"/>
    <w:rsid w:val="0061286A"/>
    <w:rsid w:val="00612B6A"/>
    <w:rsid w:val="00613FEF"/>
    <w:rsid w:val="00615282"/>
    <w:rsid w:val="0061671F"/>
    <w:rsid w:val="00616FD2"/>
    <w:rsid w:val="006175A0"/>
    <w:rsid w:val="00620271"/>
    <w:rsid w:val="006232A3"/>
    <w:rsid w:val="00630A3D"/>
    <w:rsid w:val="0063202D"/>
    <w:rsid w:val="00632522"/>
    <w:rsid w:val="00635426"/>
    <w:rsid w:val="006370B7"/>
    <w:rsid w:val="00643335"/>
    <w:rsid w:val="006454A4"/>
    <w:rsid w:val="0064600B"/>
    <w:rsid w:val="006523E4"/>
    <w:rsid w:val="00662127"/>
    <w:rsid w:val="00664A78"/>
    <w:rsid w:val="006664EF"/>
    <w:rsid w:val="006669DE"/>
    <w:rsid w:val="00667141"/>
    <w:rsid w:val="00667515"/>
    <w:rsid w:val="00667BFD"/>
    <w:rsid w:val="00673E7C"/>
    <w:rsid w:val="00674A6E"/>
    <w:rsid w:val="00675C30"/>
    <w:rsid w:val="00680B9C"/>
    <w:rsid w:val="006832AF"/>
    <w:rsid w:val="00684BA4"/>
    <w:rsid w:val="00684BB3"/>
    <w:rsid w:val="00686A4C"/>
    <w:rsid w:val="0068726D"/>
    <w:rsid w:val="00690354"/>
    <w:rsid w:val="00691B4C"/>
    <w:rsid w:val="006A5100"/>
    <w:rsid w:val="006B2B65"/>
    <w:rsid w:val="006B3F42"/>
    <w:rsid w:val="006B4707"/>
    <w:rsid w:val="006B5915"/>
    <w:rsid w:val="006C1C79"/>
    <w:rsid w:val="006C2517"/>
    <w:rsid w:val="006C44DD"/>
    <w:rsid w:val="006C72B5"/>
    <w:rsid w:val="006D01A0"/>
    <w:rsid w:val="006D0616"/>
    <w:rsid w:val="006D1189"/>
    <w:rsid w:val="006D561D"/>
    <w:rsid w:val="006D59A5"/>
    <w:rsid w:val="006E557A"/>
    <w:rsid w:val="006E7FAA"/>
    <w:rsid w:val="006F0613"/>
    <w:rsid w:val="006F2BD6"/>
    <w:rsid w:val="006F6C3F"/>
    <w:rsid w:val="006F72D1"/>
    <w:rsid w:val="00700C52"/>
    <w:rsid w:val="00702EA0"/>
    <w:rsid w:val="00706D06"/>
    <w:rsid w:val="007126E4"/>
    <w:rsid w:val="00716CAE"/>
    <w:rsid w:val="007178AF"/>
    <w:rsid w:val="00726BAD"/>
    <w:rsid w:val="00732CBD"/>
    <w:rsid w:val="00741E91"/>
    <w:rsid w:val="00742060"/>
    <w:rsid w:val="00746C75"/>
    <w:rsid w:val="007509E5"/>
    <w:rsid w:val="00751B92"/>
    <w:rsid w:val="007547DF"/>
    <w:rsid w:val="007572C0"/>
    <w:rsid w:val="0075790E"/>
    <w:rsid w:val="00765ED7"/>
    <w:rsid w:val="00767CF7"/>
    <w:rsid w:val="00770E8D"/>
    <w:rsid w:val="00771ED1"/>
    <w:rsid w:val="00773492"/>
    <w:rsid w:val="007745F3"/>
    <w:rsid w:val="007746DF"/>
    <w:rsid w:val="00782E16"/>
    <w:rsid w:val="007852C5"/>
    <w:rsid w:val="00785A08"/>
    <w:rsid w:val="00790EC5"/>
    <w:rsid w:val="007918DC"/>
    <w:rsid w:val="00795FCA"/>
    <w:rsid w:val="007A1F4F"/>
    <w:rsid w:val="007A465F"/>
    <w:rsid w:val="007B13A5"/>
    <w:rsid w:val="007B19A3"/>
    <w:rsid w:val="007B42A4"/>
    <w:rsid w:val="007B58FE"/>
    <w:rsid w:val="007B6414"/>
    <w:rsid w:val="007B6FE3"/>
    <w:rsid w:val="007C019F"/>
    <w:rsid w:val="007C1459"/>
    <w:rsid w:val="007C1AD4"/>
    <w:rsid w:val="007C4638"/>
    <w:rsid w:val="007C632A"/>
    <w:rsid w:val="007C7D2B"/>
    <w:rsid w:val="007D13D5"/>
    <w:rsid w:val="007D21CA"/>
    <w:rsid w:val="007D26AF"/>
    <w:rsid w:val="007D271C"/>
    <w:rsid w:val="007D4036"/>
    <w:rsid w:val="007D4954"/>
    <w:rsid w:val="007D500B"/>
    <w:rsid w:val="007D61A5"/>
    <w:rsid w:val="007E12E2"/>
    <w:rsid w:val="007E26B1"/>
    <w:rsid w:val="007F3A8F"/>
    <w:rsid w:val="007F6238"/>
    <w:rsid w:val="008034A0"/>
    <w:rsid w:val="0080390E"/>
    <w:rsid w:val="00804ED1"/>
    <w:rsid w:val="00805519"/>
    <w:rsid w:val="008141EF"/>
    <w:rsid w:val="00814527"/>
    <w:rsid w:val="00820318"/>
    <w:rsid w:val="00820F8D"/>
    <w:rsid w:val="008245DC"/>
    <w:rsid w:val="00824B6A"/>
    <w:rsid w:val="00825024"/>
    <w:rsid w:val="0082519E"/>
    <w:rsid w:val="00826019"/>
    <w:rsid w:val="00830F27"/>
    <w:rsid w:val="00832D63"/>
    <w:rsid w:val="0083362F"/>
    <w:rsid w:val="008339D6"/>
    <w:rsid w:val="00834A35"/>
    <w:rsid w:val="00836DE6"/>
    <w:rsid w:val="0083793C"/>
    <w:rsid w:val="00840705"/>
    <w:rsid w:val="0084305B"/>
    <w:rsid w:val="00846049"/>
    <w:rsid w:val="0084664B"/>
    <w:rsid w:val="0084735F"/>
    <w:rsid w:val="0085306B"/>
    <w:rsid w:val="008537B5"/>
    <w:rsid w:val="008553EA"/>
    <w:rsid w:val="00856F67"/>
    <w:rsid w:val="0085735B"/>
    <w:rsid w:val="00863BEB"/>
    <w:rsid w:val="00864F34"/>
    <w:rsid w:val="008650EF"/>
    <w:rsid w:val="00866B0D"/>
    <w:rsid w:val="008702DC"/>
    <w:rsid w:val="00871C4C"/>
    <w:rsid w:val="00873009"/>
    <w:rsid w:val="00874397"/>
    <w:rsid w:val="0087658D"/>
    <w:rsid w:val="008841FF"/>
    <w:rsid w:val="008845A8"/>
    <w:rsid w:val="008868CB"/>
    <w:rsid w:val="00887A0C"/>
    <w:rsid w:val="00890C77"/>
    <w:rsid w:val="00897992"/>
    <w:rsid w:val="008A61DA"/>
    <w:rsid w:val="008B6017"/>
    <w:rsid w:val="008B75C9"/>
    <w:rsid w:val="008C11DC"/>
    <w:rsid w:val="008C3649"/>
    <w:rsid w:val="008C4E86"/>
    <w:rsid w:val="008C71FE"/>
    <w:rsid w:val="008C72E1"/>
    <w:rsid w:val="008D1B13"/>
    <w:rsid w:val="008D29B8"/>
    <w:rsid w:val="008D49D7"/>
    <w:rsid w:val="008D6DD7"/>
    <w:rsid w:val="008D703C"/>
    <w:rsid w:val="008D7C04"/>
    <w:rsid w:val="008E1468"/>
    <w:rsid w:val="008E32D4"/>
    <w:rsid w:val="008E48BE"/>
    <w:rsid w:val="008E6A55"/>
    <w:rsid w:val="008E7044"/>
    <w:rsid w:val="008F04A8"/>
    <w:rsid w:val="008F2A4A"/>
    <w:rsid w:val="008F417C"/>
    <w:rsid w:val="008F48C9"/>
    <w:rsid w:val="00900E36"/>
    <w:rsid w:val="0090419D"/>
    <w:rsid w:val="00907C4C"/>
    <w:rsid w:val="00910AF4"/>
    <w:rsid w:val="00910C5A"/>
    <w:rsid w:val="00911125"/>
    <w:rsid w:val="00911B97"/>
    <w:rsid w:val="009245FA"/>
    <w:rsid w:val="009279F3"/>
    <w:rsid w:val="009314F4"/>
    <w:rsid w:val="00934542"/>
    <w:rsid w:val="00934A16"/>
    <w:rsid w:val="00940089"/>
    <w:rsid w:val="009409FD"/>
    <w:rsid w:val="00940EA3"/>
    <w:rsid w:val="009416F2"/>
    <w:rsid w:val="00943AA0"/>
    <w:rsid w:val="009656F2"/>
    <w:rsid w:val="00967BAA"/>
    <w:rsid w:val="009706B5"/>
    <w:rsid w:val="00970F6D"/>
    <w:rsid w:val="0097438B"/>
    <w:rsid w:val="00986F8F"/>
    <w:rsid w:val="00990B74"/>
    <w:rsid w:val="00992D71"/>
    <w:rsid w:val="009948FD"/>
    <w:rsid w:val="0099592F"/>
    <w:rsid w:val="00996FB0"/>
    <w:rsid w:val="009A14D2"/>
    <w:rsid w:val="009A2E71"/>
    <w:rsid w:val="009A5C93"/>
    <w:rsid w:val="009A6236"/>
    <w:rsid w:val="009A7B22"/>
    <w:rsid w:val="009A7D9A"/>
    <w:rsid w:val="009B3045"/>
    <w:rsid w:val="009B3CA1"/>
    <w:rsid w:val="009B4934"/>
    <w:rsid w:val="009B5707"/>
    <w:rsid w:val="009B71E4"/>
    <w:rsid w:val="009C0407"/>
    <w:rsid w:val="009C1182"/>
    <w:rsid w:val="009C12CE"/>
    <w:rsid w:val="009C1D01"/>
    <w:rsid w:val="009C38C9"/>
    <w:rsid w:val="009C3C11"/>
    <w:rsid w:val="009D2684"/>
    <w:rsid w:val="009D63A0"/>
    <w:rsid w:val="009E0449"/>
    <w:rsid w:val="009E074A"/>
    <w:rsid w:val="009E206F"/>
    <w:rsid w:val="009E6E7E"/>
    <w:rsid w:val="009F3AA4"/>
    <w:rsid w:val="00A01B13"/>
    <w:rsid w:val="00A03FC1"/>
    <w:rsid w:val="00A04B14"/>
    <w:rsid w:val="00A06718"/>
    <w:rsid w:val="00A06D34"/>
    <w:rsid w:val="00A06FED"/>
    <w:rsid w:val="00A073EE"/>
    <w:rsid w:val="00A10422"/>
    <w:rsid w:val="00A10F1E"/>
    <w:rsid w:val="00A11937"/>
    <w:rsid w:val="00A12873"/>
    <w:rsid w:val="00A14113"/>
    <w:rsid w:val="00A14D4D"/>
    <w:rsid w:val="00A14E15"/>
    <w:rsid w:val="00A15EBB"/>
    <w:rsid w:val="00A20490"/>
    <w:rsid w:val="00A21609"/>
    <w:rsid w:val="00A22D81"/>
    <w:rsid w:val="00A27991"/>
    <w:rsid w:val="00A31F81"/>
    <w:rsid w:val="00A323C7"/>
    <w:rsid w:val="00A355E5"/>
    <w:rsid w:val="00A3665D"/>
    <w:rsid w:val="00A41132"/>
    <w:rsid w:val="00A41C25"/>
    <w:rsid w:val="00A43F6A"/>
    <w:rsid w:val="00A45C3C"/>
    <w:rsid w:val="00A464B2"/>
    <w:rsid w:val="00A50364"/>
    <w:rsid w:val="00A51038"/>
    <w:rsid w:val="00A51046"/>
    <w:rsid w:val="00A522BC"/>
    <w:rsid w:val="00A607DB"/>
    <w:rsid w:val="00A60B7C"/>
    <w:rsid w:val="00A6358A"/>
    <w:rsid w:val="00A65265"/>
    <w:rsid w:val="00A668AB"/>
    <w:rsid w:val="00A7113A"/>
    <w:rsid w:val="00A7162A"/>
    <w:rsid w:val="00A72719"/>
    <w:rsid w:val="00A730DE"/>
    <w:rsid w:val="00A76366"/>
    <w:rsid w:val="00A812A4"/>
    <w:rsid w:val="00A837F8"/>
    <w:rsid w:val="00A87A4F"/>
    <w:rsid w:val="00A93E56"/>
    <w:rsid w:val="00A97371"/>
    <w:rsid w:val="00AA2BCB"/>
    <w:rsid w:val="00AA3EFC"/>
    <w:rsid w:val="00AB2C88"/>
    <w:rsid w:val="00AB600A"/>
    <w:rsid w:val="00AB7074"/>
    <w:rsid w:val="00AC0352"/>
    <w:rsid w:val="00AC2979"/>
    <w:rsid w:val="00AC2E7B"/>
    <w:rsid w:val="00AC497D"/>
    <w:rsid w:val="00AD10C4"/>
    <w:rsid w:val="00AD2CAA"/>
    <w:rsid w:val="00AD5852"/>
    <w:rsid w:val="00AD5A11"/>
    <w:rsid w:val="00AD5E8A"/>
    <w:rsid w:val="00AE089B"/>
    <w:rsid w:val="00AE328E"/>
    <w:rsid w:val="00AF1048"/>
    <w:rsid w:val="00AF1F64"/>
    <w:rsid w:val="00AF36E6"/>
    <w:rsid w:val="00AF5CC2"/>
    <w:rsid w:val="00AF6C02"/>
    <w:rsid w:val="00AF6E54"/>
    <w:rsid w:val="00B036B8"/>
    <w:rsid w:val="00B059CE"/>
    <w:rsid w:val="00B065D6"/>
    <w:rsid w:val="00B11EB4"/>
    <w:rsid w:val="00B123BA"/>
    <w:rsid w:val="00B21464"/>
    <w:rsid w:val="00B25239"/>
    <w:rsid w:val="00B262D2"/>
    <w:rsid w:val="00B2697C"/>
    <w:rsid w:val="00B30883"/>
    <w:rsid w:val="00B34FB2"/>
    <w:rsid w:val="00B365F8"/>
    <w:rsid w:val="00B36DBC"/>
    <w:rsid w:val="00B37324"/>
    <w:rsid w:val="00B37710"/>
    <w:rsid w:val="00B37E25"/>
    <w:rsid w:val="00B41A09"/>
    <w:rsid w:val="00B4223E"/>
    <w:rsid w:val="00B423CF"/>
    <w:rsid w:val="00B438AA"/>
    <w:rsid w:val="00B45229"/>
    <w:rsid w:val="00B45495"/>
    <w:rsid w:val="00B5012F"/>
    <w:rsid w:val="00B54354"/>
    <w:rsid w:val="00B62FDE"/>
    <w:rsid w:val="00B63B94"/>
    <w:rsid w:val="00B66EFF"/>
    <w:rsid w:val="00B7724E"/>
    <w:rsid w:val="00B8134D"/>
    <w:rsid w:val="00B8153E"/>
    <w:rsid w:val="00B81A39"/>
    <w:rsid w:val="00B845DC"/>
    <w:rsid w:val="00B845FB"/>
    <w:rsid w:val="00B96219"/>
    <w:rsid w:val="00B9692B"/>
    <w:rsid w:val="00B96CDC"/>
    <w:rsid w:val="00B9777F"/>
    <w:rsid w:val="00BB19EC"/>
    <w:rsid w:val="00BB1CC2"/>
    <w:rsid w:val="00BB1D82"/>
    <w:rsid w:val="00BB2349"/>
    <w:rsid w:val="00BB3D34"/>
    <w:rsid w:val="00BB5489"/>
    <w:rsid w:val="00BB73A8"/>
    <w:rsid w:val="00BC0135"/>
    <w:rsid w:val="00BC4BFF"/>
    <w:rsid w:val="00BD0720"/>
    <w:rsid w:val="00BD0A1F"/>
    <w:rsid w:val="00BD3A7C"/>
    <w:rsid w:val="00BD4E2F"/>
    <w:rsid w:val="00BD57CA"/>
    <w:rsid w:val="00BD597E"/>
    <w:rsid w:val="00BD6BF0"/>
    <w:rsid w:val="00BE2D7B"/>
    <w:rsid w:val="00BF687C"/>
    <w:rsid w:val="00C0003F"/>
    <w:rsid w:val="00C000E7"/>
    <w:rsid w:val="00C0500D"/>
    <w:rsid w:val="00C059A3"/>
    <w:rsid w:val="00C13B8C"/>
    <w:rsid w:val="00C13E8C"/>
    <w:rsid w:val="00C1584E"/>
    <w:rsid w:val="00C178A0"/>
    <w:rsid w:val="00C2156F"/>
    <w:rsid w:val="00C25882"/>
    <w:rsid w:val="00C26FC3"/>
    <w:rsid w:val="00C27213"/>
    <w:rsid w:val="00C33426"/>
    <w:rsid w:val="00C351B0"/>
    <w:rsid w:val="00C36E6F"/>
    <w:rsid w:val="00C370E2"/>
    <w:rsid w:val="00C37AA3"/>
    <w:rsid w:val="00C42424"/>
    <w:rsid w:val="00C42932"/>
    <w:rsid w:val="00C43E1D"/>
    <w:rsid w:val="00C476CF"/>
    <w:rsid w:val="00C47A15"/>
    <w:rsid w:val="00C5063C"/>
    <w:rsid w:val="00C5134C"/>
    <w:rsid w:val="00C516D9"/>
    <w:rsid w:val="00C522C6"/>
    <w:rsid w:val="00C55155"/>
    <w:rsid w:val="00C56040"/>
    <w:rsid w:val="00C635B0"/>
    <w:rsid w:val="00C6368F"/>
    <w:rsid w:val="00C707E7"/>
    <w:rsid w:val="00C70B87"/>
    <w:rsid w:val="00C7142F"/>
    <w:rsid w:val="00C72795"/>
    <w:rsid w:val="00C74E4D"/>
    <w:rsid w:val="00C7739F"/>
    <w:rsid w:val="00C77E61"/>
    <w:rsid w:val="00C80274"/>
    <w:rsid w:val="00C81D15"/>
    <w:rsid w:val="00C82E28"/>
    <w:rsid w:val="00C83721"/>
    <w:rsid w:val="00C839A4"/>
    <w:rsid w:val="00C84626"/>
    <w:rsid w:val="00C84F1D"/>
    <w:rsid w:val="00C861EB"/>
    <w:rsid w:val="00C868DC"/>
    <w:rsid w:val="00C87F20"/>
    <w:rsid w:val="00C92A58"/>
    <w:rsid w:val="00C93D07"/>
    <w:rsid w:val="00C942CE"/>
    <w:rsid w:val="00C9531A"/>
    <w:rsid w:val="00C956C5"/>
    <w:rsid w:val="00C96E64"/>
    <w:rsid w:val="00CA0CF3"/>
    <w:rsid w:val="00CA155F"/>
    <w:rsid w:val="00CA3262"/>
    <w:rsid w:val="00CA37EE"/>
    <w:rsid w:val="00CA3AB7"/>
    <w:rsid w:val="00CA417E"/>
    <w:rsid w:val="00CB0885"/>
    <w:rsid w:val="00CB2C12"/>
    <w:rsid w:val="00CC0C90"/>
    <w:rsid w:val="00CC1F6D"/>
    <w:rsid w:val="00CC2E80"/>
    <w:rsid w:val="00CC685A"/>
    <w:rsid w:val="00CD1347"/>
    <w:rsid w:val="00CD22B0"/>
    <w:rsid w:val="00CD4827"/>
    <w:rsid w:val="00CD546A"/>
    <w:rsid w:val="00CD789E"/>
    <w:rsid w:val="00CE19C7"/>
    <w:rsid w:val="00CE2F2D"/>
    <w:rsid w:val="00CE3DAF"/>
    <w:rsid w:val="00CE7A10"/>
    <w:rsid w:val="00CF2CB3"/>
    <w:rsid w:val="00CF5BF8"/>
    <w:rsid w:val="00CF5E2D"/>
    <w:rsid w:val="00CF64B5"/>
    <w:rsid w:val="00CF6DD1"/>
    <w:rsid w:val="00D00953"/>
    <w:rsid w:val="00D011C3"/>
    <w:rsid w:val="00D06A2A"/>
    <w:rsid w:val="00D101AD"/>
    <w:rsid w:val="00D11912"/>
    <w:rsid w:val="00D2037C"/>
    <w:rsid w:val="00D20F54"/>
    <w:rsid w:val="00D224B0"/>
    <w:rsid w:val="00D23CFA"/>
    <w:rsid w:val="00D25EA4"/>
    <w:rsid w:val="00D3043C"/>
    <w:rsid w:val="00D31B9A"/>
    <w:rsid w:val="00D33FFB"/>
    <w:rsid w:val="00D37116"/>
    <w:rsid w:val="00D40758"/>
    <w:rsid w:val="00D51A00"/>
    <w:rsid w:val="00D52C85"/>
    <w:rsid w:val="00D52CC7"/>
    <w:rsid w:val="00D55964"/>
    <w:rsid w:val="00D617EB"/>
    <w:rsid w:val="00D61F67"/>
    <w:rsid w:val="00D659EA"/>
    <w:rsid w:val="00D67E48"/>
    <w:rsid w:val="00D738A3"/>
    <w:rsid w:val="00D748F6"/>
    <w:rsid w:val="00D75031"/>
    <w:rsid w:val="00D7681B"/>
    <w:rsid w:val="00D80AC3"/>
    <w:rsid w:val="00D81DE0"/>
    <w:rsid w:val="00D83390"/>
    <w:rsid w:val="00D9262D"/>
    <w:rsid w:val="00D92D82"/>
    <w:rsid w:val="00DA2179"/>
    <w:rsid w:val="00DA6E88"/>
    <w:rsid w:val="00DC2A9C"/>
    <w:rsid w:val="00DC6ED0"/>
    <w:rsid w:val="00DD0317"/>
    <w:rsid w:val="00DD05CA"/>
    <w:rsid w:val="00DD29C5"/>
    <w:rsid w:val="00DD2BAB"/>
    <w:rsid w:val="00DD3F92"/>
    <w:rsid w:val="00DD59EF"/>
    <w:rsid w:val="00DD5D10"/>
    <w:rsid w:val="00DD5D80"/>
    <w:rsid w:val="00DD5E43"/>
    <w:rsid w:val="00DE3081"/>
    <w:rsid w:val="00DF0BE7"/>
    <w:rsid w:val="00DF0E04"/>
    <w:rsid w:val="00DF301E"/>
    <w:rsid w:val="00DF5EDB"/>
    <w:rsid w:val="00DF619C"/>
    <w:rsid w:val="00DF7B78"/>
    <w:rsid w:val="00E01E2E"/>
    <w:rsid w:val="00E03BF2"/>
    <w:rsid w:val="00E068AE"/>
    <w:rsid w:val="00E06EBB"/>
    <w:rsid w:val="00E10317"/>
    <w:rsid w:val="00E12095"/>
    <w:rsid w:val="00E14E3D"/>
    <w:rsid w:val="00E1534F"/>
    <w:rsid w:val="00E238F6"/>
    <w:rsid w:val="00E26B9B"/>
    <w:rsid w:val="00E32FC2"/>
    <w:rsid w:val="00E34737"/>
    <w:rsid w:val="00E451BB"/>
    <w:rsid w:val="00E46682"/>
    <w:rsid w:val="00E47DAF"/>
    <w:rsid w:val="00E519C0"/>
    <w:rsid w:val="00E57E03"/>
    <w:rsid w:val="00E601A1"/>
    <w:rsid w:val="00E61D2B"/>
    <w:rsid w:val="00E6318C"/>
    <w:rsid w:val="00E66D1B"/>
    <w:rsid w:val="00E715CA"/>
    <w:rsid w:val="00E72A59"/>
    <w:rsid w:val="00E74032"/>
    <w:rsid w:val="00E80416"/>
    <w:rsid w:val="00E846C5"/>
    <w:rsid w:val="00E84DE6"/>
    <w:rsid w:val="00E874FC"/>
    <w:rsid w:val="00E92892"/>
    <w:rsid w:val="00E948EE"/>
    <w:rsid w:val="00E95F8A"/>
    <w:rsid w:val="00E96527"/>
    <w:rsid w:val="00E965FD"/>
    <w:rsid w:val="00E96BFA"/>
    <w:rsid w:val="00EA5C4C"/>
    <w:rsid w:val="00EB1A90"/>
    <w:rsid w:val="00EB1AA0"/>
    <w:rsid w:val="00EB5DBD"/>
    <w:rsid w:val="00EB7579"/>
    <w:rsid w:val="00EB7886"/>
    <w:rsid w:val="00EC01EF"/>
    <w:rsid w:val="00EC3156"/>
    <w:rsid w:val="00ED048C"/>
    <w:rsid w:val="00ED279F"/>
    <w:rsid w:val="00ED398C"/>
    <w:rsid w:val="00EE2597"/>
    <w:rsid w:val="00EE4D55"/>
    <w:rsid w:val="00EE4D81"/>
    <w:rsid w:val="00EE58E5"/>
    <w:rsid w:val="00EE65E5"/>
    <w:rsid w:val="00EE6681"/>
    <w:rsid w:val="00EE7834"/>
    <w:rsid w:val="00EF2EEE"/>
    <w:rsid w:val="00EF6B98"/>
    <w:rsid w:val="00EF7A26"/>
    <w:rsid w:val="00EF7A90"/>
    <w:rsid w:val="00EF7B27"/>
    <w:rsid w:val="00F00272"/>
    <w:rsid w:val="00F02D87"/>
    <w:rsid w:val="00F031B0"/>
    <w:rsid w:val="00F0617B"/>
    <w:rsid w:val="00F07AA5"/>
    <w:rsid w:val="00F11AA2"/>
    <w:rsid w:val="00F12017"/>
    <w:rsid w:val="00F13771"/>
    <w:rsid w:val="00F14EBB"/>
    <w:rsid w:val="00F15B43"/>
    <w:rsid w:val="00F219A4"/>
    <w:rsid w:val="00F22391"/>
    <w:rsid w:val="00F26E94"/>
    <w:rsid w:val="00F30FCF"/>
    <w:rsid w:val="00F31E9A"/>
    <w:rsid w:val="00F31F03"/>
    <w:rsid w:val="00F4071F"/>
    <w:rsid w:val="00F41BF5"/>
    <w:rsid w:val="00F41E18"/>
    <w:rsid w:val="00F41FA4"/>
    <w:rsid w:val="00F42A5C"/>
    <w:rsid w:val="00F42E86"/>
    <w:rsid w:val="00F44641"/>
    <w:rsid w:val="00F44BE1"/>
    <w:rsid w:val="00F5057B"/>
    <w:rsid w:val="00F5330E"/>
    <w:rsid w:val="00F578CA"/>
    <w:rsid w:val="00F610AD"/>
    <w:rsid w:val="00F64023"/>
    <w:rsid w:val="00F66142"/>
    <w:rsid w:val="00F66385"/>
    <w:rsid w:val="00F664C3"/>
    <w:rsid w:val="00F67B23"/>
    <w:rsid w:val="00F72FD2"/>
    <w:rsid w:val="00F765AE"/>
    <w:rsid w:val="00F77E3E"/>
    <w:rsid w:val="00F82D89"/>
    <w:rsid w:val="00F8514B"/>
    <w:rsid w:val="00F861D6"/>
    <w:rsid w:val="00F87C93"/>
    <w:rsid w:val="00F90D1F"/>
    <w:rsid w:val="00F91CEC"/>
    <w:rsid w:val="00F9219C"/>
    <w:rsid w:val="00F9232D"/>
    <w:rsid w:val="00F92380"/>
    <w:rsid w:val="00F92BA3"/>
    <w:rsid w:val="00F9768E"/>
    <w:rsid w:val="00FA4402"/>
    <w:rsid w:val="00FA49ED"/>
    <w:rsid w:val="00FA4D97"/>
    <w:rsid w:val="00FA70F3"/>
    <w:rsid w:val="00FB0829"/>
    <w:rsid w:val="00FB3FD6"/>
    <w:rsid w:val="00FB55BA"/>
    <w:rsid w:val="00FB61C3"/>
    <w:rsid w:val="00FB64D6"/>
    <w:rsid w:val="00FC04CF"/>
    <w:rsid w:val="00FC16A8"/>
    <w:rsid w:val="00FC4827"/>
    <w:rsid w:val="00FC4C8E"/>
    <w:rsid w:val="00FC6B0E"/>
    <w:rsid w:val="00FC771D"/>
    <w:rsid w:val="00FD181A"/>
    <w:rsid w:val="00FD7843"/>
    <w:rsid w:val="00FE22F9"/>
    <w:rsid w:val="00FF10E9"/>
    <w:rsid w:val="00FF1E1D"/>
    <w:rsid w:val="00FF31DA"/>
    <w:rsid w:val="00FF33D6"/>
    <w:rsid w:val="00FF48A0"/>
    <w:rsid w:val="00FF5C44"/>
    <w:rsid w:val="00FF7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C71065D-AC63-4637-B9A6-6DB0B170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A32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E9A"/>
    <w:pPr>
      <w:ind w:left="720"/>
      <w:contextualSpacing/>
    </w:pPr>
  </w:style>
  <w:style w:type="table" w:styleId="TableGrid">
    <w:name w:val="Table Grid"/>
    <w:basedOn w:val="TableNormal"/>
    <w:rsid w:val="00312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86779"/>
    <w:rPr>
      <w:sz w:val="20"/>
      <w:szCs w:val="20"/>
    </w:rPr>
  </w:style>
  <w:style w:type="character" w:customStyle="1" w:styleId="FootnoteTextChar">
    <w:name w:val="Footnote Text Char"/>
    <w:basedOn w:val="DefaultParagraphFont"/>
    <w:link w:val="FootnoteText"/>
    <w:semiHidden/>
    <w:rsid w:val="00486779"/>
  </w:style>
  <w:style w:type="character" w:styleId="FootnoteReference">
    <w:name w:val="footnote reference"/>
    <w:basedOn w:val="DefaultParagraphFont"/>
    <w:semiHidden/>
    <w:unhideWhenUsed/>
    <w:rsid w:val="00486779"/>
    <w:rPr>
      <w:vertAlign w:val="superscript"/>
    </w:rPr>
  </w:style>
  <w:style w:type="paragraph" w:styleId="BalloonText">
    <w:name w:val="Balloon Text"/>
    <w:basedOn w:val="Normal"/>
    <w:link w:val="BalloonTextChar"/>
    <w:semiHidden/>
    <w:unhideWhenUsed/>
    <w:rsid w:val="00155AE4"/>
    <w:rPr>
      <w:rFonts w:ascii="Segoe UI" w:hAnsi="Segoe UI" w:cs="Segoe UI"/>
      <w:sz w:val="18"/>
      <w:szCs w:val="18"/>
    </w:rPr>
  </w:style>
  <w:style w:type="character" w:customStyle="1" w:styleId="BalloonTextChar">
    <w:name w:val="Balloon Text Char"/>
    <w:basedOn w:val="DefaultParagraphFont"/>
    <w:link w:val="BalloonText"/>
    <w:semiHidden/>
    <w:rsid w:val="00155AE4"/>
    <w:rPr>
      <w:rFonts w:ascii="Segoe UI" w:hAnsi="Segoe UI" w:cs="Segoe UI"/>
      <w:sz w:val="18"/>
      <w:szCs w:val="18"/>
    </w:rPr>
  </w:style>
  <w:style w:type="paragraph" w:styleId="Header">
    <w:name w:val="header"/>
    <w:basedOn w:val="Normal"/>
    <w:link w:val="HeaderChar"/>
    <w:unhideWhenUsed/>
    <w:rsid w:val="006D59A5"/>
    <w:pPr>
      <w:tabs>
        <w:tab w:val="center" w:pos="4513"/>
        <w:tab w:val="right" w:pos="9026"/>
      </w:tabs>
    </w:pPr>
  </w:style>
  <w:style w:type="character" w:customStyle="1" w:styleId="HeaderChar">
    <w:name w:val="Header Char"/>
    <w:basedOn w:val="DefaultParagraphFont"/>
    <w:link w:val="Header"/>
    <w:rsid w:val="006D59A5"/>
    <w:rPr>
      <w:sz w:val="24"/>
      <w:szCs w:val="24"/>
    </w:rPr>
  </w:style>
  <w:style w:type="paragraph" w:styleId="Footer">
    <w:name w:val="footer"/>
    <w:basedOn w:val="Normal"/>
    <w:link w:val="FooterChar"/>
    <w:uiPriority w:val="99"/>
    <w:unhideWhenUsed/>
    <w:rsid w:val="006D59A5"/>
    <w:pPr>
      <w:tabs>
        <w:tab w:val="center" w:pos="4513"/>
        <w:tab w:val="right" w:pos="9026"/>
      </w:tabs>
    </w:pPr>
  </w:style>
  <w:style w:type="character" w:customStyle="1" w:styleId="FooterChar">
    <w:name w:val="Footer Char"/>
    <w:basedOn w:val="DefaultParagraphFont"/>
    <w:link w:val="Footer"/>
    <w:uiPriority w:val="99"/>
    <w:rsid w:val="006D59A5"/>
    <w:rPr>
      <w:sz w:val="24"/>
      <w:szCs w:val="24"/>
    </w:rPr>
  </w:style>
  <w:style w:type="table" w:styleId="ListTable3-Accent1">
    <w:name w:val="List Table 3 Accent 1"/>
    <w:basedOn w:val="TableNormal"/>
    <w:uiPriority w:val="48"/>
    <w:rsid w:val="009656F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553A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5">
    <w:name w:val="List Table 3 Accent 5"/>
    <w:basedOn w:val="TableNormal"/>
    <w:uiPriority w:val="48"/>
    <w:rsid w:val="00553A7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
    <w:name w:val="List Table 3"/>
    <w:basedOn w:val="TableNormal"/>
    <w:uiPriority w:val="48"/>
    <w:rsid w:val="00232A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E1B6-A7CC-479B-A4CA-005513A9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A06CAC88.dotm</Template>
  <TotalTime>0</TotalTime>
  <Pages>32</Pages>
  <Words>6240</Words>
  <Characters>33744</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Swan</dc:creator>
  <cp:keywords/>
  <dc:description/>
  <cp:lastModifiedBy>Sue Kendall</cp:lastModifiedBy>
  <cp:revision>2</cp:revision>
  <cp:lastPrinted>2018-01-16T00:30:00Z</cp:lastPrinted>
  <dcterms:created xsi:type="dcterms:W3CDTF">2018-07-25T07:10:00Z</dcterms:created>
  <dcterms:modified xsi:type="dcterms:W3CDTF">2018-07-25T07:10:00Z</dcterms:modified>
</cp:coreProperties>
</file>