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DA5D3" w14:textId="46A21646" w:rsidR="00CB457E" w:rsidRPr="00F91E8F" w:rsidRDefault="00CB457E" w:rsidP="00263AF9">
      <w:pPr>
        <w:keepNext/>
        <w:keepLines/>
        <w:spacing w:before="240" w:after="120" w:line="240" w:lineRule="auto"/>
        <w:outlineLvl w:val="0"/>
        <w:rPr>
          <w:rFonts w:ascii="Arial" w:eastAsiaTheme="majorEastAsia" w:hAnsi="Arial" w:cstheme="majorBidi"/>
          <w:sz w:val="36"/>
          <w:szCs w:val="32"/>
        </w:rPr>
      </w:pPr>
      <w:bookmarkStart w:id="0" w:name="_Toc78960493"/>
      <w:r w:rsidRPr="00F91E8F">
        <w:rPr>
          <w:rFonts w:ascii="Arial" w:hAnsi="Arial"/>
          <w:b/>
          <w:noProof/>
          <w:sz w:val="20"/>
        </w:rPr>
        <w:drawing>
          <wp:inline distT="0" distB="0" distL="0" distR="0" wp14:anchorId="170F6599" wp14:editId="04F78F86">
            <wp:extent cx="1587500" cy="609600"/>
            <wp:effectExtent l="0" t="0" r="0" b="0"/>
            <wp:docPr id="1" name="Picture 1" descr="MCC-BW-jpg_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C-BW-jpg_20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E8F">
        <w:rPr>
          <w:rFonts w:ascii="Arial" w:eastAsiaTheme="majorEastAsia" w:hAnsi="Arial" w:cstheme="majorBidi"/>
          <w:sz w:val="36"/>
          <w:szCs w:val="32"/>
        </w:rPr>
        <w:t>_______________________________</w:t>
      </w:r>
      <w:r w:rsidR="00F91E8F" w:rsidRPr="00F91E8F">
        <w:rPr>
          <w:rFonts w:ascii="Arial" w:eastAsiaTheme="majorEastAsia" w:hAnsi="Arial" w:cstheme="majorBidi"/>
          <w:sz w:val="36"/>
          <w:szCs w:val="32"/>
        </w:rPr>
        <w:t>_______</w:t>
      </w:r>
    </w:p>
    <w:p w14:paraId="4D759745" w14:textId="314E317B" w:rsidR="001D594B" w:rsidRPr="00D27321" w:rsidRDefault="00CB457E" w:rsidP="001D594B">
      <w:pPr>
        <w:keepNext/>
        <w:keepLines/>
        <w:spacing w:before="240" w:after="120" w:line="240" w:lineRule="auto"/>
        <w:jc w:val="center"/>
        <w:outlineLvl w:val="0"/>
        <w:rPr>
          <w:rFonts w:ascii="Arial" w:eastAsiaTheme="majorEastAsia" w:hAnsi="Arial" w:cstheme="majorBidi"/>
          <w:b/>
          <w:sz w:val="36"/>
          <w:szCs w:val="32"/>
        </w:rPr>
      </w:pPr>
      <w:r w:rsidRPr="00D27321">
        <w:rPr>
          <w:rFonts w:ascii="Arial" w:eastAsiaTheme="majorEastAsia" w:hAnsi="Arial" w:cstheme="majorBidi"/>
          <w:b/>
          <w:sz w:val="36"/>
          <w:szCs w:val="32"/>
        </w:rPr>
        <w:t xml:space="preserve">Community Facilities Occupancy Policy </w:t>
      </w:r>
    </w:p>
    <w:p w14:paraId="1656BE40" w14:textId="3D6EA288" w:rsidR="00263AF9" w:rsidRPr="00F91E8F" w:rsidRDefault="00CB457E" w:rsidP="001D594B">
      <w:pPr>
        <w:keepNext/>
        <w:keepLines/>
        <w:spacing w:before="240" w:after="120" w:line="240" w:lineRule="auto"/>
        <w:jc w:val="center"/>
        <w:outlineLvl w:val="0"/>
        <w:rPr>
          <w:rFonts w:ascii="Arial" w:eastAsiaTheme="majorEastAsia" w:hAnsi="Arial" w:cstheme="majorBidi"/>
          <w:sz w:val="36"/>
          <w:szCs w:val="32"/>
        </w:rPr>
      </w:pPr>
      <w:r w:rsidRPr="00F91E8F">
        <w:rPr>
          <w:rFonts w:ascii="Arial" w:eastAsiaTheme="majorEastAsia" w:hAnsi="Arial" w:cstheme="majorBidi"/>
          <w:sz w:val="36"/>
          <w:szCs w:val="32"/>
        </w:rPr>
        <w:t>Process for addressing n</w:t>
      </w:r>
      <w:r w:rsidR="00D03F6D" w:rsidRPr="00F91E8F">
        <w:rPr>
          <w:rFonts w:ascii="Arial" w:eastAsiaTheme="majorEastAsia" w:hAnsi="Arial" w:cstheme="majorBidi"/>
          <w:sz w:val="36"/>
          <w:szCs w:val="32"/>
        </w:rPr>
        <w:t>on</w:t>
      </w:r>
      <w:r w:rsidR="00014604" w:rsidRPr="00F91E8F">
        <w:rPr>
          <w:rFonts w:ascii="Arial" w:eastAsiaTheme="majorEastAsia" w:hAnsi="Arial" w:cstheme="majorBidi"/>
          <w:sz w:val="36"/>
          <w:szCs w:val="32"/>
        </w:rPr>
        <w:t>-</w:t>
      </w:r>
      <w:r w:rsidR="00D03F6D" w:rsidRPr="00F91E8F">
        <w:rPr>
          <w:rFonts w:ascii="Arial" w:eastAsiaTheme="majorEastAsia" w:hAnsi="Arial" w:cstheme="majorBidi"/>
          <w:sz w:val="36"/>
          <w:szCs w:val="32"/>
        </w:rPr>
        <w:t>compliance</w:t>
      </w:r>
      <w:bookmarkEnd w:id="0"/>
    </w:p>
    <w:p w14:paraId="18CD66C2" w14:textId="4ABB40F4" w:rsidR="00AE5CD4" w:rsidRPr="00F91E8F" w:rsidRDefault="00AE5CD4" w:rsidP="00A96149">
      <w:pPr>
        <w:spacing w:after="120" w:line="270" w:lineRule="atLeast"/>
        <w:rPr>
          <w:rFonts w:ascii="Arial" w:eastAsia="Times" w:hAnsi="Arial" w:cs="Arial"/>
          <w:b/>
          <w:sz w:val="28"/>
          <w:szCs w:val="28"/>
        </w:rPr>
      </w:pPr>
    </w:p>
    <w:p w14:paraId="0CB7BC2B" w14:textId="798FA7C7" w:rsidR="002D60A1" w:rsidRPr="00F91E8F" w:rsidRDefault="002D60A1" w:rsidP="00A96149">
      <w:pPr>
        <w:spacing w:after="120" w:line="270" w:lineRule="atLeast"/>
        <w:rPr>
          <w:rFonts w:ascii="Arial" w:eastAsia="Times" w:hAnsi="Arial" w:cs="Arial"/>
          <w:b/>
          <w:sz w:val="28"/>
          <w:szCs w:val="28"/>
        </w:rPr>
      </w:pPr>
      <w:r w:rsidRPr="00F91E8F">
        <w:rPr>
          <w:rFonts w:ascii="Arial" w:eastAsia="Times" w:hAnsi="Arial" w:cs="Arial"/>
          <w:b/>
          <w:sz w:val="28"/>
          <w:szCs w:val="28"/>
        </w:rPr>
        <w:t>Background</w:t>
      </w:r>
    </w:p>
    <w:p w14:paraId="1AEBDB39" w14:textId="16262255" w:rsidR="00976136" w:rsidRPr="00F91E8F" w:rsidRDefault="006B37B0" w:rsidP="000541CA">
      <w:pPr>
        <w:spacing w:after="120" w:line="270" w:lineRule="atLeast"/>
        <w:jc w:val="both"/>
        <w:rPr>
          <w:rFonts w:ascii="Arial" w:hAnsi="Arial" w:cs="Arial"/>
        </w:rPr>
      </w:pPr>
      <w:r w:rsidRPr="00F91E8F">
        <w:rPr>
          <w:rFonts w:ascii="Arial" w:eastAsia="Times" w:hAnsi="Arial" w:cs="Arial"/>
        </w:rPr>
        <w:t xml:space="preserve">Community organisations have a responsibility to comply with their obligations under the lease or licence agreement. If tenants do not comply with their obligations, the standard lease and licence agreement provides </w:t>
      </w:r>
      <w:r w:rsidR="00A96149" w:rsidRPr="00F91E8F">
        <w:rPr>
          <w:rFonts w:ascii="Arial" w:eastAsia="Times" w:hAnsi="Arial" w:cs="Arial"/>
        </w:rPr>
        <w:t xml:space="preserve">Council with options to address </w:t>
      </w:r>
      <w:r w:rsidR="00777828" w:rsidRPr="00F91E8F">
        <w:rPr>
          <w:rFonts w:ascii="Arial" w:eastAsia="Times" w:hAnsi="Arial" w:cs="Arial"/>
        </w:rPr>
        <w:t>non-compliance</w:t>
      </w:r>
      <w:r w:rsidR="008F7795" w:rsidRPr="00F91E8F">
        <w:rPr>
          <w:rFonts w:ascii="Arial" w:hAnsi="Arial" w:cs="Arial"/>
          <w:b/>
        </w:rPr>
        <w:t>.</w:t>
      </w:r>
      <w:r w:rsidR="00F91E8F" w:rsidRPr="00F91E8F">
        <w:rPr>
          <w:rFonts w:ascii="Arial" w:hAnsi="Arial" w:cs="Arial"/>
          <w:b/>
        </w:rPr>
        <w:t xml:space="preserve"> </w:t>
      </w:r>
      <w:r w:rsidR="00F91E8F" w:rsidRPr="00F91E8F">
        <w:rPr>
          <w:rFonts w:ascii="Arial" w:hAnsi="Arial" w:cs="Arial"/>
        </w:rPr>
        <w:t xml:space="preserve">The Community Facilities Occupancy Policy articulates </w:t>
      </w:r>
      <w:r w:rsidR="001D594B">
        <w:rPr>
          <w:rFonts w:ascii="Arial" w:hAnsi="Arial" w:cs="Arial"/>
        </w:rPr>
        <w:t xml:space="preserve">Maroondah City Council’s </w:t>
      </w:r>
      <w:r w:rsidR="00F91E8F" w:rsidRPr="00F91E8F">
        <w:rPr>
          <w:rFonts w:ascii="Arial" w:hAnsi="Arial" w:cs="Arial"/>
        </w:rPr>
        <w:t>‘Three Strikes’ position for addressing a tenant’s failure to meet essential obligations of their lease or licence agreement.</w:t>
      </w:r>
    </w:p>
    <w:p w14:paraId="70DB9D67" w14:textId="77777777" w:rsidR="00790C04" w:rsidRPr="00F91E8F" w:rsidRDefault="00790C04" w:rsidP="00790C04">
      <w:pPr>
        <w:spacing w:after="120" w:line="270" w:lineRule="atLeast"/>
        <w:rPr>
          <w:rFonts w:ascii="Arial" w:eastAsia="Times" w:hAnsi="Arial" w:cs="Arial"/>
          <w:b/>
          <w:sz w:val="28"/>
          <w:szCs w:val="28"/>
        </w:rPr>
      </w:pPr>
    </w:p>
    <w:p w14:paraId="531E605C" w14:textId="7DAA7D9D" w:rsidR="00AE5CD4" w:rsidRPr="00F91E8F" w:rsidRDefault="00CB457E" w:rsidP="00263AF9">
      <w:pPr>
        <w:spacing w:before="120" w:after="120" w:line="240" w:lineRule="auto"/>
        <w:rPr>
          <w:rFonts w:ascii="Arial" w:eastAsia="Times" w:hAnsi="Arial" w:cs="Arial"/>
          <w:b/>
          <w:sz w:val="28"/>
          <w:szCs w:val="28"/>
        </w:rPr>
      </w:pPr>
      <w:r w:rsidRPr="00F91E8F">
        <w:rPr>
          <w:rFonts w:ascii="Arial" w:eastAsia="Times" w:hAnsi="Arial" w:cs="Arial"/>
          <w:b/>
          <w:sz w:val="28"/>
          <w:szCs w:val="28"/>
        </w:rPr>
        <w:t xml:space="preserve">Council </w:t>
      </w:r>
      <w:r w:rsidR="00E01168" w:rsidRPr="00F91E8F">
        <w:rPr>
          <w:rFonts w:ascii="Arial" w:eastAsia="Times" w:hAnsi="Arial" w:cs="Arial"/>
          <w:b/>
          <w:sz w:val="28"/>
          <w:szCs w:val="28"/>
        </w:rPr>
        <w:t>procedure</w:t>
      </w:r>
      <w:r w:rsidRPr="00F91E8F">
        <w:rPr>
          <w:rFonts w:ascii="Arial" w:eastAsia="Times" w:hAnsi="Arial" w:cs="Arial"/>
          <w:b/>
          <w:sz w:val="28"/>
          <w:szCs w:val="28"/>
        </w:rPr>
        <w:t xml:space="preserve"> for</w:t>
      </w:r>
      <w:r w:rsidR="00E01168" w:rsidRPr="00F91E8F">
        <w:rPr>
          <w:rFonts w:ascii="Arial" w:eastAsia="Times" w:hAnsi="Arial" w:cs="Arial"/>
          <w:b/>
          <w:sz w:val="28"/>
          <w:szCs w:val="28"/>
        </w:rPr>
        <w:t xml:space="preserve"> responding to non</w:t>
      </w:r>
      <w:r w:rsidR="00014604" w:rsidRPr="00F91E8F">
        <w:rPr>
          <w:rFonts w:ascii="Arial" w:eastAsia="Times" w:hAnsi="Arial" w:cs="Arial"/>
          <w:b/>
          <w:sz w:val="28"/>
          <w:szCs w:val="28"/>
        </w:rPr>
        <w:t>-</w:t>
      </w:r>
      <w:r w:rsidR="00E01168" w:rsidRPr="00F91E8F">
        <w:rPr>
          <w:rFonts w:ascii="Arial" w:eastAsia="Times" w:hAnsi="Arial" w:cs="Arial"/>
          <w:b/>
          <w:sz w:val="28"/>
          <w:szCs w:val="28"/>
        </w:rPr>
        <w:t>compliance.</w:t>
      </w:r>
    </w:p>
    <w:p w14:paraId="10A1E6A6" w14:textId="77777777" w:rsidR="00033E57" w:rsidRPr="00033E57" w:rsidRDefault="00033E57" w:rsidP="00263AF9">
      <w:pPr>
        <w:spacing w:before="120" w:after="120" w:line="240" w:lineRule="auto"/>
        <w:rPr>
          <w:rFonts w:ascii="Arial" w:eastAsia="Times" w:hAnsi="Arial" w:cs="Arial"/>
          <w:b/>
          <w:color w:val="2F5496" w:themeColor="accent1" w:themeShade="BF"/>
          <w:sz w:val="28"/>
          <w:szCs w:val="28"/>
        </w:rPr>
      </w:pPr>
    </w:p>
    <w:p w14:paraId="742D4920" w14:textId="3620DDEA" w:rsidR="0009306F" w:rsidRDefault="00033E57" w:rsidP="00AE5CD4">
      <w:pPr>
        <w:pStyle w:val="ListParagraph"/>
        <w:numPr>
          <w:ilvl w:val="0"/>
          <w:numId w:val="5"/>
        </w:numPr>
        <w:spacing w:before="120" w:after="120" w:line="240" w:lineRule="auto"/>
        <w:ind w:left="426"/>
        <w:rPr>
          <w:rFonts w:ascii="Arial" w:hAnsi="Arial"/>
          <w:b/>
        </w:rPr>
      </w:pPr>
      <w:r>
        <w:rPr>
          <w:rFonts w:ascii="Arial" w:hAnsi="Arial"/>
          <w:b/>
        </w:rPr>
        <w:t>FIRST BREACH OF AGREEMENT OBLIGATIONS</w:t>
      </w:r>
    </w:p>
    <w:p w14:paraId="4F638655" w14:textId="1A1EE4C8" w:rsidR="00263AF9" w:rsidRPr="00AE5CD4" w:rsidRDefault="00263AF9" w:rsidP="0009306F">
      <w:pPr>
        <w:pStyle w:val="ListParagraph"/>
        <w:spacing w:before="120" w:after="120" w:line="240" w:lineRule="auto"/>
        <w:ind w:left="426"/>
        <w:rPr>
          <w:rFonts w:ascii="Arial" w:hAnsi="Arial"/>
          <w:b/>
        </w:rPr>
      </w:pPr>
    </w:p>
    <w:p w14:paraId="2F43F997" w14:textId="4DEDB456" w:rsidR="00474CFC" w:rsidRPr="00E01168" w:rsidRDefault="00263AF9" w:rsidP="00E01168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Arial" w:hAnsi="Arial"/>
        </w:rPr>
      </w:pPr>
      <w:r w:rsidRPr="00E01168">
        <w:rPr>
          <w:rFonts w:ascii="Arial" w:hAnsi="Arial"/>
        </w:rPr>
        <w:t>Provide in writing</w:t>
      </w:r>
      <w:r w:rsidR="00D93826">
        <w:rPr>
          <w:rFonts w:ascii="Arial" w:hAnsi="Arial"/>
        </w:rPr>
        <w:t>,</w:t>
      </w:r>
      <w:r w:rsidRPr="00E01168">
        <w:rPr>
          <w:rFonts w:ascii="Arial" w:hAnsi="Arial"/>
        </w:rPr>
        <w:t xml:space="preserve"> notification of a default clearly stating that the communication “</w:t>
      </w:r>
      <w:r w:rsidRPr="00E01168">
        <w:rPr>
          <w:rFonts w:ascii="Arial" w:hAnsi="Arial"/>
          <w:b/>
        </w:rPr>
        <w:t>constitutes notice”</w:t>
      </w:r>
      <w:r w:rsidRPr="00E01168">
        <w:rPr>
          <w:rFonts w:ascii="Arial" w:hAnsi="Arial"/>
        </w:rPr>
        <w:t xml:space="preserve"> clarif</w:t>
      </w:r>
      <w:r w:rsidR="001D594B">
        <w:rPr>
          <w:rFonts w:ascii="Arial" w:hAnsi="Arial"/>
        </w:rPr>
        <w:t>ying</w:t>
      </w:r>
      <w:r w:rsidRPr="00E01168">
        <w:rPr>
          <w:rFonts w:ascii="Arial" w:hAnsi="Arial"/>
        </w:rPr>
        <w:t xml:space="preserve"> the timeframe that the tenant has to address, meet or remedy any outstanding obligations.</w:t>
      </w:r>
    </w:p>
    <w:p w14:paraId="2A5B0A98" w14:textId="77777777" w:rsidR="00E01168" w:rsidRPr="00E01168" w:rsidRDefault="00FC22C2" w:rsidP="00E01168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Arial" w:eastAsia="Times" w:hAnsi="Arial" w:cs="Arial"/>
        </w:rPr>
      </w:pPr>
      <w:r w:rsidRPr="00E01168">
        <w:rPr>
          <w:rFonts w:ascii="Arial" w:eastAsia="Times" w:hAnsi="Arial" w:cs="Arial"/>
        </w:rPr>
        <w:t>Inform the tenant of the process for responding to alleged breach and the action that Council may take if the alleged breaches are substantiated</w:t>
      </w:r>
      <w:r w:rsidR="00E01168" w:rsidRPr="00E01168">
        <w:rPr>
          <w:rFonts w:ascii="Arial" w:eastAsia="Times" w:hAnsi="Arial" w:cs="Arial"/>
        </w:rPr>
        <w:t>.</w:t>
      </w:r>
    </w:p>
    <w:p w14:paraId="5C04EB86" w14:textId="68337BF4" w:rsidR="00263AF9" w:rsidRPr="00F91E8F" w:rsidRDefault="00474CFC" w:rsidP="00FE4126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Arial" w:hAnsi="Arial"/>
        </w:rPr>
      </w:pPr>
      <w:r w:rsidRPr="00F91E8F">
        <w:rPr>
          <w:rFonts w:ascii="Arial" w:eastAsia="Times" w:hAnsi="Arial" w:cs="Arial"/>
        </w:rPr>
        <w:t>Identify additional supports that may help sustain the tenancy, for example, a financial payment plan.</w:t>
      </w:r>
      <w:r w:rsidR="00F91E8F" w:rsidRPr="00F91E8F">
        <w:rPr>
          <w:rFonts w:ascii="Arial" w:eastAsia="Times" w:hAnsi="Arial" w:cs="Arial"/>
        </w:rPr>
        <w:t xml:space="preserve"> </w:t>
      </w:r>
      <w:r w:rsidR="00CB457E" w:rsidRPr="00F91E8F">
        <w:rPr>
          <w:rFonts w:ascii="Arial" w:hAnsi="Arial"/>
        </w:rPr>
        <w:t xml:space="preserve">Depending on the nature of the breach, where possible support </w:t>
      </w:r>
      <w:r w:rsidR="00F91E8F">
        <w:rPr>
          <w:rFonts w:ascii="Arial" w:hAnsi="Arial"/>
        </w:rPr>
        <w:t xml:space="preserve">will be provided to </w:t>
      </w:r>
      <w:r w:rsidR="00CB457E" w:rsidRPr="00F91E8F">
        <w:rPr>
          <w:rFonts w:ascii="Arial" w:hAnsi="Arial"/>
        </w:rPr>
        <w:t xml:space="preserve">the tenant to devise a course of action to remedy the breach. </w:t>
      </w:r>
      <w:r w:rsidR="00263AF9" w:rsidRPr="00F91E8F">
        <w:rPr>
          <w:rFonts w:ascii="Arial" w:hAnsi="Arial"/>
        </w:rPr>
        <w:t>If the tenant does not remedy a ‘fixable breach’ where applicable, fund the repair or rectification and oncost the charges to the tenant.</w:t>
      </w:r>
    </w:p>
    <w:p w14:paraId="3B16B381" w14:textId="77777777" w:rsidR="00185A0E" w:rsidRPr="00263AF9" w:rsidRDefault="00185A0E" w:rsidP="00263AF9">
      <w:pPr>
        <w:spacing w:before="120" w:after="120" w:line="240" w:lineRule="auto"/>
        <w:contextualSpacing/>
        <w:rPr>
          <w:rFonts w:ascii="Arial" w:hAnsi="Arial"/>
        </w:rPr>
      </w:pPr>
    </w:p>
    <w:p w14:paraId="47874763" w14:textId="2A9ABE3E" w:rsidR="0009306F" w:rsidRDefault="005C139B" w:rsidP="00AE5CD4">
      <w:pPr>
        <w:pStyle w:val="ListParagraph"/>
        <w:numPr>
          <w:ilvl w:val="0"/>
          <w:numId w:val="5"/>
        </w:numPr>
        <w:spacing w:before="120" w:after="120" w:line="240" w:lineRule="auto"/>
        <w:ind w:left="426"/>
        <w:rPr>
          <w:rFonts w:ascii="Arial" w:hAnsi="Arial"/>
          <w:b/>
        </w:rPr>
      </w:pPr>
      <w:r>
        <w:rPr>
          <w:rFonts w:ascii="Arial" w:hAnsi="Arial"/>
          <w:b/>
        </w:rPr>
        <w:t xml:space="preserve">SECOND BREACH OF AGREEMENT OBLIGATIONS </w:t>
      </w:r>
    </w:p>
    <w:p w14:paraId="788CA745" w14:textId="3D12567E" w:rsidR="00263AF9" w:rsidRPr="00263AF9" w:rsidRDefault="00263AF9" w:rsidP="00263AF9">
      <w:pPr>
        <w:spacing w:before="120" w:after="120" w:line="240" w:lineRule="auto"/>
        <w:contextualSpacing/>
        <w:rPr>
          <w:rFonts w:ascii="Arial" w:hAnsi="Arial"/>
        </w:rPr>
      </w:pPr>
      <w:r w:rsidRPr="00263AF9">
        <w:rPr>
          <w:rFonts w:ascii="Arial" w:hAnsi="Arial"/>
        </w:rPr>
        <w:t>If a tenant defaults without good reason on t</w:t>
      </w:r>
      <w:r w:rsidR="006A6EF1">
        <w:rPr>
          <w:rFonts w:ascii="Arial" w:hAnsi="Arial"/>
        </w:rPr>
        <w:t>wo</w:t>
      </w:r>
      <w:r w:rsidRPr="00263AF9">
        <w:rPr>
          <w:rFonts w:ascii="Arial" w:hAnsi="Arial"/>
        </w:rPr>
        <w:t xml:space="preserve"> or more occasions, </w:t>
      </w:r>
      <w:r w:rsidR="00A55ED5">
        <w:rPr>
          <w:rFonts w:ascii="Arial" w:hAnsi="Arial"/>
        </w:rPr>
        <w:t xml:space="preserve">within a </w:t>
      </w:r>
      <w:bookmarkStart w:id="1" w:name="_GoBack"/>
      <w:bookmarkEnd w:id="1"/>
      <w:proofErr w:type="gramStart"/>
      <w:r w:rsidR="00CB457E" w:rsidRPr="005B22BB">
        <w:rPr>
          <w:rFonts w:ascii="Arial" w:hAnsi="Arial"/>
        </w:rPr>
        <w:t>24 month</w:t>
      </w:r>
      <w:proofErr w:type="gramEnd"/>
      <w:r w:rsidR="00CB457E" w:rsidRPr="005B22BB">
        <w:rPr>
          <w:rFonts w:ascii="Arial" w:hAnsi="Arial"/>
        </w:rPr>
        <w:t xml:space="preserve"> period,</w:t>
      </w:r>
      <w:r w:rsidR="00CB457E">
        <w:rPr>
          <w:rFonts w:ascii="Arial" w:hAnsi="Arial"/>
        </w:rPr>
        <w:t xml:space="preserve"> </w:t>
      </w:r>
      <w:r w:rsidRPr="00263AF9">
        <w:rPr>
          <w:rFonts w:ascii="Arial" w:hAnsi="Arial"/>
        </w:rPr>
        <w:t xml:space="preserve">a report </w:t>
      </w:r>
      <w:r w:rsidR="00CB457E">
        <w:rPr>
          <w:rFonts w:ascii="Arial" w:hAnsi="Arial"/>
        </w:rPr>
        <w:t>will b</w:t>
      </w:r>
      <w:r w:rsidRPr="00263AF9">
        <w:rPr>
          <w:rFonts w:ascii="Arial" w:hAnsi="Arial"/>
        </w:rPr>
        <w:t xml:space="preserve">e prepared for </w:t>
      </w:r>
      <w:r w:rsidR="00CB457E">
        <w:rPr>
          <w:rFonts w:ascii="Arial" w:hAnsi="Arial"/>
        </w:rPr>
        <w:t xml:space="preserve">both senior management </w:t>
      </w:r>
      <w:r w:rsidR="008156F5">
        <w:rPr>
          <w:rFonts w:ascii="Arial" w:hAnsi="Arial"/>
        </w:rPr>
        <w:t xml:space="preserve">and Council </w:t>
      </w:r>
      <w:r w:rsidRPr="00263AF9">
        <w:rPr>
          <w:rFonts w:ascii="Arial" w:hAnsi="Arial"/>
        </w:rPr>
        <w:t>identifying the breaches</w:t>
      </w:r>
      <w:r w:rsidR="00CB457E">
        <w:rPr>
          <w:rFonts w:ascii="Arial" w:hAnsi="Arial"/>
        </w:rPr>
        <w:t xml:space="preserve"> and current action taken. </w:t>
      </w:r>
      <w:r w:rsidR="005C139B">
        <w:rPr>
          <w:rFonts w:ascii="Arial" w:hAnsi="Arial"/>
        </w:rPr>
        <w:t>The tenant will be provided written notification of default and that Council will be notified of the multiple breaches.</w:t>
      </w:r>
    </w:p>
    <w:p w14:paraId="46F9F3E2" w14:textId="77777777" w:rsidR="00263AF9" w:rsidRPr="00263AF9" w:rsidRDefault="00263AF9" w:rsidP="00263AF9">
      <w:pPr>
        <w:spacing w:before="120" w:after="120" w:line="240" w:lineRule="auto"/>
        <w:contextualSpacing/>
        <w:rPr>
          <w:rFonts w:ascii="Arial" w:hAnsi="Arial"/>
        </w:rPr>
      </w:pPr>
    </w:p>
    <w:p w14:paraId="44FE1ABE" w14:textId="1CBC480A" w:rsidR="00263AF9" w:rsidRPr="00D91F7B" w:rsidRDefault="005C139B" w:rsidP="005C139B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lang w:eastAsia="en-AU"/>
        </w:rPr>
      </w:pPr>
      <w:r>
        <w:rPr>
          <w:rFonts w:ascii="Arial" w:hAnsi="Arial"/>
          <w:b/>
          <w:lang w:eastAsia="en-AU"/>
        </w:rPr>
        <w:t>THIRD BREACH WITHIN A 24 MONTH PERIOD CONSTITUTING PERSISTENT DEFAULT.</w:t>
      </w:r>
      <w:r w:rsidR="0009306F">
        <w:rPr>
          <w:rFonts w:ascii="Arial" w:hAnsi="Arial"/>
          <w:b/>
          <w:lang w:eastAsia="en-AU"/>
        </w:rPr>
        <w:t xml:space="preserve"> </w:t>
      </w:r>
    </w:p>
    <w:p w14:paraId="7C3D871E" w14:textId="53B50312" w:rsidR="000E5CCD" w:rsidRDefault="000E5CCD" w:rsidP="005C139B">
      <w:pPr>
        <w:spacing w:before="120"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  <w:lang w:eastAsia="en-AU"/>
        </w:rPr>
        <w:t>T</w:t>
      </w:r>
      <w:r w:rsidR="00033E57" w:rsidRPr="008F7795">
        <w:rPr>
          <w:rFonts w:ascii="Arial" w:eastAsia="Times New Roman" w:hAnsi="Arial" w:cs="Arial"/>
        </w:rPr>
        <w:t>he tenant</w:t>
      </w:r>
      <w:r w:rsidR="00033E57">
        <w:rPr>
          <w:rFonts w:ascii="Arial" w:eastAsia="Times New Roman" w:hAnsi="Arial" w:cs="Arial"/>
        </w:rPr>
        <w:t xml:space="preserve"> will be provided written notification of the</w:t>
      </w:r>
      <w:r>
        <w:rPr>
          <w:rFonts w:ascii="Arial" w:eastAsia="Times New Roman" w:hAnsi="Arial" w:cs="Arial"/>
        </w:rPr>
        <w:t xml:space="preserve"> </w:t>
      </w:r>
      <w:r w:rsidR="00033E57">
        <w:rPr>
          <w:rFonts w:ascii="Arial" w:eastAsia="Times New Roman" w:hAnsi="Arial" w:cs="Arial"/>
        </w:rPr>
        <w:t xml:space="preserve">default and advised that this </w:t>
      </w:r>
      <w:r>
        <w:rPr>
          <w:rFonts w:ascii="Arial" w:eastAsia="Times New Roman" w:hAnsi="Arial" w:cs="Arial"/>
        </w:rPr>
        <w:t xml:space="preserve">third breach </w:t>
      </w:r>
      <w:r w:rsidR="00033E57">
        <w:rPr>
          <w:rFonts w:ascii="Arial" w:eastAsia="Times New Roman" w:hAnsi="Arial" w:cs="Arial"/>
        </w:rPr>
        <w:t>constitutes persistent default.</w:t>
      </w:r>
      <w:r w:rsidR="00033E57" w:rsidRPr="008F7795">
        <w:rPr>
          <w:rFonts w:ascii="Arial" w:eastAsia="Times New Roman" w:hAnsi="Arial" w:cs="Arial"/>
        </w:rPr>
        <w:t xml:space="preserve"> </w:t>
      </w:r>
      <w:r w:rsidR="00033E57">
        <w:rPr>
          <w:rFonts w:ascii="Arial" w:eastAsia="Times New Roman" w:hAnsi="Arial" w:cs="Arial"/>
        </w:rPr>
        <w:t xml:space="preserve">The notice will detail </w:t>
      </w:r>
      <w:r w:rsidR="00033E57" w:rsidRPr="008F7795">
        <w:rPr>
          <w:rFonts w:ascii="Arial" w:eastAsia="Times New Roman" w:hAnsi="Arial" w:cs="Arial"/>
        </w:rPr>
        <w:t>the course of action that is being considered should the alleged third breach be substantiated.</w:t>
      </w:r>
      <w:r w:rsidR="001D594B">
        <w:rPr>
          <w:rFonts w:ascii="Arial" w:eastAsia="Times New Roman" w:hAnsi="Arial" w:cs="Arial"/>
        </w:rPr>
        <w:t xml:space="preserve"> </w:t>
      </w:r>
    </w:p>
    <w:p w14:paraId="617FFB0C" w14:textId="77777777" w:rsidR="000E5CCD" w:rsidRPr="000E5CCD" w:rsidRDefault="000E5CCD" w:rsidP="000E5CCD">
      <w:pPr>
        <w:pStyle w:val="ListParagraph"/>
        <w:spacing w:before="120" w:after="0" w:line="240" w:lineRule="auto"/>
        <w:rPr>
          <w:rFonts w:ascii="Arial" w:hAnsi="Arial"/>
          <w:lang w:eastAsia="en-AU"/>
        </w:rPr>
      </w:pPr>
    </w:p>
    <w:p w14:paraId="713CFCF0" w14:textId="659BDA80" w:rsidR="000E5CCD" w:rsidRPr="00F91E8F" w:rsidRDefault="000E5CCD" w:rsidP="000E5CCD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lang w:eastAsia="en-AU"/>
        </w:rPr>
      </w:pPr>
      <w:r w:rsidRPr="00F91E8F">
        <w:rPr>
          <w:rFonts w:ascii="Arial" w:hAnsi="Arial"/>
          <w:b/>
          <w:lang w:eastAsia="en-AU"/>
        </w:rPr>
        <w:t>SEVER</w:t>
      </w:r>
      <w:r w:rsidR="00F91E8F">
        <w:rPr>
          <w:rFonts w:ascii="Arial" w:hAnsi="Arial"/>
          <w:b/>
          <w:lang w:eastAsia="en-AU"/>
        </w:rPr>
        <w:t xml:space="preserve">E </w:t>
      </w:r>
      <w:r w:rsidRPr="00F91E8F">
        <w:rPr>
          <w:rFonts w:ascii="Arial" w:hAnsi="Arial"/>
          <w:b/>
          <w:lang w:eastAsia="en-AU"/>
        </w:rPr>
        <w:t>BREACH</w:t>
      </w:r>
      <w:r w:rsidR="00F91E8F">
        <w:rPr>
          <w:rFonts w:ascii="Arial" w:hAnsi="Arial"/>
          <w:b/>
          <w:lang w:eastAsia="en-AU"/>
        </w:rPr>
        <w:t xml:space="preserve"> WHICH POSES RISK TO COUNCIL, TENANT AND/OR COMMUNITY</w:t>
      </w:r>
    </w:p>
    <w:p w14:paraId="77D00BFE" w14:textId="77ABF30A" w:rsidR="00283979" w:rsidRPr="000E5CCD" w:rsidRDefault="00F91E8F" w:rsidP="000E5CCD">
      <w:pPr>
        <w:spacing w:before="120" w:after="0" w:line="240" w:lineRule="auto"/>
        <w:rPr>
          <w:rFonts w:ascii="Arial" w:hAnsi="Arial"/>
          <w:lang w:eastAsia="en-AU"/>
        </w:rPr>
      </w:pPr>
      <w:r>
        <w:rPr>
          <w:rFonts w:ascii="Arial" w:hAnsi="Arial"/>
          <w:lang w:eastAsia="en-AU"/>
        </w:rPr>
        <w:t xml:space="preserve">Council will be immediately notified if a severe breach has been identified. </w:t>
      </w:r>
      <w:r w:rsidR="000E5CCD" w:rsidRPr="000E5CCD">
        <w:rPr>
          <w:rFonts w:ascii="Arial" w:hAnsi="Arial"/>
          <w:lang w:eastAsia="en-AU"/>
        </w:rPr>
        <w:t>If Council proposes to terminate the agreement due to</w:t>
      </w:r>
      <w:r>
        <w:rPr>
          <w:rFonts w:ascii="Arial" w:hAnsi="Arial"/>
          <w:lang w:eastAsia="en-AU"/>
        </w:rPr>
        <w:t xml:space="preserve"> the</w:t>
      </w:r>
      <w:r w:rsidR="000E5CCD" w:rsidRPr="000E5CCD">
        <w:rPr>
          <w:rFonts w:ascii="Arial" w:hAnsi="Arial"/>
          <w:lang w:eastAsia="en-AU"/>
        </w:rPr>
        <w:t xml:space="preserve"> risk </w:t>
      </w:r>
      <w:r>
        <w:rPr>
          <w:rFonts w:ascii="Arial" w:hAnsi="Arial"/>
          <w:lang w:eastAsia="en-AU"/>
        </w:rPr>
        <w:t>expos</w:t>
      </w:r>
      <w:r w:rsidR="001D594B">
        <w:rPr>
          <w:rFonts w:ascii="Arial" w:hAnsi="Arial"/>
          <w:lang w:eastAsia="en-AU"/>
        </w:rPr>
        <w:t>ure</w:t>
      </w:r>
      <w:r>
        <w:rPr>
          <w:rFonts w:ascii="Arial" w:hAnsi="Arial"/>
          <w:lang w:eastAsia="en-AU"/>
        </w:rPr>
        <w:t xml:space="preserve"> to </w:t>
      </w:r>
      <w:r w:rsidR="000E5CCD" w:rsidRPr="000E5CCD">
        <w:rPr>
          <w:rFonts w:ascii="Arial" w:hAnsi="Arial"/>
          <w:lang w:eastAsia="en-AU"/>
        </w:rPr>
        <w:t xml:space="preserve">Council, </w:t>
      </w:r>
      <w:r>
        <w:rPr>
          <w:rFonts w:ascii="Arial" w:hAnsi="Arial"/>
          <w:lang w:eastAsia="en-AU"/>
        </w:rPr>
        <w:t xml:space="preserve">the </w:t>
      </w:r>
      <w:r w:rsidR="000E5CCD" w:rsidRPr="000E5CCD">
        <w:rPr>
          <w:rFonts w:ascii="Arial" w:hAnsi="Arial"/>
          <w:lang w:eastAsia="en-AU"/>
        </w:rPr>
        <w:t>tenant and/ or the wider community</w:t>
      </w:r>
      <w:r w:rsidR="00FA349F">
        <w:rPr>
          <w:rFonts w:ascii="Arial" w:hAnsi="Arial"/>
          <w:lang w:eastAsia="en-AU"/>
        </w:rPr>
        <w:t xml:space="preserve">, </w:t>
      </w:r>
      <w:r w:rsidR="00021D2B">
        <w:rPr>
          <w:rFonts w:ascii="Arial" w:hAnsi="Arial"/>
          <w:lang w:eastAsia="en-AU"/>
        </w:rPr>
        <w:t>w</w:t>
      </w:r>
      <w:r w:rsidR="00033E57" w:rsidRPr="000E5CCD">
        <w:rPr>
          <w:rFonts w:ascii="Arial" w:eastAsia="Times New Roman" w:hAnsi="Arial" w:cs="Arial"/>
        </w:rPr>
        <w:t xml:space="preserve">ritten notice will be provided </w:t>
      </w:r>
      <w:r>
        <w:rPr>
          <w:rFonts w:ascii="Arial" w:eastAsia="Times New Roman" w:hAnsi="Arial" w:cs="Arial"/>
        </w:rPr>
        <w:t xml:space="preserve">to the tenant </w:t>
      </w:r>
      <w:r w:rsidR="00033E57" w:rsidRPr="000E5CCD">
        <w:rPr>
          <w:rFonts w:ascii="Arial" w:eastAsia="Times New Roman" w:hAnsi="Arial" w:cs="Arial"/>
        </w:rPr>
        <w:t xml:space="preserve">and a meeting will be </w:t>
      </w:r>
      <w:r w:rsidR="006E5D7C" w:rsidRPr="000E5CCD">
        <w:rPr>
          <w:rFonts w:ascii="Arial" w:eastAsia="Times New Roman" w:hAnsi="Arial" w:cs="Arial"/>
        </w:rPr>
        <w:t xml:space="preserve">urgently </w:t>
      </w:r>
      <w:r w:rsidR="00033E57" w:rsidRPr="000E5CCD">
        <w:rPr>
          <w:rFonts w:ascii="Arial" w:eastAsia="Times New Roman" w:hAnsi="Arial" w:cs="Arial"/>
        </w:rPr>
        <w:t>convened to discuss the infringement and the possible termination of tenancy</w:t>
      </w:r>
      <w:r w:rsidR="001D594B">
        <w:rPr>
          <w:rFonts w:ascii="Arial" w:eastAsia="Times New Roman" w:hAnsi="Arial" w:cs="Arial"/>
        </w:rPr>
        <w:t>.</w:t>
      </w:r>
    </w:p>
    <w:p w14:paraId="26163D05" w14:textId="77777777" w:rsidR="00BA4F9B" w:rsidRPr="0060589F" w:rsidRDefault="00BA4F9B" w:rsidP="0060589F">
      <w:pPr>
        <w:spacing w:before="120" w:after="0" w:line="240" w:lineRule="auto"/>
        <w:ind w:left="426"/>
        <w:rPr>
          <w:rFonts w:ascii="Arial" w:hAnsi="Arial"/>
          <w:b/>
          <w:lang w:eastAsia="en-AU"/>
        </w:rPr>
      </w:pPr>
    </w:p>
    <w:sectPr w:rsidR="00BA4F9B" w:rsidRPr="0060589F" w:rsidSect="001D594B">
      <w:pgSz w:w="11906" w:h="16838"/>
      <w:pgMar w:top="142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E27"/>
    <w:multiLevelType w:val="hybridMultilevel"/>
    <w:tmpl w:val="0F3CD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231BD"/>
    <w:multiLevelType w:val="hybridMultilevel"/>
    <w:tmpl w:val="ABDA64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318CD"/>
    <w:multiLevelType w:val="hybridMultilevel"/>
    <w:tmpl w:val="473AF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57212"/>
    <w:multiLevelType w:val="hybridMultilevel"/>
    <w:tmpl w:val="80A23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36FE0"/>
    <w:multiLevelType w:val="hybridMultilevel"/>
    <w:tmpl w:val="86E44346"/>
    <w:lvl w:ilvl="0" w:tplc="23420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61B11"/>
    <w:multiLevelType w:val="hybridMultilevel"/>
    <w:tmpl w:val="31A0149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B681EB0"/>
    <w:multiLevelType w:val="hybridMultilevel"/>
    <w:tmpl w:val="ABDA64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A1E5A"/>
    <w:multiLevelType w:val="multilevel"/>
    <w:tmpl w:val="82C2F15C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cs="Times New Roman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cs="Times New Roman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cs="Times New Roman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cs="Times New Roman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cs="Times New Roman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ind w:left="0" w:firstLine="0"/>
      </w:pPr>
    </w:lvl>
  </w:abstractNum>
  <w:abstractNum w:abstractNumId="8" w15:restartNumberingAfterBreak="0">
    <w:nsid w:val="706D5F41"/>
    <w:multiLevelType w:val="hybridMultilevel"/>
    <w:tmpl w:val="1248B2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0707C"/>
    <w:multiLevelType w:val="hybridMultilevel"/>
    <w:tmpl w:val="4A9E04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F9"/>
    <w:rsid w:val="00000A12"/>
    <w:rsid w:val="00014604"/>
    <w:rsid w:val="00021D2B"/>
    <w:rsid w:val="00033E57"/>
    <w:rsid w:val="000541CA"/>
    <w:rsid w:val="00057E91"/>
    <w:rsid w:val="00066CC3"/>
    <w:rsid w:val="000733B5"/>
    <w:rsid w:val="0009306F"/>
    <w:rsid w:val="000C2E4E"/>
    <w:rsid w:val="000E5CCD"/>
    <w:rsid w:val="000E7B03"/>
    <w:rsid w:val="00107491"/>
    <w:rsid w:val="001437E8"/>
    <w:rsid w:val="00185A0E"/>
    <w:rsid w:val="001D594B"/>
    <w:rsid w:val="00202007"/>
    <w:rsid w:val="00214032"/>
    <w:rsid w:val="00263AF9"/>
    <w:rsid w:val="00283979"/>
    <w:rsid w:val="002D60A1"/>
    <w:rsid w:val="002F1C15"/>
    <w:rsid w:val="003406E3"/>
    <w:rsid w:val="00342F05"/>
    <w:rsid w:val="00353089"/>
    <w:rsid w:val="00392BB4"/>
    <w:rsid w:val="003D21C4"/>
    <w:rsid w:val="00407084"/>
    <w:rsid w:val="0047149A"/>
    <w:rsid w:val="00474CFC"/>
    <w:rsid w:val="00480024"/>
    <w:rsid w:val="004D1A53"/>
    <w:rsid w:val="00504465"/>
    <w:rsid w:val="00531F65"/>
    <w:rsid w:val="00547F6B"/>
    <w:rsid w:val="00553370"/>
    <w:rsid w:val="00565084"/>
    <w:rsid w:val="005A7C40"/>
    <w:rsid w:val="005B0AC4"/>
    <w:rsid w:val="005B22BB"/>
    <w:rsid w:val="005B377D"/>
    <w:rsid w:val="005C139B"/>
    <w:rsid w:val="005C386E"/>
    <w:rsid w:val="0060589F"/>
    <w:rsid w:val="00607378"/>
    <w:rsid w:val="006459E4"/>
    <w:rsid w:val="00680A53"/>
    <w:rsid w:val="00697922"/>
    <w:rsid w:val="006A6EF1"/>
    <w:rsid w:val="006B37B0"/>
    <w:rsid w:val="006E18DC"/>
    <w:rsid w:val="006E5D7C"/>
    <w:rsid w:val="00700BDB"/>
    <w:rsid w:val="00777828"/>
    <w:rsid w:val="00777EE3"/>
    <w:rsid w:val="00781ED7"/>
    <w:rsid w:val="00790C04"/>
    <w:rsid w:val="007D56ED"/>
    <w:rsid w:val="007F3E58"/>
    <w:rsid w:val="008156F5"/>
    <w:rsid w:val="008247ED"/>
    <w:rsid w:val="0084758A"/>
    <w:rsid w:val="008736AD"/>
    <w:rsid w:val="008F7795"/>
    <w:rsid w:val="00976136"/>
    <w:rsid w:val="009A6B56"/>
    <w:rsid w:val="00A55ED5"/>
    <w:rsid w:val="00A72991"/>
    <w:rsid w:val="00A96149"/>
    <w:rsid w:val="00AE5CD4"/>
    <w:rsid w:val="00B073F8"/>
    <w:rsid w:val="00B25F3F"/>
    <w:rsid w:val="00B543A9"/>
    <w:rsid w:val="00B611DB"/>
    <w:rsid w:val="00BA4F9B"/>
    <w:rsid w:val="00BD6816"/>
    <w:rsid w:val="00C4741A"/>
    <w:rsid w:val="00CB457E"/>
    <w:rsid w:val="00CC498B"/>
    <w:rsid w:val="00D03F6D"/>
    <w:rsid w:val="00D27321"/>
    <w:rsid w:val="00D433AD"/>
    <w:rsid w:val="00D91F7B"/>
    <w:rsid w:val="00D93826"/>
    <w:rsid w:val="00DB4A62"/>
    <w:rsid w:val="00DC1900"/>
    <w:rsid w:val="00DF3E41"/>
    <w:rsid w:val="00E01168"/>
    <w:rsid w:val="00E134F2"/>
    <w:rsid w:val="00E55A73"/>
    <w:rsid w:val="00E6685F"/>
    <w:rsid w:val="00E92D34"/>
    <w:rsid w:val="00F14865"/>
    <w:rsid w:val="00F460B7"/>
    <w:rsid w:val="00F91E8F"/>
    <w:rsid w:val="00FA349F"/>
    <w:rsid w:val="00FC22C2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B98F"/>
  <w15:chartTrackingRefBased/>
  <w15:docId w15:val="{89D3386D-C56F-47B8-A315-1ECAE345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ullet1">
    <w:name w:val="DHHS bullet 1"/>
    <w:basedOn w:val="Normal"/>
    <w:qFormat/>
    <w:rsid w:val="006B37B0"/>
    <w:pPr>
      <w:numPr>
        <w:numId w:val="2"/>
      </w:numPr>
      <w:spacing w:after="4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DHHSbullet2">
    <w:name w:val="DHHS bullet 2"/>
    <w:basedOn w:val="Normal"/>
    <w:uiPriority w:val="2"/>
    <w:qFormat/>
    <w:rsid w:val="006B37B0"/>
    <w:pPr>
      <w:numPr>
        <w:ilvl w:val="2"/>
        <w:numId w:val="2"/>
      </w:numPr>
      <w:spacing w:after="4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DHHSbullet1lastline">
    <w:name w:val="DHHS bullet 1 last line"/>
    <w:basedOn w:val="DHHSbullet1"/>
    <w:qFormat/>
    <w:rsid w:val="006B37B0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6B37B0"/>
    <w:pPr>
      <w:numPr>
        <w:ilvl w:val="3"/>
      </w:numPr>
      <w:spacing w:after="120"/>
    </w:pPr>
  </w:style>
  <w:style w:type="paragraph" w:customStyle="1" w:styleId="DHHStablebullet">
    <w:name w:val="DHHS table bullet"/>
    <w:basedOn w:val="Normal"/>
    <w:uiPriority w:val="3"/>
    <w:qFormat/>
    <w:rsid w:val="006B37B0"/>
    <w:pPr>
      <w:numPr>
        <w:ilvl w:val="6"/>
        <w:numId w:val="2"/>
      </w:numPr>
      <w:spacing w:before="8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HHSbulletindent">
    <w:name w:val="DHHS bullet indent"/>
    <w:basedOn w:val="Normal"/>
    <w:uiPriority w:val="4"/>
    <w:rsid w:val="006B37B0"/>
    <w:pPr>
      <w:numPr>
        <w:ilvl w:val="4"/>
        <w:numId w:val="2"/>
      </w:numPr>
      <w:spacing w:after="4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DHHSbulletindentlastline">
    <w:name w:val="DHHS bullet indent last line"/>
    <w:basedOn w:val="Normal"/>
    <w:uiPriority w:val="4"/>
    <w:rsid w:val="006B37B0"/>
    <w:pPr>
      <w:numPr>
        <w:ilvl w:val="5"/>
        <w:numId w:val="2"/>
      </w:num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numbering" w:customStyle="1" w:styleId="ZZBullets">
    <w:name w:val="ZZ Bullets"/>
    <w:rsid w:val="006B37B0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B3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1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A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A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A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E55BC045.dotm</Template>
  <TotalTime>163</TotalTime>
  <Pages>1</Pages>
  <Words>380</Words>
  <Characters>2168</Characters>
  <Application>Microsoft Office Word</Application>
  <DocSecurity>0</DocSecurity>
  <Lines>41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/______________________________________</vt:lpstr>
      <vt:lpstr>Community Facilities Occupancy Policy </vt:lpstr>
      <vt:lpstr>Process for addressing non-compliance</vt:lpstr>
    </vt:vector>
  </TitlesOfParts>
  <Company>Maroondah City Council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Ingram</dc:creator>
  <cp:keywords/>
  <dc:description/>
  <cp:lastModifiedBy>Jeanette Ingram</cp:lastModifiedBy>
  <cp:revision>8</cp:revision>
  <dcterms:created xsi:type="dcterms:W3CDTF">2021-09-29T04:59:00Z</dcterms:created>
  <dcterms:modified xsi:type="dcterms:W3CDTF">2022-02-21T04:49:00Z</dcterms:modified>
</cp:coreProperties>
</file>