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1B" w:rsidRDefault="00F103A7">
      <w:pPr>
        <w:spacing w:before="43"/>
        <w:ind w:left="143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Facilities - Maintenance Schedule</w:t>
      </w:r>
    </w:p>
    <w:p w:rsidR="0031251B" w:rsidRDefault="00F103A7">
      <w:pPr>
        <w:spacing w:before="19"/>
        <w:ind w:left="138"/>
        <w:rPr>
          <w:sz w:val="19"/>
        </w:rPr>
      </w:pPr>
      <w:r>
        <w:rPr>
          <w:b/>
          <w:sz w:val="19"/>
        </w:rPr>
        <w:t xml:space="preserve">Version: </w:t>
      </w:r>
      <w:r>
        <w:rPr>
          <w:sz w:val="19"/>
        </w:rPr>
        <w:t>2021_1.0</w:t>
      </w:r>
    </w:p>
    <w:p w:rsidR="0031251B" w:rsidRDefault="00F103A7">
      <w:pPr>
        <w:spacing w:before="20"/>
        <w:ind w:left="138"/>
        <w:rPr>
          <w:sz w:val="19"/>
        </w:rPr>
      </w:pPr>
      <w:r>
        <w:rPr>
          <w:b/>
          <w:sz w:val="19"/>
        </w:rPr>
        <w:t xml:space="preserve">Adopted: </w:t>
      </w:r>
      <w:r>
        <w:rPr>
          <w:sz w:val="19"/>
        </w:rPr>
        <w:t>1 November 2021</w:t>
      </w:r>
    </w:p>
    <w:p w:rsidR="0031251B" w:rsidRDefault="0031251B">
      <w:pPr>
        <w:pStyle w:val="BodyText"/>
        <w:spacing w:before="2"/>
        <w:ind w:left="0"/>
        <w:rPr>
          <w:sz w:val="21"/>
        </w:rPr>
      </w:pPr>
    </w:p>
    <w:tbl>
      <w:tblPr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0164"/>
      </w:tblGrid>
      <w:tr w:rsidR="0031251B">
        <w:trPr>
          <w:trHeight w:val="471"/>
        </w:trPr>
        <w:tc>
          <w:tcPr>
            <w:tcW w:w="3953" w:type="dxa"/>
          </w:tcPr>
          <w:p w:rsidR="0031251B" w:rsidRDefault="00F103A7">
            <w:pPr>
              <w:pStyle w:val="TableParagraph"/>
              <w:spacing w:before="120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Maintenance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before="110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All actions necessary for retaining an asset as near as practicable to its original condition and service potential, excluding renewal.</w:t>
            </w:r>
          </w:p>
        </w:tc>
      </w:tr>
      <w:tr w:rsidR="0031251B">
        <w:trPr>
          <w:trHeight w:val="232"/>
        </w:trPr>
        <w:tc>
          <w:tcPr>
            <w:tcW w:w="3953" w:type="dxa"/>
          </w:tcPr>
          <w:p w:rsidR="0031251B" w:rsidRDefault="00F103A7">
            <w:pPr>
              <w:pStyle w:val="TableParagraph"/>
              <w:spacing w:line="212" w:lineRule="exact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New (Acquisition)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line="212" w:lineRule="exact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Creation of a new asset that provides a service that does not currently exist.</w:t>
            </w:r>
          </w:p>
        </w:tc>
      </w:tr>
      <w:tr w:rsidR="0031251B">
        <w:trPr>
          <w:trHeight w:val="232"/>
        </w:trPr>
        <w:tc>
          <w:tcPr>
            <w:tcW w:w="3953" w:type="dxa"/>
          </w:tcPr>
          <w:p w:rsidR="0031251B" w:rsidRDefault="00F103A7">
            <w:pPr>
              <w:pStyle w:val="TableParagraph"/>
              <w:spacing w:line="212" w:lineRule="exact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Operation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line="212" w:lineRule="exact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The active process of utilising an asset. This includes staff, cleaning, utility costs etc.</w:t>
            </w:r>
          </w:p>
        </w:tc>
      </w:tr>
      <w:tr w:rsidR="0031251B">
        <w:trPr>
          <w:trHeight w:val="231"/>
        </w:trPr>
        <w:tc>
          <w:tcPr>
            <w:tcW w:w="3953" w:type="dxa"/>
          </w:tcPr>
          <w:p w:rsidR="0031251B" w:rsidRDefault="00F103A7">
            <w:pPr>
              <w:pStyle w:val="TableParagraph"/>
              <w:spacing w:line="212" w:lineRule="exact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Ownership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line="212" w:lineRule="exact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The owner of the asset or infrastructure.</w:t>
            </w:r>
          </w:p>
        </w:tc>
      </w:tr>
      <w:tr w:rsidR="0031251B">
        <w:trPr>
          <w:trHeight w:val="510"/>
        </w:trPr>
        <w:tc>
          <w:tcPr>
            <w:tcW w:w="3953" w:type="dxa"/>
          </w:tcPr>
          <w:p w:rsidR="0031251B" w:rsidRDefault="00F103A7">
            <w:pPr>
              <w:pStyle w:val="TableParagraph"/>
              <w:spacing w:before="139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Renewal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before="129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Works to rebuild or replace an asset, to restore it to an existing functional condition and deliver its intended service potential.</w:t>
            </w:r>
          </w:p>
        </w:tc>
      </w:tr>
      <w:tr w:rsidR="0031251B">
        <w:trPr>
          <w:trHeight w:val="231"/>
        </w:trPr>
        <w:tc>
          <w:tcPr>
            <w:tcW w:w="3953" w:type="dxa"/>
          </w:tcPr>
          <w:p w:rsidR="0031251B" w:rsidRDefault="00F103A7">
            <w:pPr>
              <w:pStyle w:val="TableParagraph"/>
              <w:spacing w:line="212" w:lineRule="exact"/>
              <w:ind w:left="33" w:right="0"/>
              <w:jc w:val="left"/>
              <w:rPr>
                <w:sz w:val="19"/>
              </w:rPr>
            </w:pPr>
            <w:r>
              <w:rPr>
                <w:sz w:val="19"/>
              </w:rPr>
              <w:t>Upgrade</w:t>
            </w:r>
          </w:p>
        </w:tc>
        <w:tc>
          <w:tcPr>
            <w:tcW w:w="10164" w:type="dxa"/>
          </w:tcPr>
          <w:p w:rsidR="0031251B" w:rsidRDefault="00F103A7">
            <w:pPr>
              <w:pStyle w:val="TableParagraph"/>
              <w:spacing w:line="212" w:lineRule="exact"/>
              <w:ind w:left="32" w:right="0"/>
              <w:jc w:val="left"/>
              <w:rPr>
                <w:sz w:val="19"/>
              </w:rPr>
            </w:pPr>
            <w:r>
              <w:rPr>
                <w:sz w:val="19"/>
              </w:rPr>
              <w:t>The replacement or augmentation of all or part of an existing asset that increases the available service potential.</w:t>
            </w:r>
          </w:p>
        </w:tc>
      </w:tr>
    </w:tbl>
    <w:p w:rsidR="0031251B" w:rsidRDefault="0031251B">
      <w:pPr>
        <w:pStyle w:val="BodyText"/>
        <w:spacing w:before="3"/>
        <w:ind w:left="0"/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953"/>
        <w:gridCol w:w="2033"/>
        <w:gridCol w:w="2033"/>
        <w:gridCol w:w="2033"/>
        <w:gridCol w:w="2033"/>
        <w:gridCol w:w="2033"/>
      </w:tblGrid>
      <w:tr w:rsidR="0031251B">
        <w:trPr>
          <w:trHeight w:val="77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F103A7">
            <w:pPr>
              <w:pStyle w:val="TableParagraph"/>
              <w:spacing w:before="18"/>
              <w:ind w:left="148" w:right="0" w:firstLine="2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New</w:t>
            </w:r>
          </w:p>
          <w:p w:rsidR="0031251B" w:rsidRDefault="00F103A7">
            <w:pPr>
              <w:pStyle w:val="TableParagraph"/>
              <w:spacing w:before="2" w:line="250" w:lineRule="atLeast"/>
              <w:ind w:left="194" w:right="123" w:hanging="4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Item No.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1319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Item Description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9" w:right="38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Ownership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616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Operation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8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Maintenance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7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Renewal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9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Upgrade / New</w:t>
            </w:r>
          </w:p>
        </w:tc>
      </w:tr>
      <w:tr w:rsidR="0031251B">
        <w:trPr>
          <w:trHeight w:val="233"/>
        </w:trPr>
        <w:tc>
          <w:tcPr>
            <w:tcW w:w="65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before="1"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1411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before="1"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Structure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Building, including frame, foundation, brickwork,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cladding, roof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12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Roof plumbing, including roof material, skylights,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guttering, down pipes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Sheds / Bin enclosures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12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Water tanks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7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Shade sails / shelters / Pegolars / Verandas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rPr>
                <w:sz w:val="19"/>
              </w:rPr>
            </w:pPr>
            <w:r>
              <w:rPr>
                <w:sz w:val="19"/>
              </w:rPr>
              <w:t>Tenant</w:t>
            </w:r>
            <w:r>
              <w:rPr>
                <w:sz w:val="19"/>
                <w:vertAlign w:val="superscript"/>
              </w:rPr>
              <w:t>5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4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Fit Out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Ceiling and walls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Floor Coverings (i.e. tiles, carpet, wooden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2.3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Specialist sports flooring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2.4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Windows and doors including frames, glass,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hardwear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2.5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Automatic Doors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7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2.6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Air conditioning and evaporative cooling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ind w:left="685" w:right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Tenant </w:t>
            </w:r>
            <w:r>
              <w:rPr>
                <w:sz w:val="19"/>
                <w:vertAlign w:val="superscript"/>
              </w:rPr>
              <w:t>6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2.7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Access control infrastructure at a building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(Primary External Access Point)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2.8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Access control infrastructure at a building (Other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access and/or internal point(s))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85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left="136" w:right="125"/>
              <w:rPr>
                <w:sz w:val="19"/>
              </w:rPr>
            </w:pPr>
            <w:r>
              <w:rPr>
                <w:sz w:val="19"/>
              </w:rPr>
              <w:t>2.9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11"/>
              <w:ind w:left="0" w:right="0"/>
              <w:jc w:val="left"/>
              <w:rPr>
                <w:sz w:val="26"/>
              </w:rPr>
            </w:pPr>
          </w:p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CCTV infrastructure at a building</w:t>
            </w:r>
            <w:r>
              <w:rPr>
                <w:sz w:val="19"/>
                <w:vertAlign w:val="superscript"/>
              </w:rPr>
              <w:t>7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31251B" w:rsidRDefault="00F103A7">
            <w:pPr>
              <w:pStyle w:val="TableParagraph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7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2.10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Plumbing fixtures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ind w:left="326"/>
              <w:rPr>
                <w:sz w:val="19"/>
              </w:rPr>
            </w:pPr>
            <w:r>
              <w:rPr>
                <w:sz w:val="19"/>
              </w:rPr>
              <w:t>Tenant</w:t>
            </w:r>
            <w:r>
              <w:rPr>
                <w:sz w:val="19"/>
                <w:vertAlign w:val="superscript"/>
              </w:rPr>
              <w:t>8</w:t>
            </w:r>
          </w:p>
        </w:tc>
      </w:tr>
      <w:tr w:rsidR="0031251B">
        <w:trPr>
          <w:trHeight w:val="99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137" w:right="125"/>
              <w:rPr>
                <w:sz w:val="19"/>
              </w:rPr>
            </w:pPr>
            <w:r>
              <w:rPr>
                <w:sz w:val="19"/>
              </w:rPr>
              <w:t>2.11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 w:line="261" w:lineRule="auto"/>
              <w:ind w:left="30" w:right="95"/>
              <w:jc w:val="left"/>
              <w:rPr>
                <w:sz w:val="19"/>
              </w:rPr>
            </w:pPr>
            <w:r>
              <w:rPr>
                <w:sz w:val="19"/>
              </w:rPr>
              <w:t>Fixtures (i.e. stove, exhaust / fan, plumbed instant hot/cold water units etc.) &amp; commercial fixtures essential to service delivery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2.12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Wiring &amp; fittings (i.e. power points, switches,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ceiling fans, doorbells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99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137" w:right="125"/>
              <w:rPr>
                <w:sz w:val="19"/>
              </w:rPr>
            </w:pPr>
            <w:r>
              <w:rPr>
                <w:sz w:val="19"/>
              </w:rPr>
              <w:t>2.13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 w:line="261" w:lineRule="auto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Electrical equipment and Portable appliances and whitegoods (i.e. computers, monitors, kettle, toaster, fridge, dishwashers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5"/>
              <w:ind w:left="0" w:right="0"/>
              <w:jc w:val="left"/>
              <w:rPr>
                <w:sz w:val="32"/>
              </w:rPr>
            </w:pPr>
          </w:p>
          <w:p w:rsidR="0031251B" w:rsidRDefault="00F103A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Tenant</w:t>
            </w:r>
            <w:r>
              <w:rPr>
                <w:sz w:val="19"/>
                <w:vertAlign w:val="superscript"/>
              </w:rPr>
              <w:t>9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59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1153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left="137" w:right="125"/>
              <w:rPr>
                <w:sz w:val="19"/>
              </w:rPr>
            </w:pPr>
            <w:r>
              <w:rPr>
                <w:sz w:val="19"/>
              </w:rPr>
              <w:t>2.14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F103A7">
            <w:pPr>
              <w:pStyle w:val="TableParagraph"/>
              <w:spacing w:before="113" w:line="261" w:lineRule="auto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Lights (i.e. globes, bulbs, starters, tubes, diffusers, coverings, security lights, flood lights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  <w:rPr>
                <w:sz w:val="18"/>
              </w:rPr>
            </w:pPr>
          </w:p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19"/>
              </w:rPr>
            </w:pPr>
          </w:p>
          <w:p w:rsidR="0031251B" w:rsidRDefault="00F103A7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2.15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Furniture, equipment, and standalone shelving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2.16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Curtains and blinds (Manual)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2.17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Curtains and blinds (Automatic)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2.18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Built in cupboards, fixed shelving, benches,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drawers &amp; doors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2.19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Painting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2.20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Essential Safety Measures (ESM) including smoke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detectors, emergency lighting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2.21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Defibrillators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4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Services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Water (mains to meter)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Water (meter to building)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3.3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Sewerage, including septic tank where applicable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Stormwater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3.5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Blockages of sinks, toilets due to use (foreign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objects) or wilful damage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3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</w:tr>
      <w:tr w:rsidR="0031251B">
        <w:trPr>
          <w:trHeight w:val="27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3.6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Grease Interceptor Trap (GIT)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ind w:left="673" w:right="0"/>
              <w:jc w:val="left"/>
              <w:rPr>
                <w:sz w:val="19"/>
              </w:rPr>
            </w:pPr>
            <w:r>
              <w:rPr>
                <w:sz w:val="19"/>
              </w:rPr>
              <w:t>Tenant</w:t>
            </w:r>
            <w:r>
              <w:rPr>
                <w:sz w:val="19"/>
                <w:vertAlign w:val="superscript"/>
              </w:rPr>
              <w:t>10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ind w:left="325"/>
              <w:rPr>
                <w:sz w:val="19"/>
              </w:rPr>
            </w:pPr>
            <w:r>
              <w:rPr>
                <w:sz w:val="19"/>
              </w:rPr>
              <w:t>Council</w:t>
            </w:r>
            <w:r>
              <w:rPr>
                <w:sz w:val="19"/>
                <w:vertAlign w:val="superscript"/>
              </w:rPr>
              <w:t>11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3.7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Gas (main to meter)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3.8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Gas (meter to building)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3.9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Gas cylinders and bottles, including all associated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fittings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3.10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Gas heating including screen, flue, gas plumbing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&amp; hot water service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738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137" w:right="125"/>
              <w:rPr>
                <w:sz w:val="19"/>
              </w:rPr>
            </w:pPr>
            <w:r>
              <w:rPr>
                <w:sz w:val="19"/>
              </w:rPr>
              <w:t>3.11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Communication (fixed services) including</w:t>
            </w:r>
          </w:p>
          <w:p w:rsidR="0031251B" w:rsidRDefault="00F103A7">
            <w:pPr>
              <w:pStyle w:val="TableParagraph"/>
              <w:spacing w:before="2" w:line="250" w:lineRule="atLeast"/>
              <w:ind w:left="30" w:right="95"/>
              <w:jc w:val="left"/>
              <w:rPr>
                <w:sz w:val="19"/>
              </w:rPr>
            </w:pPr>
            <w:r>
              <w:rPr>
                <w:sz w:val="19"/>
              </w:rPr>
              <w:t>telephone and internet infrastructure (to building)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</w:tr>
    </w:tbl>
    <w:p w:rsidR="0031251B" w:rsidRDefault="0031251B">
      <w:pPr>
        <w:rPr>
          <w:sz w:val="19"/>
        </w:rPr>
        <w:sectPr w:rsidR="0031251B">
          <w:footerReference w:type="default" r:id="rId6"/>
          <w:type w:val="continuous"/>
          <w:pgSz w:w="16840" w:h="23820"/>
          <w:pgMar w:top="1040" w:right="920" w:bottom="680" w:left="920" w:header="720" w:footer="484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953"/>
        <w:gridCol w:w="2033"/>
        <w:gridCol w:w="2033"/>
        <w:gridCol w:w="2033"/>
        <w:gridCol w:w="2033"/>
        <w:gridCol w:w="2033"/>
      </w:tblGrid>
      <w:tr w:rsidR="0031251B">
        <w:trPr>
          <w:trHeight w:val="77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F103A7">
            <w:pPr>
              <w:pStyle w:val="TableParagraph"/>
              <w:spacing w:before="18" w:line="261" w:lineRule="auto"/>
              <w:ind w:left="148" w:right="123" w:firstLine="2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New Item</w:t>
            </w:r>
          </w:p>
          <w:p w:rsidR="0031251B" w:rsidRDefault="00F103A7">
            <w:pPr>
              <w:pStyle w:val="TableParagraph"/>
              <w:spacing w:line="230" w:lineRule="exact"/>
              <w:ind w:left="194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No.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1319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Item Description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9" w:right="38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Ownership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9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Operation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8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Maintenance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7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Renewal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251B" w:rsidRDefault="0031251B">
            <w:pPr>
              <w:pStyle w:val="TableParagraph"/>
              <w:spacing w:before="1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99" w:right="38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Upgrade / New</w:t>
            </w:r>
          </w:p>
        </w:tc>
      </w:tr>
      <w:tr w:rsidR="0031251B">
        <w:trPr>
          <w:trHeight w:val="740"/>
        </w:trPr>
        <w:tc>
          <w:tcPr>
            <w:tcW w:w="65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137" w:right="125"/>
              <w:rPr>
                <w:sz w:val="19"/>
              </w:rPr>
            </w:pPr>
            <w:r>
              <w:rPr>
                <w:sz w:val="19"/>
              </w:rPr>
              <w:t>3.12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" w:line="261" w:lineRule="auto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Communication (fixed services) including telephone and internet infrastructure (in</w:t>
            </w:r>
          </w:p>
          <w:p w:rsidR="0031251B" w:rsidRDefault="00F103A7">
            <w:pPr>
              <w:pStyle w:val="TableParagraph"/>
              <w:spacing w:line="213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building)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29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9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3.13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Electricity (main to meter)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Service Authority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3.14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Solar Panels + Batteries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14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External - Within the demised premise</w:t>
            </w:r>
          </w:p>
        </w:tc>
      </w:tr>
      <w:tr w:rsidR="0031251B">
        <w:trPr>
          <w:trHeight w:val="27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36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Fencing and gates</w:t>
            </w:r>
            <w:r>
              <w:rPr>
                <w:sz w:val="19"/>
                <w:vertAlign w:val="superscript"/>
              </w:rPr>
              <w:t>12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9" w:line="231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Fixed sprinkler systems (garden irrigation)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Pathways, driveways, hardstands and decking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Portable playground equipment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Fixed playground equipment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4.6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Playground space including soft fall, pathways,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garden beds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4.7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Fixed seats, benches, tables, BBQs etc.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4.8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Trees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4.9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Landscaping (i.e. edging, retaining walls less than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1m in height, planting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7" w:right="125"/>
              <w:rPr>
                <w:sz w:val="19"/>
              </w:rPr>
            </w:pPr>
            <w:r>
              <w:rPr>
                <w:sz w:val="19"/>
              </w:rPr>
              <w:t>4.10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Retaining Wall (equal or greater than 1m in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height)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7" w:right="125"/>
              <w:rPr>
                <w:sz w:val="19"/>
              </w:rPr>
            </w:pPr>
            <w:r>
              <w:rPr>
                <w:sz w:val="19"/>
              </w:rPr>
              <w:t>4.11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sz w:val="19"/>
              </w:rPr>
            </w:pPr>
            <w:r>
              <w:rPr>
                <w:sz w:val="19"/>
              </w:rPr>
              <w:t>Stormwater drainage pits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14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External - outside the demised premise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Handrail, steps, ramps &amp; decking if attached to a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Council Building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Fencing and gates (Boundary)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Fencing and gates (Sports)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5.4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Trees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5.5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Landscaping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5.6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Stormwater drainage pits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5.7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Carparks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3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</w:tr>
      <w:tr w:rsidR="0031251B">
        <w:trPr>
          <w:trHeight w:val="738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136" w:right="125"/>
              <w:rPr>
                <w:sz w:val="19"/>
              </w:rPr>
            </w:pPr>
            <w:r>
              <w:rPr>
                <w:sz w:val="19"/>
              </w:rPr>
              <w:t>5.8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 w:line="261" w:lineRule="auto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Sports training lights, coaches boxes, interchange boxes, batting cages, dug-outs, synthetic wickets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ind w:left="0" w:right="0"/>
              <w:jc w:val="left"/>
            </w:pPr>
          </w:p>
          <w:p w:rsidR="0031251B" w:rsidRDefault="00F103A7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Council</w:t>
            </w:r>
            <w:r>
              <w:rPr>
                <w:sz w:val="19"/>
                <w:vertAlign w:val="superscript"/>
              </w:rPr>
              <w:t>13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31251B">
            <w:pPr>
              <w:pStyle w:val="TableParagraph"/>
              <w:spacing w:before="7"/>
              <w:ind w:left="0" w:right="0"/>
              <w:jc w:val="left"/>
              <w:rPr>
                <w:sz w:val="20"/>
              </w:rPr>
            </w:pPr>
          </w:p>
          <w:p w:rsidR="0031251B" w:rsidRDefault="00F103A7">
            <w:pPr>
              <w:pStyle w:val="TableParagraph"/>
              <w:ind w:left="322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5.9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Specialised leased sports surfaces (tennis, bowls,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croquet, futsal etc.)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7" w:righ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14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/>
          </w:tcPr>
          <w:p w:rsidR="0031251B" w:rsidRDefault="00F103A7"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</w:p>
        </w:tc>
      </w:tr>
      <w:tr w:rsidR="0031251B">
        <w:trPr>
          <w:trHeight w:val="486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136" w:right="125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Infestation by pests, birds, animals, insects which</w:t>
            </w:r>
          </w:p>
          <w:p w:rsidR="0031251B" w:rsidRDefault="00F103A7">
            <w:pPr>
              <w:pStyle w:val="TableParagraph"/>
              <w:spacing w:before="20" w:line="215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render a space unsafe or unusable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right="314"/>
              <w:rPr>
                <w:sz w:val="19"/>
              </w:rPr>
            </w:pPr>
            <w:r>
              <w:rPr>
                <w:sz w:val="19"/>
              </w:rPr>
              <w:t>Council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3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before="127"/>
              <w:ind w:left="325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</w:tr>
      <w:tr w:rsidR="0031251B">
        <w:trPr>
          <w:trHeight w:val="231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136" w:right="125"/>
              <w:rPr>
                <w:sz w:val="19"/>
              </w:rPr>
            </w:pPr>
            <w:r>
              <w:rPr>
                <w:sz w:val="19"/>
              </w:rPr>
              <w:t>6.2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0" w:right="0"/>
              <w:jc w:val="left"/>
              <w:rPr>
                <w:sz w:val="19"/>
              </w:rPr>
            </w:pPr>
            <w:r>
              <w:rPr>
                <w:sz w:val="19"/>
              </w:rPr>
              <w:t>Non-Council Bin Service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Tenant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5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4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51B" w:rsidRDefault="00F103A7">
            <w:pPr>
              <w:pStyle w:val="TableParagraph"/>
              <w:spacing w:line="212" w:lineRule="exact"/>
              <w:ind w:left="323"/>
              <w:rPr>
                <w:sz w:val="19"/>
              </w:rPr>
            </w:pPr>
            <w:r>
              <w:rPr>
                <w:sz w:val="19"/>
              </w:rPr>
              <w:t>NA</w:t>
            </w:r>
          </w:p>
        </w:tc>
      </w:tr>
    </w:tbl>
    <w:p w:rsidR="0031251B" w:rsidRDefault="0031251B">
      <w:pPr>
        <w:pStyle w:val="BodyText"/>
        <w:spacing w:before="2"/>
        <w:ind w:left="0"/>
        <w:rPr>
          <w:sz w:val="16"/>
        </w:rPr>
      </w:pPr>
    </w:p>
    <w:p w:rsidR="0031251B" w:rsidRDefault="0031251B">
      <w:pPr>
        <w:rPr>
          <w:sz w:val="16"/>
        </w:rPr>
        <w:sectPr w:rsidR="0031251B">
          <w:pgSz w:w="16840" w:h="23820"/>
          <w:pgMar w:top="1060" w:right="920" w:bottom="680" w:left="920" w:header="0" w:footer="484" w:gutter="0"/>
          <w:cols w:space="720"/>
        </w:sectPr>
      </w:pPr>
    </w:p>
    <w:p w:rsidR="0031251B" w:rsidRDefault="00F103A7">
      <w:pPr>
        <w:spacing w:before="63"/>
        <w:ind w:left="179"/>
        <w:jc w:val="center"/>
        <w:rPr>
          <w:b/>
          <w:sz w:val="19"/>
        </w:rPr>
      </w:pPr>
      <w:r>
        <w:rPr>
          <w:b/>
          <w:sz w:val="19"/>
        </w:rPr>
        <w:t>Notes:</w:t>
      </w:r>
    </w:p>
    <w:p w:rsidR="0031251B" w:rsidRDefault="00F103A7">
      <w:pPr>
        <w:pStyle w:val="BodyText"/>
        <w:spacing w:before="20"/>
        <w:ind w:left="165"/>
        <w:jc w:val="center"/>
      </w:pPr>
      <w:r>
        <w:rPr>
          <w:w w:val="101"/>
        </w:rPr>
        <w:t>1</w:t>
      </w:r>
    </w:p>
    <w:p w:rsidR="0031251B" w:rsidRDefault="00F103A7">
      <w:pPr>
        <w:pStyle w:val="BodyText"/>
        <w:spacing w:before="20"/>
        <w:ind w:left="165"/>
        <w:jc w:val="center"/>
      </w:pPr>
      <w:r>
        <w:rPr>
          <w:w w:val="101"/>
        </w:rPr>
        <w:t>2</w:t>
      </w:r>
    </w:p>
    <w:p w:rsidR="0031251B" w:rsidRDefault="0031251B">
      <w:pPr>
        <w:pStyle w:val="BodyText"/>
        <w:spacing w:before="6"/>
        <w:ind w:left="0"/>
        <w:rPr>
          <w:sz w:val="22"/>
        </w:rPr>
      </w:pPr>
    </w:p>
    <w:p w:rsidR="0031251B" w:rsidRDefault="00F103A7">
      <w:pPr>
        <w:pStyle w:val="BodyText"/>
        <w:ind w:left="385"/>
      </w:pPr>
      <w:r>
        <w:rPr>
          <w:w w:val="101"/>
        </w:rPr>
        <w:t>3</w:t>
      </w:r>
    </w:p>
    <w:p w:rsidR="0031251B" w:rsidRDefault="00F103A7">
      <w:pPr>
        <w:pStyle w:val="BodyText"/>
        <w:spacing w:before="20"/>
        <w:ind w:left="385"/>
      </w:pPr>
      <w:r>
        <w:rPr>
          <w:w w:val="101"/>
        </w:rPr>
        <w:t>4</w:t>
      </w:r>
    </w:p>
    <w:p w:rsidR="0031251B" w:rsidRDefault="00F103A7">
      <w:pPr>
        <w:pStyle w:val="BodyText"/>
        <w:spacing w:before="20"/>
        <w:ind w:left="385"/>
      </w:pPr>
      <w:r>
        <w:rPr>
          <w:w w:val="101"/>
        </w:rPr>
        <w:t>5</w:t>
      </w:r>
    </w:p>
    <w:p w:rsidR="0031251B" w:rsidRDefault="00F103A7">
      <w:pPr>
        <w:pStyle w:val="BodyText"/>
        <w:spacing w:before="20"/>
        <w:ind w:left="385"/>
      </w:pPr>
      <w:r>
        <w:rPr>
          <w:w w:val="101"/>
        </w:rPr>
        <w:t>6</w:t>
      </w:r>
    </w:p>
    <w:p w:rsidR="0031251B" w:rsidRDefault="00F103A7">
      <w:pPr>
        <w:pStyle w:val="BodyText"/>
        <w:spacing w:before="20"/>
        <w:ind w:left="385"/>
      </w:pPr>
      <w:r>
        <w:rPr>
          <w:w w:val="101"/>
        </w:rPr>
        <w:t>7</w:t>
      </w:r>
    </w:p>
    <w:p w:rsidR="0031251B" w:rsidRDefault="0031251B">
      <w:pPr>
        <w:pStyle w:val="BodyText"/>
        <w:spacing w:before="6"/>
        <w:ind w:left="0"/>
        <w:rPr>
          <w:sz w:val="24"/>
        </w:rPr>
      </w:pPr>
    </w:p>
    <w:p w:rsidR="0031251B" w:rsidRDefault="00F103A7">
      <w:pPr>
        <w:pStyle w:val="BodyText"/>
        <w:ind w:left="385"/>
      </w:pPr>
      <w:r>
        <w:rPr>
          <w:w w:val="101"/>
        </w:rPr>
        <w:t>8</w:t>
      </w:r>
    </w:p>
    <w:p w:rsidR="0031251B" w:rsidRDefault="00F103A7">
      <w:pPr>
        <w:pStyle w:val="BodyText"/>
        <w:spacing w:before="20"/>
        <w:ind w:left="385"/>
      </w:pPr>
      <w:r>
        <w:rPr>
          <w:w w:val="101"/>
        </w:rPr>
        <w:t>9</w:t>
      </w:r>
    </w:p>
    <w:p w:rsidR="0031251B" w:rsidRDefault="0031251B">
      <w:pPr>
        <w:pStyle w:val="BodyText"/>
        <w:spacing w:before="3"/>
        <w:ind w:left="0"/>
        <w:rPr>
          <w:sz w:val="21"/>
        </w:rPr>
      </w:pPr>
    </w:p>
    <w:p w:rsidR="0031251B" w:rsidRDefault="00F103A7">
      <w:pPr>
        <w:pStyle w:val="BodyText"/>
        <w:spacing w:before="1"/>
        <w:ind w:left="335"/>
      </w:pPr>
      <w:r>
        <w:t>10</w:t>
      </w:r>
    </w:p>
    <w:p w:rsidR="0031251B" w:rsidRDefault="0031251B">
      <w:pPr>
        <w:pStyle w:val="BodyText"/>
        <w:spacing w:before="5"/>
        <w:ind w:left="0"/>
        <w:rPr>
          <w:sz w:val="22"/>
        </w:rPr>
      </w:pPr>
    </w:p>
    <w:p w:rsidR="0031251B" w:rsidRDefault="00F103A7">
      <w:pPr>
        <w:pStyle w:val="BodyText"/>
        <w:spacing w:before="1"/>
        <w:ind w:left="335"/>
      </w:pPr>
      <w:r>
        <w:t>11</w:t>
      </w:r>
    </w:p>
    <w:p w:rsidR="0031251B" w:rsidRDefault="00F103A7">
      <w:pPr>
        <w:pStyle w:val="BodyText"/>
        <w:spacing w:before="20"/>
        <w:ind w:left="335"/>
      </w:pPr>
      <w:r>
        <w:t>12</w:t>
      </w:r>
    </w:p>
    <w:p w:rsidR="0031251B" w:rsidRDefault="00F103A7">
      <w:pPr>
        <w:pStyle w:val="BodyText"/>
        <w:spacing w:before="20"/>
        <w:ind w:left="335"/>
      </w:pPr>
      <w:r>
        <w:t>13</w:t>
      </w:r>
    </w:p>
    <w:p w:rsidR="0031251B" w:rsidRDefault="00F103A7">
      <w:pPr>
        <w:pStyle w:val="BodyText"/>
        <w:spacing w:before="10"/>
        <w:ind w:left="0"/>
        <w:rPr>
          <w:sz w:val="25"/>
        </w:rPr>
      </w:pPr>
      <w:r>
        <w:br w:type="column"/>
      </w:r>
    </w:p>
    <w:p w:rsidR="0031251B" w:rsidRDefault="00F103A7">
      <w:pPr>
        <w:pStyle w:val="BodyText"/>
      </w:pPr>
      <w:r>
        <w:t>The Maintenance Schedule will be applicable unless specified in the Leese Agreement.</w:t>
      </w:r>
    </w:p>
    <w:p w:rsidR="0031251B" w:rsidRDefault="00F103A7">
      <w:pPr>
        <w:pStyle w:val="BodyText"/>
        <w:spacing w:before="20"/>
      </w:pPr>
      <w:r>
        <w:t>The Tenant must notify and seek approval from Council prior to any and all works occurring at a Council facility. A response for minor works may take up to 15 business days.</w:t>
      </w:r>
    </w:p>
    <w:p w:rsidR="0031251B" w:rsidRDefault="0031251B">
      <w:pPr>
        <w:pStyle w:val="BodyText"/>
        <w:spacing w:before="6"/>
        <w:ind w:left="0"/>
        <w:rPr>
          <w:sz w:val="22"/>
        </w:rPr>
      </w:pPr>
    </w:p>
    <w:p w:rsidR="0031251B" w:rsidRDefault="00F103A7">
      <w:pPr>
        <w:pStyle w:val="BodyText"/>
        <w:spacing w:line="261" w:lineRule="auto"/>
        <w:ind w:right="1789"/>
      </w:pPr>
      <w:r>
        <w:t>Damage caused by the Tenant, excluding fair wear and tear, will be the Tenant’s r</w:t>
      </w:r>
      <w:r>
        <w:t>esponsibility to fund. Council will project manage the subsequent work. Security patrol call out costs due to Tenant error must be borne by the Tenant.</w:t>
      </w:r>
    </w:p>
    <w:p w:rsidR="0031251B" w:rsidRDefault="00F103A7">
      <w:pPr>
        <w:pStyle w:val="BodyText"/>
        <w:spacing w:line="261" w:lineRule="auto"/>
        <w:ind w:right="8723"/>
      </w:pPr>
      <w:r>
        <w:t>Cyclical cleaning of the structure will be undertaken by Council. Tenants are responsible for changing r</w:t>
      </w:r>
      <w:r>
        <w:t>emote control batteries.</w:t>
      </w:r>
    </w:p>
    <w:p w:rsidR="0031251B" w:rsidRDefault="00F103A7">
      <w:pPr>
        <w:pStyle w:val="BodyText"/>
        <w:spacing w:line="261" w:lineRule="auto"/>
      </w:pPr>
      <w:r>
        <w:t>Non-Council CCTV infrastructure is not permitted at Council Building. Where non-Council CCTV infrastructure is identified, the Tenant must cease its use within 3 business days and transfer all access to Council. The costs associate</w:t>
      </w:r>
      <w:r>
        <w:t>d with the installation of replacement Council CCTV infrastructure will be borne by the Tenant.</w:t>
      </w:r>
    </w:p>
    <w:p w:rsidR="0031251B" w:rsidRDefault="00F103A7">
      <w:pPr>
        <w:pStyle w:val="BodyText"/>
        <w:spacing w:before="21"/>
      </w:pPr>
      <w:r>
        <w:t>Council will fund statutory or Worksafe requirements.</w:t>
      </w:r>
    </w:p>
    <w:p w:rsidR="0031251B" w:rsidRDefault="00F103A7">
      <w:pPr>
        <w:pStyle w:val="BodyText"/>
        <w:spacing w:before="21" w:line="261" w:lineRule="auto"/>
        <w:ind w:right="130"/>
      </w:pPr>
      <w:r>
        <w:t>The Tenant must ensure all electrical equipment and appliances are inspected, tested, and tagged in accord</w:t>
      </w:r>
      <w:r>
        <w:t>ance with, and as often as required, by standards contained in the Standard Inspection and Testing AS/NZ 3760.</w:t>
      </w:r>
    </w:p>
    <w:p w:rsidR="0031251B" w:rsidRDefault="00F103A7">
      <w:pPr>
        <w:pStyle w:val="BodyText"/>
        <w:spacing w:line="218" w:lineRule="exact"/>
      </w:pPr>
      <w:r>
        <w:t>Seasonal Tenants must empty Grease Interceptor Traps (GITs) prior to vacating the facility. Non-seasonal Tenants must empty Grease Interceptor Tr</w:t>
      </w:r>
      <w:r>
        <w:t>aps (GITs) every 12 months.</w:t>
      </w:r>
    </w:p>
    <w:p w:rsidR="0031251B" w:rsidRDefault="00F103A7">
      <w:pPr>
        <w:pStyle w:val="BodyText"/>
        <w:spacing w:before="20"/>
      </w:pPr>
      <w:r>
        <w:t>Proof of this service occurring must be provided to Council.</w:t>
      </w:r>
    </w:p>
    <w:p w:rsidR="0031251B" w:rsidRDefault="00F103A7">
      <w:pPr>
        <w:pStyle w:val="BodyText"/>
        <w:spacing w:before="22" w:line="261" w:lineRule="auto"/>
        <w:ind w:right="5512"/>
      </w:pPr>
      <w:r>
        <w:t xml:space="preserve">Grease Interceptor Traps (GITs) will only be installed or upgraded as per Yarra Valley Water requirements. Tenant is responsible for fencing and gates associated with </w:t>
      </w:r>
      <w:r>
        <w:t>a tennis facility.</w:t>
      </w:r>
    </w:p>
    <w:p w:rsidR="0031251B" w:rsidRDefault="00F103A7">
      <w:pPr>
        <w:pStyle w:val="BodyText"/>
        <w:spacing w:line="230" w:lineRule="exact"/>
      </w:pPr>
      <w:r>
        <w:t>Replacement of sport lighting globes and control gear must be borne by the Tenant.</w:t>
      </w:r>
    </w:p>
    <w:sectPr w:rsidR="0031251B">
      <w:type w:val="continuous"/>
      <w:pgSz w:w="16840" w:h="23820"/>
      <w:pgMar w:top="1040" w:right="920" w:bottom="680" w:left="920" w:header="720" w:footer="720" w:gutter="0"/>
      <w:cols w:num="2" w:space="720" w:equalWidth="0">
        <w:col w:w="703" w:space="40"/>
        <w:col w:w="14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A7" w:rsidRDefault="00F103A7">
      <w:r>
        <w:separator/>
      </w:r>
    </w:p>
  </w:endnote>
  <w:endnote w:type="continuationSeparator" w:id="0">
    <w:p w:rsidR="00F103A7" w:rsidRDefault="00F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1B" w:rsidRDefault="002903E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98195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14672310</wp:posOffset>
              </wp:positionV>
              <wp:extent cx="447040" cy="147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51B" w:rsidRDefault="00F103A7">
                          <w:pPr>
                            <w:pStyle w:val="BodyText"/>
                            <w:spacing w:line="215" w:lineRule="exact"/>
                            <w:ind w:left="20"/>
                          </w:pPr>
                          <w:r>
                            <w:t>21/6668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1pt;margin-top:1155.3pt;width:35.2pt;height:11.65pt;z-index:-2533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5HqwIAAKg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" filled="f" stroked="f">
              <v:textbox inset="0,0,0,0">
                <w:txbxContent>
                  <w:p w:rsidR="0031251B" w:rsidRDefault="00F103A7">
                    <w:pPr>
                      <w:pStyle w:val="BodyText"/>
                      <w:spacing w:line="215" w:lineRule="exact"/>
                      <w:ind w:left="20"/>
                    </w:pPr>
                    <w:r>
                      <w:t>21/6668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982976" behindDoc="1" locked="0" layoutInCell="1" allowOverlap="1">
              <wp:simplePos x="0" y="0"/>
              <wp:positionH relativeFrom="page">
                <wp:posOffset>9714865</wp:posOffset>
              </wp:positionH>
              <wp:positionV relativeFrom="page">
                <wp:posOffset>14672310</wp:posOffset>
              </wp:positionV>
              <wp:extent cx="33083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51B" w:rsidRDefault="00F103A7">
                          <w:pPr>
                            <w:pStyle w:val="BodyText"/>
                            <w:spacing w:line="21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64.95pt;margin-top:1155.3pt;width:26.05pt;height:11.65pt;z-index:-2533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" filled="f" stroked="f">
              <v:textbox inset="0,0,0,0">
                <w:txbxContent>
                  <w:p w:rsidR="0031251B" w:rsidRDefault="00F103A7">
                    <w:pPr>
                      <w:pStyle w:val="BodyText"/>
                      <w:spacing w:line="21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A7" w:rsidRDefault="00F103A7">
      <w:r>
        <w:separator/>
      </w:r>
    </w:p>
  </w:footnote>
  <w:footnote w:type="continuationSeparator" w:id="0">
    <w:p w:rsidR="00F103A7" w:rsidRDefault="00F1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1B"/>
    <w:rsid w:val="002903E6"/>
    <w:rsid w:val="0031251B"/>
    <w:rsid w:val="00F1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6D9C3-6310-4FAF-B094-DD3C610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7" w:right="3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7324</Characters>
  <Application>Microsoft Office Word</Application>
  <DocSecurity>0</DocSecurity>
  <Lines>1464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- Maintenance Schedule (2021_1.0).XLSX</vt:lpstr>
    </vt:vector>
  </TitlesOfParts>
  <Company>Maroondah City Council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- Maintenance Schedule (2021_1.0).XLSX</dc:title>
  <dc:creator>apeiris</dc:creator>
  <cp:lastModifiedBy>Rhiannon Dunne</cp:lastModifiedBy>
  <cp:revision>2</cp:revision>
  <dcterms:created xsi:type="dcterms:W3CDTF">2021-12-23T21:34:00Z</dcterms:created>
  <dcterms:modified xsi:type="dcterms:W3CDTF">2021-12-23T21:34:00Z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2021-12-23T00:00:00Z</vt:filetime>
  </property>
</Properties>
</file>