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0" simplePos="0" relativeHeight="15728640">
            <wp:simplePos x="0" y="0"/>
            <wp:positionH relativeFrom="page">
              <wp:posOffset>19811</wp:posOffset>
            </wp:positionH>
            <wp:positionV relativeFrom="page">
              <wp:posOffset>0</wp:posOffset>
            </wp:positionV>
            <wp:extent cx="7540752" cy="1069238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40752" cy="10692384"/>
                    </a:xfrm>
                    <a:prstGeom prst="rect">
                      <a:avLst/>
                    </a:prstGeom>
                  </pic:spPr>
                </pic:pic>
              </a:graphicData>
            </a:graphic>
          </wp:anchor>
        </w:drawing>
      </w:r>
    </w:p>
    <w:p>
      <w:pPr>
        <w:spacing w:after="0"/>
        <w:rPr>
          <w:rFonts w:ascii="Times New Roman"/>
          <w:sz w:val="17"/>
        </w:rPr>
        <w:sectPr>
          <w:type w:val="continuous"/>
          <w:pgSz w:w="11910" w:h="16840"/>
          <w:pgMar w:top="1920" w:bottom="280" w:left="0" w:right="0"/>
        </w:sectPr>
      </w:pPr>
    </w:p>
    <w:p>
      <w:pPr>
        <w:pStyle w:val="BodyText"/>
        <w:rPr>
          <w:rFonts w:ascii="Times New Roman"/>
          <w:sz w:val="20"/>
        </w:rPr>
      </w:pPr>
      <w:r>
        <w:rPr/>
        <w:drawing>
          <wp:anchor distT="0" distB="0" distL="0" distR="0" allowOverlap="1" layoutInCell="1" locked="0" behindDoc="0" simplePos="0" relativeHeight="15729664">
            <wp:simplePos x="0" y="0"/>
            <wp:positionH relativeFrom="page">
              <wp:posOffset>0</wp:posOffset>
            </wp:positionH>
            <wp:positionV relativeFrom="page">
              <wp:posOffset>9829800</wp:posOffset>
            </wp:positionV>
            <wp:extent cx="7560564" cy="10198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rFonts w:ascii="Times New Roman"/>
          <w:sz w:val="20"/>
        </w:rPr>
      </w:pPr>
    </w:p>
    <w:p>
      <w:pPr>
        <w:pStyle w:val="BodyText"/>
        <w:spacing w:before="5"/>
        <w:rPr>
          <w:rFonts w:ascii="Times New Roman"/>
          <w:sz w:val="25"/>
        </w:rPr>
      </w:pPr>
    </w:p>
    <w:p>
      <w:pPr>
        <w:spacing w:before="89"/>
        <w:ind w:left="1440" w:right="0" w:firstLine="0"/>
        <w:jc w:val="left"/>
        <w:rPr>
          <w:b/>
          <w:sz w:val="32"/>
        </w:rPr>
      </w:pPr>
      <w:r>
        <w:rPr/>
        <w:drawing>
          <wp:anchor distT="0" distB="0" distL="0" distR="0" allowOverlap="1" layoutInCell="1" locked="0" behindDoc="0" simplePos="0" relativeHeight="15729152">
            <wp:simplePos x="0" y="0"/>
            <wp:positionH relativeFrom="page">
              <wp:posOffset>6461760</wp:posOffset>
            </wp:positionH>
            <wp:positionV relativeFrom="paragraph">
              <wp:posOffset>-482881</wp:posOffset>
            </wp:positionV>
            <wp:extent cx="545591" cy="637031"/>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45591" cy="637031"/>
                    </a:xfrm>
                    <a:prstGeom prst="rect">
                      <a:avLst/>
                    </a:prstGeom>
                  </pic:spPr>
                </pic:pic>
              </a:graphicData>
            </a:graphic>
          </wp:anchor>
        </w:drawing>
      </w:r>
      <w:r>
        <w:rPr>
          <w:b/>
          <w:color w:val="134295"/>
          <w:sz w:val="32"/>
        </w:rPr>
        <w:t>Table</w:t>
      </w:r>
      <w:r>
        <w:rPr>
          <w:b/>
          <w:color w:val="134295"/>
          <w:spacing w:val="-7"/>
          <w:sz w:val="32"/>
        </w:rPr>
        <w:t> </w:t>
      </w:r>
      <w:r>
        <w:rPr>
          <w:b/>
          <w:color w:val="134295"/>
          <w:sz w:val="32"/>
        </w:rPr>
        <w:t>of</w:t>
      </w:r>
      <w:r>
        <w:rPr>
          <w:b/>
          <w:color w:val="134295"/>
          <w:spacing w:val="-7"/>
          <w:sz w:val="32"/>
        </w:rPr>
        <w:t> </w:t>
      </w:r>
      <w:r>
        <w:rPr>
          <w:b/>
          <w:color w:val="134295"/>
          <w:spacing w:val="-2"/>
          <w:sz w:val="32"/>
        </w:rPr>
        <w:t>Contents</w:t>
      </w:r>
    </w:p>
    <w:p>
      <w:pPr>
        <w:pStyle w:val="BodyText"/>
        <w:spacing w:before="5"/>
        <w:rPr>
          <w:b/>
          <w:sz w:val="16"/>
        </w:rPr>
      </w:pPr>
    </w:p>
    <w:sdt>
      <w:sdtPr>
        <w:docPartObj>
          <w:docPartGallery w:val="Table of Contents"/>
          <w:docPartUnique/>
        </w:docPartObj>
      </w:sdtPr>
      <w:sdtEndPr/>
      <w:sdtContent>
        <w:p>
          <w:pPr>
            <w:pStyle w:val="TOC1"/>
            <w:numPr>
              <w:ilvl w:val="0"/>
              <w:numId w:val="1"/>
            </w:numPr>
            <w:tabs>
              <w:tab w:pos="1879" w:val="left" w:leader="none"/>
              <w:tab w:pos="1880" w:val="left" w:leader="none"/>
              <w:tab w:pos="10467" w:val="right" w:leader="dot"/>
            </w:tabs>
            <w:spacing w:line="240" w:lineRule="auto" w:before="93" w:after="0"/>
            <w:ind w:left="1879" w:right="0" w:hanging="440"/>
            <w:jc w:val="left"/>
          </w:pPr>
          <w:r>
            <w:fldChar w:fldCharType="begin"/>
          </w:r>
          <w:r>
            <w:instrText>TOC \o "1-2" \h \z \u </w:instrText>
          </w:r>
          <w:r>
            <w:fldChar w:fldCharType="separate"/>
          </w:r>
          <w:hyperlink w:history="true" w:anchor="_TOC_250021">
            <w:r>
              <w:rPr>
                <w:spacing w:val="-2"/>
              </w:rPr>
              <w:t>Purpose</w:t>
            </w:r>
            <w:r>
              <w:rPr>
                <w:rFonts w:ascii="Times New Roman"/>
                <w:b w:val="0"/>
              </w:rPr>
              <w:tab/>
            </w:r>
            <w:r>
              <w:rPr>
                <w:spacing w:val="-10"/>
              </w:rPr>
              <w:t>3</w:t>
            </w:r>
          </w:hyperlink>
        </w:p>
        <w:p>
          <w:pPr>
            <w:pStyle w:val="TOC1"/>
            <w:numPr>
              <w:ilvl w:val="0"/>
              <w:numId w:val="1"/>
            </w:numPr>
            <w:tabs>
              <w:tab w:pos="1879" w:val="left" w:leader="none"/>
              <w:tab w:pos="1880" w:val="left" w:leader="none"/>
              <w:tab w:pos="10467" w:val="right" w:leader="dot"/>
            </w:tabs>
            <w:spacing w:line="240" w:lineRule="auto" w:before="247" w:after="0"/>
            <w:ind w:left="1879" w:right="0" w:hanging="440"/>
            <w:jc w:val="left"/>
          </w:pPr>
          <w:hyperlink w:history="true" w:anchor="_TOC_250020">
            <w:r>
              <w:rPr>
                <w:spacing w:val="-2"/>
              </w:rPr>
              <w:t>Introduction</w:t>
            </w:r>
            <w:r>
              <w:rPr>
                <w:rFonts w:ascii="Times New Roman"/>
                <w:b w:val="0"/>
              </w:rPr>
              <w:tab/>
            </w:r>
            <w:r>
              <w:rPr>
                <w:spacing w:val="-10"/>
              </w:rPr>
              <w:t>5</w:t>
            </w:r>
          </w:hyperlink>
        </w:p>
        <w:p>
          <w:pPr>
            <w:pStyle w:val="TOC1"/>
            <w:numPr>
              <w:ilvl w:val="0"/>
              <w:numId w:val="1"/>
            </w:numPr>
            <w:tabs>
              <w:tab w:pos="1879" w:val="left" w:leader="none"/>
              <w:tab w:pos="1880" w:val="left" w:leader="none"/>
              <w:tab w:pos="10467" w:val="right" w:leader="dot"/>
            </w:tabs>
            <w:spacing w:line="240" w:lineRule="auto" w:before="246" w:after="0"/>
            <w:ind w:left="1879" w:right="0" w:hanging="440"/>
            <w:jc w:val="left"/>
          </w:pPr>
          <w:hyperlink w:history="true" w:anchor="_TOC_250019">
            <w:r>
              <w:rPr/>
              <w:t>Engagement</w:t>
            </w:r>
            <w:r>
              <w:rPr>
                <w:spacing w:val="-4"/>
              </w:rPr>
              <w:t> </w:t>
            </w:r>
            <w:r>
              <w:rPr>
                <w:spacing w:val="-2"/>
              </w:rPr>
              <w:t>Principles</w:t>
            </w:r>
            <w:r>
              <w:rPr>
                <w:rFonts w:ascii="Times New Roman"/>
                <w:b w:val="0"/>
              </w:rPr>
              <w:tab/>
            </w:r>
            <w:r>
              <w:rPr>
                <w:spacing w:val="-10"/>
              </w:rPr>
              <w:t>7</w:t>
            </w:r>
          </w:hyperlink>
        </w:p>
        <w:p>
          <w:pPr>
            <w:pStyle w:val="TOC1"/>
            <w:numPr>
              <w:ilvl w:val="0"/>
              <w:numId w:val="1"/>
            </w:numPr>
            <w:tabs>
              <w:tab w:pos="1879" w:val="left" w:leader="none"/>
              <w:tab w:pos="1880" w:val="left" w:leader="none"/>
              <w:tab w:pos="10467" w:val="right" w:leader="dot"/>
            </w:tabs>
            <w:spacing w:line="240" w:lineRule="auto" w:before="246" w:after="0"/>
            <w:ind w:left="1879" w:right="0" w:hanging="440"/>
            <w:jc w:val="left"/>
          </w:pPr>
          <w:hyperlink w:history="true" w:anchor="_TOC_250018">
            <w:r>
              <w:rPr/>
              <w:t>Rates</w:t>
            </w:r>
            <w:r>
              <w:rPr>
                <w:spacing w:val="-2"/>
              </w:rPr>
              <w:t> </w:t>
            </w:r>
            <w:r>
              <w:rPr/>
              <w:t>and</w:t>
            </w:r>
            <w:r>
              <w:rPr>
                <w:spacing w:val="-1"/>
              </w:rPr>
              <w:t> </w:t>
            </w:r>
            <w:r>
              <w:rPr>
                <w:spacing w:val="-2"/>
              </w:rPr>
              <w:t>Charges</w:t>
            </w:r>
            <w:r>
              <w:rPr>
                <w:rFonts w:ascii="Times New Roman"/>
                <w:b w:val="0"/>
              </w:rPr>
              <w:tab/>
            </w:r>
            <w:r>
              <w:rPr>
                <w:spacing w:val="-12"/>
              </w:rPr>
              <w:t>7</w:t>
            </w:r>
          </w:hyperlink>
        </w:p>
        <w:p>
          <w:pPr>
            <w:pStyle w:val="TOC2"/>
            <w:numPr>
              <w:ilvl w:val="1"/>
              <w:numId w:val="1"/>
            </w:numPr>
            <w:tabs>
              <w:tab w:pos="2320" w:val="left" w:leader="none"/>
              <w:tab w:pos="2321" w:val="left" w:leader="none"/>
              <w:tab w:pos="10467" w:val="right" w:leader="dot"/>
            </w:tabs>
            <w:spacing w:line="240" w:lineRule="auto" w:before="246" w:after="0"/>
            <w:ind w:left="2320" w:right="0" w:hanging="661"/>
            <w:jc w:val="left"/>
          </w:pPr>
          <w:hyperlink w:history="true" w:anchor="_TOC_250017">
            <w:r>
              <w:rPr/>
              <w:t>Rating</w:t>
            </w:r>
            <w:r>
              <w:rPr>
                <w:spacing w:val="-4"/>
              </w:rPr>
              <w:t> </w:t>
            </w:r>
            <w:r>
              <w:rPr>
                <w:spacing w:val="-2"/>
                <w:w w:val="95"/>
              </w:rPr>
              <w:t>Legislation</w:t>
            </w:r>
            <w:r>
              <w:rPr>
                <w:rFonts w:ascii="Times New Roman"/>
              </w:rPr>
              <w:tab/>
            </w:r>
            <w:r>
              <w:rPr>
                <w:spacing w:val="-10"/>
              </w:rPr>
              <w:t>8</w:t>
            </w:r>
          </w:hyperlink>
        </w:p>
        <w:p>
          <w:pPr>
            <w:pStyle w:val="TOC2"/>
            <w:numPr>
              <w:ilvl w:val="1"/>
              <w:numId w:val="1"/>
            </w:numPr>
            <w:tabs>
              <w:tab w:pos="2320" w:val="left" w:leader="none"/>
              <w:tab w:pos="2321" w:val="left" w:leader="none"/>
              <w:tab w:pos="10466" w:val="right" w:leader="dot"/>
            </w:tabs>
            <w:spacing w:line="240" w:lineRule="auto" w:before="242" w:after="0"/>
            <w:ind w:left="2320" w:right="0" w:hanging="661"/>
            <w:jc w:val="left"/>
          </w:pPr>
          <w:hyperlink w:history="true" w:anchor="_TOC_250016">
            <w:r>
              <w:rPr/>
              <w:t>Rating</w:t>
            </w:r>
            <w:r>
              <w:rPr>
                <w:spacing w:val="-4"/>
              </w:rPr>
              <w:t> </w:t>
            </w:r>
            <w:r>
              <w:rPr>
                <w:spacing w:val="-2"/>
              </w:rPr>
              <w:t>Principles</w:t>
            </w:r>
            <w:r>
              <w:rPr>
                <w:rFonts w:ascii="Times New Roman"/>
              </w:rPr>
              <w:tab/>
            </w:r>
            <w:r>
              <w:rPr>
                <w:spacing w:val="-10"/>
              </w:rPr>
              <w:t>9</w:t>
            </w:r>
          </w:hyperlink>
        </w:p>
        <w:p>
          <w:pPr>
            <w:pStyle w:val="TOC2"/>
            <w:numPr>
              <w:ilvl w:val="1"/>
              <w:numId w:val="2"/>
            </w:numPr>
            <w:tabs>
              <w:tab w:pos="2320" w:val="left" w:leader="none"/>
              <w:tab w:pos="2321" w:val="left" w:leader="none"/>
              <w:tab w:pos="10466" w:val="right" w:leader="dot"/>
            </w:tabs>
            <w:spacing w:line="240" w:lineRule="auto" w:before="239" w:after="0"/>
            <w:ind w:left="2320" w:right="0" w:hanging="661"/>
            <w:jc w:val="left"/>
          </w:pPr>
          <w:hyperlink w:history="true" w:anchor="_TOC_250015">
            <w:r>
              <w:rPr/>
              <w:t>Rating</w:t>
            </w:r>
            <w:r>
              <w:rPr>
                <w:spacing w:val="-4"/>
              </w:rPr>
              <w:t> </w:t>
            </w:r>
            <w:r>
              <w:rPr>
                <w:spacing w:val="-2"/>
              </w:rPr>
              <w:t>Differentials</w:t>
            </w:r>
            <w:r>
              <w:rPr>
                <w:rFonts w:ascii="Times New Roman"/>
              </w:rPr>
              <w:tab/>
            </w:r>
            <w:r>
              <w:rPr>
                <w:spacing w:val="-5"/>
              </w:rPr>
              <w:t>14</w:t>
            </w:r>
          </w:hyperlink>
        </w:p>
        <w:p>
          <w:pPr>
            <w:pStyle w:val="TOC2"/>
            <w:numPr>
              <w:ilvl w:val="1"/>
              <w:numId w:val="2"/>
            </w:numPr>
            <w:tabs>
              <w:tab w:pos="2320" w:val="left" w:leader="none"/>
              <w:tab w:pos="2321" w:val="left" w:leader="none"/>
              <w:tab w:pos="10466" w:val="right" w:leader="dot"/>
            </w:tabs>
            <w:spacing w:line="240" w:lineRule="auto" w:before="241" w:after="0"/>
            <w:ind w:left="2320" w:right="0" w:hanging="661"/>
            <w:jc w:val="left"/>
          </w:pPr>
          <w:hyperlink w:history="true" w:anchor="_TOC_250014">
            <w:r>
              <w:rPr/>
              <w:t>Municipal</w:t>
            </w:r>
            <w:r>
              <w:rPr>
                <w:spacing w:val="-6"/>
              </w:rPr>
              <w:t> </w:t>
            </w:r>
            <w:r>
              <w:rPr>
                <w:spacing w:val="-2"/>
              </w:rPr>
              <w:t>Charge</w:t>
            </w:r>
            <w:r>
              <w:rPr>
                <w:rFonts w:ascii="Times New Roman"/>
              </w:rPr>
              <w:tab/>
            </w:r>
            <w:r>
              <w:rPr>
                <w:spacing w:val="-5"/>
              </w:rPr>
              <w:t>21</w:t>
            </w:r>
          </w:hyperlink>
        </w:p>
        <w:p>
          <w:pPr>
            <w:pStyle w:val="TOC2"/>
            <w:numPr>
              <w:ilvl w:val="1"/>
              <w:numId w:val="2"/>
            </w:numPr>
            <w:tabs>
              <w:tab w:pos="2320" w:val="left" w:leader="none"/>
              <w:tab w:pos="2321" w:val="left" w:leader="none"/>
              <w:tab w:pos="10466" w:val="right" w:leader="dot"/>
            </w:tabs>
            <w:spacing w:line="240" w:lineRule="auto" w:before="239" w:after="0"/>
            <w:ind w:left="2320" w:right="0" w:hanging="661"/>
            <w:jc w:val="left"/>
          </w:pPr>
          <w:hyperlink w:history="true" w:anchor="_TOC_250013">
            <w:r>
              <w:rPr/>
              <w:t>Special</w:t>
            </w:r>
            <w:r>
              <w:rPr>
                <w:spacing w:val="-7"/>
              </w:rPr>
              <w:t> </w:t>
            </w:r>
            <w:r>
              <w:rPr/>
              <w:t>Charge</w:t>
            </w:r>
            <w:r>
              <w:rPr>
                <w:spacing w:val="-4"/>
              </w:rPr>
              <w:t> </w:t>
            </w:r>
            <w:r>
              <w:rPr>
                <w:spacing w:val="-2"/>
                <w:w w:val="95"/>
              </w:rPr>
              <w:t>Schemes</w:t>
            </w:r>
            <w:r>
              <w:rPr>
                <w:rFonts w:ascii="Times New Roman"/>
              </w:rPr>
              <w:tab/>
            </w:r>
            <w:r>
              <w:rPr>
                <w:spacing w:val="-5"/>
              </w:rPr>
              <w:t>22</w:t>
            </w:r>
          </w:hyperlink>
        </w:p>
        <w:p>
          <w:pPr>
            <w:pStyle w:val="TOC2"/>
            <w:numPr>
              <w:ilvl w:val="1"/>
              <w:numId w:val="2"/>
            </w:numPr>
            <w:tabs>
              <w:tab w:pos="2320" w:val="left" w:leader="none"/>
              <w:tab w:pos="2321" w:val="left" w:leader="none"/>
              <w:tab w:pos="10465" w:val="right" w:leader="dot"/>
            </w:tabs>
            <w:spacing w:line="240" w:lineRule="auto" w:before="239" w:after="0"/>
            <w:ind w:left="2320" w:right="0" w:hanging="661"/>
            <w:jc w:val="left"/>
          </w:pPr>
          <w:hyperlink w:history="true" w:anchor="_TOC_250012">
            <w:r>
              <w:rPr/>
              <w:t>Service</w:t>
            </w:r>
            <w:r>
              <w:rPr>
                <w:spacing w:val="-2"/>
              </w:rPr>
              <w:t> </w:t>
            </w:r>
            <w:r>
              <w:rPr/>
              <w:t>Rates</w:t>
            </w:r>
            <w:r>
              <w:rPr>
                <w:spacing w:val="-3"/>
              </w:rPr>
              <w:t> </w:t>
            </w:r>
            <w:r>
              <w:rPr/>
              <w:t>and</w:t>
            </w:r>
            <w:r>
              <w:rPr>
                <w:spacing w:val="-1"/>
              </w:rPr>
              <w:t> </w:t>
            </w:r>
            <w:r>
              <w:rPr>
                <w:spacing w:val="-2"/>
              </w:rPr>
              <w:t>Charges</w:t>
            </w:r>
            <w:r>
              <w:rPr>
                <w:rFonts w:ascii="Times New Roman"/>
              </w:rPr>
              <w:tab/>
            </w:r>
            <w:r>
              <w:rPr>
                <w:spacing w:val="-5"/>
              </w:rPr>
              <w:t>22</w:t>
            </w:r>
          </w:hyperlink>
        </w:p>
        <w:p>
          <w:pPr>
            <w:pStyle w:val="TOC2"/>
            <w:numPr>
              <w:ilvl w:val="1"/>
              <w:numId w:val="2"/>
            </w:numPr>
            <w:tabs>
              <w:tab w:pos="2320" w:val="left" w:leader="none"/>
              <w:tab w:pos="2321" w:val="left" w:leader="none"/>
              <w:tab w:pos="10467" w:val="right" w:leader="dot"/>
            </w:tabs>
            <w:spacing w:line="240" w:lineRule="auto" w:before="242" w:after="0"/>
            <w:ind w:left="2320" w:right="0" w:hanging="661"/>
            <w:jc w:val="left"/>
          </w:pPr>
          <w:hyperlink w:history="true" w:anchor="_TOC_250011">
            <w:r>
              <w:rPr/>
              <w:t>Collection</w:t>
            </w:r>
            <w:r>
              <w:rPr>
                <w:spacing w:val="-3"/>
              </w:rPr>
              <w:t> </w:t>
            </w:r>
            <w:r>
              <w:rPr/>
              <w:t>and</w:t>
            </w:r>
            <w:r>
              <w:rPr>
                <w:spacing w:val="-5"/>
              </w:rPr>
              <w:t> </w:t>
            </w:r>
            <w:r>
              <w:rPr/>
              <w:t>Administration</w:t>
            </w:r>
            <w:r>
              <w:rPr>
                <w:spacing w:val="-3"/>
              </w:rPr>
              <w:t> </w:t>
            </w:r>
            <w:r>
              <w:rPr/>
              <w:t>of</w:t>
            </w:r>
            <w:r>
              <w:rPr>
                <w:spacing w:val="-4"/>
              </w:rPr>
              <w:t> </w:t>
            </w:r>
            <w:r>
              <w:rPr/>
              <w:t>Rates</w:t>
            </w:r>
            <w:r>
              <w:rPr>
                <w:spacing w:val="-5"/>
              </w:rPr>
              <w:t> </w:t>
            </w:r>
            <w:r>
              <w:rPr/>
              <w:t>and</w:t>
            </w:r>
            <w:r>
              <w:rPr>
                <w:spacing w:val="-2"/>
              </w:rPr>
              <w:t> </w:t>
            </w:r>
            <w:r>
              <w:rPr>
                <w:spacing w:val="-2"/>
                <w:w w:val="95"/>
              </w:rPr>
              <w:t>Charges</w:t>
            </w:r>
            <w:r>
              <w:rPr>
                <w:rFonts w:ascii="Times New Roman"/>
              </w:rPr>
              <w:tab/>
            </w:r>
            <w:r>
              <w:rPr>
                <w:spacing w:val="-5"/>
              </w:rPr>
              <w:t>23</w:t>
            </w:r>
          </w:hyperlink>
        </w:p>
        <w:p>
          <w:pPr>
            <w:pStyle w:val="TOC1"/>
            <w:numPr>
              <w:ilvl w:val="0"/>
              <w:numId w:val="1"/>
            </w:numPr>
            <w:tabs>
              <w:tab w:pos="1879" w:val="left" w:leader="none"/>
              <w:tab w:pos="1880" w:val="left" w:leader="none"/>
              <w:tab w:pos="10466" w:val="right" w:leader="dot"/>
            </w:tabs>
            <w:spacing w:line="240" w:lineRule="auto" w:before="239" w:after="0"/>
            <w:ind w:left="1879" w:right="0" w:hanging="440"/>
            <w:jc w:val="left"/>
          </w:pPr>
          <w:hyperlink w:history="true" w:anchor="_TOC_250010">
            <w:r>
              <w:rPr/>
              <w:t>Financial</w:t>
            </w:r>
            <w:r>
              <w:rPr>
                <w:spacing w:val="-2"/>
              </w:rPr>
              <w:t> Difficulty</w:t>
            </w:r>
            <w:r>
              <w:rPr>
                <w:rFonts w:ascii="Times New Roman"/>
                <w:b w:val="0"/>
              </w:rPr>
              <w:tab/>
            </w:r>
            <w:r>
              <w:rPr>
                <w:spacing w:val="-5"/>
              </w:rPr>
              <w:t>25</w:t>
            </w:r>
          </w:hyperlink>
        </w:p>
        <w:p>
          <w:pPr>
            <w:pStyle w:val="TOC1"/>
            <w:numPr>
              <w:ilvl w:val="0"/>
              <w:numId w:val="1"/>
            </w:numPr>
            <w:tabs>
              <w:tab w:pos="1879" w:val="left" w:leader="none"/>
              <w:tab w:pos="1880" w:val="left" w:leader="none"/>
              <w:tab w:pos="10467" w:val="right" w:leader="dot"/>
            </w:tabs>
            <w:spacing w:line="240" w:lineRule="auto" w:before="246" w:after="0"/>
            <w:ind w:left="1879" w:right="0" w:hanging="440"/>
            <w:jc w:val="left"/>
          </w:pPr>
          <w:hyperlink w:history="true" w:anchor="_TOC_250009">
            <w:r>
              <w:rPr/>
              <w:t>Other</w:t>
            </w:r>
            <w:r>
              <w:rPr>
                <w:spacing w:val="-4"/>
              </w:rPr>
              <w:t> </w:t>
            </w:r>
            <w:r>
              <w:rPr/>
              <w:t>Revenue</w:t>
            </w:r>
            <w:r>
              <w:rPr>
                <w:spacing w:val="-6"/>
              </w:rPr>
              <w:t> </w:t>
            </w:r>
            <w:r>
              <w:rPr>
                <w:spacing w:val="-4"/>
              </w:rPr>
              <w:t>Items</w:t>
            </w:r>
            <w:r>
              <w:rPr>
                <w:rFonts w:ascii="Times New Roman"/>
                <w:b w:val="0"/>
              </w:rPr>
              <w:tab/>
            </w:r>
            <w:r>
              <w:rPr>
                <w:spacing w:val="-7"/>
              </w:rPr>
              <w:t>27</w:t>
            </w:r>
          </w:hyperlink>
        </w:p>
        <w:p>
          <w:pPr>
            <w:pStyle w:val="TOC2"/>
            <w:numPr>
              <w:ilvl w:val="1"/>
              <w:numId w:val="1"/>
            </w:numPr>
            <w:tabs>
              <w:tab w:pos="2320" w:val="left" w:leader="none"/>
              <w:tab w:pos="2321" w:val="left" w:leader="none"/>
              <w:tab w:pos="10466" w:val="right" w:leader="dot"/>
            </w:tabs>
            <w:spacing w:line="240" w:lineRule="auto" w:before="246" w:after="0"/>
            <w:ind w:left="2320" w:right="0" w:hanging="661"/>
            <w:jc w:val="left"/>
          </w:pPr>
          <w:hyperlink w:history="true" w:anchor="_TOC_250008">
            <w:r>
              <w:rPr/>
              <w:t>User</w:t>
            </w:r>
            <w:r>
              <w:rPr>
                <w:spacing w:val="-1"/>
              </w:rPr>
              <w:t> </w:t>
            </w:r>
            <w:r>
              <w:rPr/>
              <w:t>Fees</w:t>
            </w:r>
            <w:r>
              <w:rPr>
                <w:spacing w:val="-3"/>
              </w:rPr>
              <w:t> </w:t>
            </w:r>
            <w:r>
              <w:rPr/>
              <w:t>and</w:t>
            </w:r>
            <w:r>
              <w:rPr>
                <w:spacing w:val="-1"/>
              </w:rPr>
              <w:t> </w:t>
            </w:r>
            <w:r>
              <w:rPr>
                <w:spacing w:val="-2"/>
              </w:rPr>
              <w:t>Charges</w:t>
            </w:r>
            <w:r>
              <w:rPr>
                <w:rFonts w:ascii="Times New Roman"/>
              </w:rPr>
              <w:tab/>
            </w:r>
            <w:r>
              <w:rPr>
                <w:spacing w:val="-5"/>
              </w:rPr>
              <w:t>27</w:t>
            </w:r>
          </w:hyperlink>
        </w:p>
        <w:p>
          <w:pPr>
            <w:pStyle w:val="TOC2"/>
            <w:numPr>
              <w:ilvl w:val="1"/>
              <w:numId w:val="1"/>
            </w:numPr>
            <w:tabs>
              <w:tab w:pos="2320" w:val="left" w:leader="none"/>
              <w:tab w:pos="2321" w:val="left" w:leader="none"/>
              <w:tab w:pos="10466" w:val="right" w:leader="dot"/>
            </w:tabs>
            <w:spacing w:line="240" w:lineRule="auto" w:before="241" w:after="0"/>
            <w:ind w:left="2320" w:right="0" w:hanging="661"/>
            <w:jc w:val="left"/>
          </w:pPr>
          <w:hyperlink w:history="true" w:anchor="_TOC_250007">
            <w:r>
              <w:rPr/>
              <w:t>Statutory</w:t>
            </w:r>
            <w:r>
              <w:rPr>
                <w:spacing w:val="-4"/>
              </w:rPr>
              <w:t> </w:t>
            </w:r>
            <w:r>
              <w:rPr/>
              <w:t>Fees</w:t>
            </w:r>
            <w:r>
              <w:rPr>
                <w:spacing w:val="-2"/>
              </w:rPr>
              <w:t> </w:t>
            </w:r>
            <w:r>
              <w:rPr/>
              <w:t>and</w:t>
            </w:r>
            <w:r>
              <w:rPr>
                <w:spacing w:val="-2"/>
              </w:rPr>
              <w:t> Charges</w:t>
            </w:r>
            <w:r>
              <w:rPr>
                <w:rFonts w:ascii="Times New Roman"/>
              </w:rPr>
              <w:tab/>
            </w:r>
            <w:r>
              <w:rPr>
                <w:spacing w:val="-5"/>
              </w:rPr>
              <w:t>28</w:t>
            </w:r>
          </w:hyperlink>
        </w:p>
        <w:p>
          <w:pPr>
            <w:pStyle w:val="TOC2"/>
            <w:numPr>
              <w:ilvl w:val="1"/>
              <w:numId w:val="1"/>
            </w:numPr>
            <w:tabs>
              <w:tab w:pos="2320" w:val="left" w:leader="none"/>
              <w:tab w:pos="2321" w:val="left" w:leader="none"/>
              <w:tab w:pos="10465" w:val="right" w:leader="dot"/>
            </w:tabs>
            <w:spacing w:line="240" w:lineRule="auto" w:before="239" w:after="0"/>
            <w:ind w:left="2320" w:right="0" w:hanging="661"/>
            <w:jc w:val="left"/>
          </w:pPr>
          <w:hyperlink w:history="true" w:anchor="_TOC_250006">
            <w:r>
              <w:rPr>
                <w:spacing w:val="-2"/>
              </w:rPr>
              <w:t>Grants</w:t>
            </w:r>
            <w:r>
              <w:rPr>
                <w:rFonts w:ascii="Times New Roman"/>
              </w:rPr>
              <w:tab/>
            </w:r>
            <w:r>
              <w:rPr>
                <w:spacing w:val="-5"/>
              </w:rPr>
              <w:t>29</w:t>
            </w:r>
          </w:hyperlink>
        </w:p>
        <w:p>
          <w:pPr>
            <w:pStyle w:val="TOC2"/>
            <w:numPr>
              <w:ilvl w:val="1"/>
              <w:numId w:val="1"/>
            </w:numPr>
            <w:tabs>
              <w:tab w:pos="2320" w:val="left" w:leader="none"/>
              <w:tab w:pos="2321" w:val="left" w:leader="none"/>
              <w:tab w:pos="10467" w:val="right" w:leader="dot"/>
            </w:tabs>
            <w:spacing w:line="240" w:lineRule="auto" w:before="242" w:after="0"/>
            <w:ind w:left="2320" w:right="0" w:hanging="661"/>
            <w:jc w:val="left"/>
          </w:pPr>
          <w:hyperlink w:history="true" w:anchor="_TOC_250005">
            <w:r>
              <w:rPr>
                <w:spacing w:val="-2"/>
              </w:rPr>
              <w:t>Contributions</w:t>
            </w:r>
            <w:r>
              <w:rPr>
                <w:rFonts w:ascii="Times New Roman"/>
              </w:rPr>
              <w:tab/>
            </w:r>
            <w:r>
              <w:rPr>
                <w:spacing w:val="-5"/>
              </w:rPr>
              <w:t>30</w:t>
            </w:r>
          </w:hyperlink>
        </w:p>
        <w:p>
          <w:pPr>
            <w:pStyle w:val="TOC2"/>
            <w:numPr>
              <w:ilvl w:val="1"/>
              <w:numId w:val="1"/>
            </w:numPr>
            <w:tabs>
              <w:tab w:pos="2320" w:val="left" w:leader="none"/>
              <w:tab w:pos="2321" w:val="left" w:leader="none"/>
              <w:tab w:pos="10466" w:val="right" w:leader="dot"/>
            </w:tabs>
            <w:spacing w:line="240" w:lineRule="auto" w:before="239" w:after="0"/>
            <w:ind w:left="2320" w:right="0" w:hanging="661"/>
            <w:jc w:val="left"/>
          </w:pPr>
          <w:hyperlink w:history="true" w:anchor="_TOC_250004">
            <w:r>
              <w:rPr/>
              <w:t>Revenue</w:t>
            </w:r>
            <w:r>
              <w:rPr>
                <w:spacing w:val="-3"/>
              </w:rPr>
              <w:t> </w:t>
            </w:r>
            <w:r>
              <w:rPr/>
              <w:t>on</w:t>
            </w:r>
            <w:r>
              <w:rPr>
                <w:spacing w:val="-4"/>
              </w:rPr>
              <w:t> </w:t>
            </w:r>
            <w:r>
              <w:rPr>
                <w:spacing w:val="-2"/>
              </w:rPr>
              <w:t>Investments</w:t>
            </w:r>
            <w:r>
              <w:rPr>
                <w:rFonts w:ascii="Times New Roman"/>
              </w:rPr>
              <w:tab/>
            </w:r>
            <w:r>
              <w:rPr>
                <w:spacing w:val="-5"/>
              </w:rPr>
              <w:t>30</w:t>
            </w:r>
          </w:hyperlink>
        </w:p>
        <w:p>
          <w:pPr>
            <w:pStyle w:val="TOC1"/>
            <w:numPr>
              <w:ilvl w:val="0"/>
              <w:numId w:val="1"/>
            </w:numPr>
            <w:tabs>
              <w:tab w:pos="1879" w:val="left" w:leader="none"/>
              <w:tab w:pos="1880" w:val="left" w:leader="none"/>
              <w:tab w:pos="10465" w:val="right" w:leader="dot"/>
            </w:tabs>
            <w:spacing w:line="240" w:lineRule="auto" w:before="239" w:after="0"/>
            <w:ind w:left="1879" w:right="0" w:hanging="440"/>
            <w:jc w:val="left"/>
          </w:pPr>
          <w:hyperlink w:history="true" w:anchor="_TOC_250003">
            <w:r>
              <w:rPr>
                <w:spacing w:val="-2"/>
              </w:rPr>
              <w:t>Borrowings</w:t>
            </w:r>
            <w:r>
              <w:rPr>
                <w:rFonts w:ascii="Times New Roman"/>
                <w:b w:val="0"/>
              </w:rPr>
              <w:tab/>
            </w:r>
            <w:r>
              <w:rPr>
                <w:spacing w:val="-5"/>
              </w:rPr>
              <w:t>30</w:t>
            </w:r>
          </w:hyperlink>
        </w:p>
        <w:p>
          <w:pPr>
            <w:pStyle w:val="TOC1"/>
            <w:numPr>
              <w:ilvl w:val="0"/>
              <w:numId w:val="1"/>
            </w:numPr>
            <w:tabs>
              <w:tab w:pos="1879" w:val="left" w:leader="none"/>
              <w:tab w:pos="1880" w:val="left" w:leader="none"/>
              <w:tab w:pos="10466" w:val="right" w:leader="dot"/>
            </w:tabs>
            <w:spacing w:line="240" w:lineRule="auto" w:before="249" w:after="0"/>
            <w:ind w:left="1879" w:right="0" w:hanging="440"/>
            <w:jc w:val="left"/>
          </w:pPr>
          <w:hyperlink w:history="true" w:anchor="_TOC_250002">
            <w:r>
              <w:rPr/>
              <w:t>Financial</w:t>
            </w:r>
            <w:r>
              <w:rPr>
                <w:spacing w:val="-2"/>
              </w:rPr>
              <w:t> Sustainability</w:t>
            </w:r>
            <w:r>
              <w:rPr>
                <w:rFonts w:ascii="Times New Roman"/>
                <w:b w:val="0"/>
              </w:rPr>
              <w:tab/>
            </w:r>
            <w:r>
              <w:rPr>
                <w:spacing w:val="-5"/>
              </w:rPr>
              <w:t>31</w:t>
            </w:r>
          </w:hyperlink>
        </w:p>
        <w:p>
          <w:pPr>
            <w:pStyle w:val="TOC2"/>
            <w:numPr>
              <w:ilvl w:val="1"/>
              <w:numId w:val="1"/>
            </w:numPr>
            <w:tabs>
              <w:tab w:pos="2320" w:val="left" w:leader="none"/>
              <w:tab w:pos="2321" w:val="left" w:leader="none"/>
              <w:tab w:pos="10466" w:val="right" w:leader="dot"/>
            </w:tabs>
            <w:spacing w:line="240" w:lineRule="auto" w:before="246" w:after="0"/>
            <w:ind w:left="2320" w:right="0" w:hanging="661"/>
            <w:jc w:val="left"/>
          </w:pPr>
          <w:hyperlink w:history="true" w:anchor="_TOC_250001">
            <w:r>
              <w:rPr/>
              <w:t>Consideration</w:t>
            </w:r>
            <w:r>
              <w:rPr>
                <w:spacing w:val="-4"/>
              </w:rPr>
              <w:t> </w:t>
            </w:r>
            <w:r>
              <w:rPr/>
              <w:t>of</w:t>
            </w:r>
            <w:r>
              <w:rPr>
                <w:spacing w:val="-4"/>
              </w:rPr>
              <w:t> </w:t>
            </w:r>
            <w:r>
              <w:rPr/>
              <w:t>Risk</w:t>
            </w:r>
            <w:r>
              <w:rPr>
                <w:spacing w:val="-5"/>
              </w:rPr>
              <w:t> </w:t>
            </w:r>
            <w:r>
              <w:rPr/>
              <w:t>Management</w:t>
            </w:r>
            <w:r>
              <w:rPr>
                <w:spacing w:val="-3"/>
              </w:rPr>
              <w:t> </w:t>
            </w:r>
            <w:r>
              <w:rPr/>
              <w:t>and</w:t>
            </w:r>
            <w:r>
              <w:rPr>
                <w:spacing w:val="-3"/>
              </w:rPr>
              <w:t> </w:t>
            </w:r>
            <w:r>
              <w:rPr>
                <w:spacing w:val="-2"/>
              </w:rPr>
              <w:t>Assumptions</w:t>
            </w:r>
            <w:r>
              <w:rPr>
                <w:rFonts w:ascii="Times New Roman"/>
              </w:rPr>
              <w:tab/>
            </w:r>
            <w:r>
              <w:rPr>
                <w:spacing w:val="-5"/>
              </w:rPr>
              <w:t>31</w:t>
            </w:r>
          </w:hyperlink>
        </w:p>
        <w:p>
          <w:pPr>
            <w:pStyle w:val="TOC2"/>
            <w:numPr>
              <w:ilvl w:val="1"/>
              <w:numId w:val="1"/>
            </w:numPr>
            <w:tabs>
              <w:tab w:pos="2320" w:val="left" w:leader="none"/>
              <w:tab w:pos="2321" w:val="left" w:leader="none"/>
              <w:tab w:pos="10466" w:val="right" w:leader="dot"/>
            </w:tabs>
            <w:spacing w:line="240" w:lineRule="auto" w:before="239" w:after="0"/>
            <w:ind w:left="2320" w:right="0" w:hanging="661"/>
            <w:jc w:val="left"/>
          </w:pPr>
          <w:hyperlink w:history="true" w:anchor="_TOC_250000">
            <w:r>
              <w:rPr/>
              <w:t>Performance</w:t>
            </w:r>
            <w:r>
              <w:rPr>
                <w:spacing w:val="-7"/>
              </w:rPr>
              <w:t> </w:t>
            </w:r>
            <w:r>
              <w:rPr/>
              <w:t>and</w:t>
            </w:r>
            <w:r>
              <w:rPr>
                <w:spacing w:val="-4"/>
              </w:rPr>
              <w:t> </w:t>
            </w:r>
            <w:r>
              <w:rPr/>
              <w:t>Performance</w:t>
            </w:r>
            <w:r>
              <w:rPr>
                <w:spacing w:val="-7"/>
              </w:rPr>
              <w:t> </w:t>
            </w:r>
            <w:r>
              <w:rPr>
                <w:spacing w:val="-2"/>
              </w:rPr>
              <w:t>Metrics</w:t>
            </w:r>
            <w:r>
              <w:rPr>
                <w:rFonts w:ascii="Times New Roman"/>
              </w:rPr>
              <w:tab/>
            </w:r>
            <w:r>
              <w:rPr>
                <w:spacing w:val="-5"/>
              </w:rPr>
              <w:t>31</w:t>
            </w:r>
          </w:hyperlink>
        </w:p>
        <w:p>
          <w:pPr/>
          <w:r>
            <w:fldChar w:fldCharType="end"/>
          </w:r>
        </w:p>
      </w:sdtContent>
    </w:sdt>
    <w:p>
      <w:pPr>
        <w:spacing w:after="0"/>
        <w:sectPr>
          <w:footerReference w:type="default" r:id="rId6"/>
          <w:pgSz w:w="11910" w:h="16840"/>
          <w:pgMar w:footer="662" w:header="0" w:top="580" w:bottom="860" w:left="0" w:right="0"/>
          <w:pgNumType w:start="2"/>
        </w:sectPr>
      </w:pPr>
    </w:p>
    <w:p>
      <w:pPr>
        <w:pStyle w:val="Heading1"/>
        <w:numPr>
          <w:ilvl w:val="0"/>
          <w:numId w:val="3"/>
        </w:numPr>
        <w:tabs>
          <w:tab w:pos="2160" w:val="left" w:leader="none"/>
        </w:tabs>
        <w:spacing w:line="240" w:lineRule="auto" w:before="62" w:after="0"/>
        <w:ind w:left="2160" w:right="0" w:hanging="720"/>
        <w:jc w:val="left"/>
        <w:rPr>
          <w:color w:val="1F497C"/>
        </w:rPr>
      </w:pPr>
      <w:bookmarkStart w:name="_TOC_250021" w:id="1"/>
      <w:bookmarkEnd w:id="1"/>
      <w:r>
        <w:rPr>
          <w:color w:val="134295"/>
          <w:spacing w:val="-2"/>
        </w:rPr>
        <w:t>Purpose</w:t>
      </w:r>
    </w:p>
    <w:p>
      <w:pPr>
        <w:pStyle w:val="BodyText"/>
        <w:spacing w:before="8"/>
        <w:rPr>
          <w:b/>
          <w:sz w:val="70"/>
        </w:rPr>
      </w:pPr>
    </w:p>
    <w:p>
      <w:pPr>
        <w:pStyle w:val="BodyText"/>
        <w:ind w:left="1440" w:right="1437"/>
        <w:jc w:val="both"/>
      </w:pPr>
      <w:r>
        <w:rPr/>
        <w:t>The</w:t>
      </w:r>
      <w:r>
        <w:rPr>
          <w:spacing w:val="-2"/>
        </w:rPr>
        <w:t> </w:t>
      </w:r>
      <w:r>
        <w:rPr>
          <w:i/>
        </w:rPr>
        <w:t>Local</w:t>
      </w:r>
      <w:r>
        <w:rPr>
          <w:i/>
          <w:spacing w:val="-11"/>
        </w:rPr>
        <w:t> </w:t>
      </w:r>
      <w:r>
        <w:rPr>
          <w:i/>
        </w:rPr>
        <w:t>Government</w:t>
      </w:r>
      <w:r>
        <w:rPr>
          <w:i/>
          <w:spacing w:val="-8"/>
        </w:rPr>
        <w:t> </w:t>
      </w:r>
      <w:r>
        <w:rPr>
          <w:i/>
        </w:rPr>
        <w:t>Act</w:t>
      </w:r>
      <w:r>
        <w:rPr>
          <w:i/>
          <w:spacing w:val="-10"/>
        </w:rPr>
        <w:t> </w:t>
      </w:r>
      <w:r>
        <w:rPr>
          <w:i/>
        </w:rPr>
        <w:t>2020</w:t>
      </w:r>
      <w:r>
        <w:rPr>
          <w:i/>
          <w:spacing w:val="-5"/>
        </w:rPr>
        <w:t> </w:t>
      </w:r>
      <w:r>
        <w:rPr/>
        <w:t>requires</w:t>
      </w:r>
      <w:r>
        <w:rPr>
          <w:spacing w:val="-11"/>
        </w:rPr>
        <w:t> </w:t>
      </w:r>
      <w:r>
        <w:rPr/>
        <w:t>each</w:t>
      </w:r>
      <w:r>
        <w:rPr>
          <w:spacing w:val="-10"/>
        </w:rPr>
        <w:t> </w:t>
      </w:r>
      <w:r>
        <w:rPr/>
        <w:t>council</w:t>
      </w:r>
      <w:r>
        <w:rPr>
          <w:spacing w:val="-11"/>
        </w:rPr>
        <w:t> </w:t>
      </w:r>
      <w:r>
        <w:rPr/>
        <w:t>to</w:t>
      </w:r>
      <w:r>
        <w:rPr>
          <w:spacing w:val="-12"/>
        </w:rPr>
        <w:t> </w:t>
      </w:r>
      <w:r>
        <w:rPr/>
        <w:t>prepare</w:t>
      </w:r>
      <w:r>
        <w:rPr>
          <w:spacing w:val="-10"/>
        </w:rPr>
        <w:t> </w:t>
      </w:r>
      <w:r>
        <w:rPr/>
        <w:t>a</w:t>
      </w:r>
      <w:r>
        <w:rPr>
          <w:spacing w:val="-12"/>
        </w:rPr>
        <w:t> </w:t>
      </w:r>
      <w:r>
        <w:rPr/>
        <w:t>Revenue</w:t>
      </w:r>
      <w:r>
        <w:rPr>
          <w:spacing w:val="-10"/>
        </w:rPr>
        <w:t> </w:t>
      </w:r>
      <w:r>
        <w:rPr/>
        <w:t>and</w:t>
      </w:r>
      <w:r>
        <w:rPr>
          <w:spacing w:val="-12"/>
        </w:rPr>
        <w:t> </w:t>
      </w:r>
      <w:r>
        <w:rPr/>
        <w:t>Rating</w:t>
      </w:r>
      <w:r>
        <w:rPr>
          <w:spacing w:val="-10"/>
        </w:rPr>
        <w:t> </w:t>
      </w:r>
      <w:r>
        <w:rPr/>
        <w:t>Plan to</w:t>
      </w:r>
      <w:r>
        <w:rPr>
          <w:spacing w:val="-8"/>
        </w:rPr>
        <w:t> </w:t>
      </w:r>
      <w:r>
        <w:rPr/>
        <w:t>cover</w:t>
      </w:r>
      <w:r>
        <w:rPr>
          <w:spacing w:val="-7"/>
        </w:rPr>
        <w:t> </w:t>
      </w:r>
      <w:r>
        <w:rPr/>
        <w:t>a</w:t>
      </w:r>
      <w:r>
        <w:rPr>
          <w:spacing w:val="-11"/>
        </w:rPr>
        <w:t> </w:t>
      </w:r>
      <w:r>
        <w:rPr/>
        <w:t>minimum</w:t>
      </w:r>
      <w:r>
        <w:rPr>
          <w:spacing w:val="-9"/>
        </w:rPr>
        <w:t> </w:t>
      </w:r>
      <w:r>
        <w:rPr/>
        <w:t>period</w:t>
      </w:r>
      <w:r>
        <w:rPr>
          <w:spacing w:val="-10"/>
        </w:rPr>
        <w:t> </w:t>
      </w:r>
      <w:r>
        <w:rPr/>
        <w:t>of</w:t>
      </w:r>
      <w:r>
        <w:rPr>
          <w:spacing w:val="-8"/>
        </w:rPr>
        <w:t> </w:t>
      </w:r>
      <w:r>
        <w:rPr/>
        <w:t>four</w:t>
      </w:r>
      <w:r>
        <w:rPr>
          <w:spacing w:val="-7"/>
        </w:rPr>
        <w:t> </w:t>
      </w:r>
      <w:r>
        <w:rPr/>
        <w:t>years</w:t>
      </w:r>
      <w:r>
        <w:rPr>
          <w:spacing w:val="-11"/>
        </w:rPr>
        <w:t> </w:t>
      </w:r>
      <w:r>
        <w:rPr/>
        <w:t>following</w:t>
      </w:r>
      <w:r>
        <w:rPr>
          <w:spacing w:val="-10"/>
        </w:rPr>
        <w:t> </w:t>
      </w:r>
      <w:r>
        <w:rPr/>
        <w:t>each</w:t>
      </w:r>
      <w:r>
        <w:rPr>
          <w:spacing w:val="-10"/>
        </w:rPr>
        <w:t> </w:t>
      </w:r>
      <w:r>
        <w:rPr/>
        <w:t>Council</w:t>
      </w:r>
      <w:r>
        <w:rPr>
          <w:spacing w:val="-11"/>
        </w:rPr>
        <w:t> </w:t>
      </w:r>
      <w:r>
        <w:rPr/>
        <w:t>election.</w:t>
      </w:r>
      <w:r>
        <w:rPr>
          <w:spacing w:val="-1"/>
        </w:rPr>
        <w:t> </w:t>
      </w:r>
      <w:r>
        <w:rPr/>
        <w:t>The</w:t>
      </w:r>
      <w:r>
        <w:rPr>
          <w:spacing w:val="-8"/>
        </w:rPr>
        <w:t> </w:t>
      </w:r>
      <w:r>
        <w:rPr/>
        <w:t>Plan</w:t>
      </w:r>
      <w:r>
        <w:rPr>
          <w:spacing w:val="-8"/>
        </w:rPr>
        <w:t> </w:t>
      </w:r>
      <w:r>
        <w:rPr/>
        <w:t>establishes the revenue raising framework within which Council proposes to work.</w:t>
      </w:r>
    </w:p>
    <w:p>
      <w:pPr>
        <w:pStyle w:val="BodyText"/>
        <w:spacing w:before="4"/>
        <w:rPr>
          <w:sz w:val="24"/>
        </w:rPr>
      </w:pPr>
    </w:p>
    <w:p>
      <w:pPr>
        <w:pStyle w:val="BodyText"/>
        <w:ind w:left="1440" w:right="1433"/>
        <w:jc w:val="both"/>
      </w:pPr>
      <w:r>
        <w:rPr/>
        <w:t>The purpose of the Revenue and Rating</w:t>
      </w:r>
      <w:r>
        <w:rPr>
          <w:spacing w:val="-1"/>
        </w:rPr>
        <w:t> </w:t>
      </w:r>
      <w:r>
        <w:rPr/>
        <w:t>Plan</w:t>
      </w:r>
      <w:r>
        <w:rPr>
          <w:spacing w:val="-1"/>
        </w:rPr>
        <w:t> </w:t>
      </w:r>
      <w:r>
        <w:rPr/>
        <w:t>is to determine the most appropriate and affordable</w:t>
      </w:r>
      <w:r>
        <w:rPr>
          <w:spacing w:val="-9"/>
        </w:rPr>
        <w:t> </w:t>
      </w:r>
      <w:r>
        <w:rPr/>
        <w:t>revenue</w:t>
      </w:r>
      <w:r>
        <w:rPr>
          <w:spacing w:val="-6"/>
        </w:rPr>
        <w:t> </w:t>
      </w:r>
      <w:r>
        <w:rPr/>
        <w:t>and</w:t>
      </w:r>
      <w:r>
        <w:rPr>
          <w:spacing w:val="-7"/>
        </w:rPr>
        <w:t> </w:t>
      </w:r>
      <w:r>
        <w:rPr/>
        <w:t>rating</w:t>
      </w:r>
      <w:r>
        <w:rPr>
          <w:spacing w:val="-5"/>
        </w:rPr>
        <w:t> </w:t>
      </w:r>
      <w:r>
        <w:rPr/>
        <w:t>approach</w:t>
      </w:r>
      <w:r>
        <w:rPr>
          <w:spacing w:val="-6"/>
        </w:rPr>
        <w:t> </w:t>
      </w:r>
      <w:r>
        <w:rPr/>
        <w:t>for</w:t>
      </w:r>
      <w:r>
        <w:rPr>
          <w:spacing w:val="-8"/>
        </w:rPr>
        <w:t> </w:t>
      </w:r>
      <w:r>
        <w:rPr/>
        <w:t>Maroondah</w:t>
      </w:r>
      <w:r>
        <w:rPr>
          <w:spacing w:val="-3"/>
        </w:rPr>
        <w:t> </w:t>
      </w:r>
      <w:r>
        <w:rPr/>
        <w:t>City</w:t>
      </w:r>
      <w:r>
        <w:rPr>
          <w:spacing w:val="-7"/>
        </w:rPr>
        <w:t> </w:t>
      </w:r>
      <w:r>
        <w:rPr/>
        <w:t>Council</w:t>
      </w:r>
      <w:r>
        <w:rPr>
          <w:spacing w:val="-5"/>
        </w:rPr>
        <w:t> </w:t>
      </w:r>
      <w:r>
        <w:rPr/>
        <w:t>which</w:t>
      </w:r>
      <w:r>
        <w:rPr>
          <w:spacing w:val="-6"/>
        </w:rPr>
        <w:t> </w:t>
      </w:r>
      <w:r>
        <w:rPr/>
        <w:t>in</w:t>
      </w:r>
      <w:r>
        <w:rPr>
          <w:spacing w:val="-5"/>
        </w:rPr>
        <w:t> </w:t>
      </w:r>
      <w:r>
        <w:rPr/>
        <w:t>conjunction</w:t>
      </w:r>
      <w:r>
        <w:rPr>
          <w:spacing w:val="-6"/>
        </w:rPr>
        <w:t> </w:t>
      </w:r>
      <w:r>
        <w:rPr/>
        <w:t>with other income sources will adequately finance the objectives in the Council Plan.</w:t>
      </w:r>
    </w:p>
    <w:p>
      <w:pPr>
        <w:pStyle w:val="BodyText"/>
        <w:spacing w:before="4"/>
        <w:rPr>
          <w:sz w:val="24"/>
        </w:rPr>
      </w:pPr>
    </w:p>
    <w:p>
      <w:pPr>
        <w:pStyle w:val="BodyText"/>
        <w:spacing w:before="1"/>
        <w:ind w:left="1440" w:right="1434"/>
        <w:jc w:val="both"/>
      </w:pPr>
      <w:r>
        <w:rPr/>
        <w:t>This plan is an important part of Council’s integrated planning framework, all of which is created to help Council and the Community achieve its 2050 Vision.</w:t>
      </w:r>
    </w:p>
    <w:p>
      <w:pPr>
        <w:pStyle w:val="BodyText"/>
        <w:spacing w:before="2"/>
        <w:rPr>
          <w:sz w:val="24"/>
        </w:rPr>
      </w:pPr>
    </w:p>
    <w:p>
      <w:pPr>
        <w:pStyle w:val="BodyText"/>
        <w:ind w:left="1440" w:right="1434"/>
        <w:jc w:val="both"/>
      </w:pPr>
      <w:r>
        <w:rPr/>
        <w:t>Strategies</w:t>
      </w:r>
      <w:r>
        <w:rPr>
          <w:spacing w:val="-4"/>
        </w:rPr>
        <w:t> </w:t>
      </w:r>
      <w:r>
        <w:rPr/>
        <w:t>outlined</w:t>
      </w:r>
      <w:r>
        <w:rPr>
          <w:spacing w:val="-2"/>
        </w:rPr>
        <w:t> </w:t>
      </w:r>
      <w:r>
        <w:rPr/>
        <w:t>in</w:t>
      </w:r>
      <w:r>
        <w:rPr>
          <w:spacing w:val="-4"/>
        </w:rPr>
        <w:t> </w:t>
      </w:r>
      <w:r>
        <w:rPr/>
        <w:t>this</w:t>
      </w:r>
      <w:r>
        <w:rPr>
          <w:spacing w:val="-2"/>
        </w:rPr>
        <w:t> </w:t>
      </w:r>
      <w:r>
        <w:rPr/>
        <w:t>plan</w:t>
      </w:r>
      <w:r>
        <w:rPr>
          <w:spacing w:val="-2"/>
        </w:rPr>
        <w:t> </w:t>
      </w:r>
      <w:r>
        <w:rPr/>
        <w:t>align</w:t>
      </w:r>
      <w:r>
        <w:rPr>
          <w:spacing w:val="-4"/>
        </w:rPr>
        <w:t> </w:t>
      </w:r>
      <w:r>
        <w:rPr/>
        <w:t>with</w:t>
      </w:r>
      <w:r>
        <w:rPr>
          <w:spacing w:val="-4"/>
        </w:rPr>
        <w:t> </w:t>
      </w:r>
      <w:r>
        <w:rPr/>
        <w:t>the objectives contained in</w:t>
      </w:r>
      <w:r>
        <w:rPr>
          <w:spacing w:val="-4"/>
        </w:rPr>
        <w:t> </w:t>
      </w:r>
      <w:r>
        <w:rPr/>
        <w:t>the</w:t>
      </w:r>
      <w:r>
        <w:rPr>
          <w:spacing w:val="-1"/>
        </w:rPr>
        <w:t> </w:t>
      </w:r>
      <w:r>
        <w:rPr/>
        <w:t>Council</w:t>
      </w:r>
      <w:r>
        <w:rPr>
          <w:spacing w:val="-2"/>
        </w:rPr>
        <w:t> </w:t>
      </w:r>
      <w:r>
        <w:rPr/>
        <w:t>Plan</w:t>
      </w:r>
      <w:r>
        <w:rPr>
          <w:spacing w:val="-2"/>
        </w:rPr>
        <w:t> </w:t>
      </w:r>
      <w:r>
        <w:rPr/>
        <w:t>and</w:t>
      </w:r>
      <w:r>
        <w:rPr>
          <w:spacing w:val="-1"/>
        </w:rPr>
        <w:t> </w:t>
      </w:r>
      <w:r>
        <w:rPr/>
        <w:t>will feed</w:t>
      </w:r>
      <w:r>
        <w:rPr>
          <w:spacing w:val="-9"/>
        </w:rPr>
        <w:t> </w:t>
      </w:r>
      <w:r>
        <w:rPr/>
        <w:t>into</w:t>
      </w:r>
      <w:r>
        <w:rPr>
          <w:spacing w:val="-9"/>
        </w:rPr>
        <w:t> </w:t>
      </w:r>
      <w:r>
        <w:rPr/>
        <w:t>our</w:t>
      </w:r>
      <w:r>
        <w:rPr>
          <w:spacing w:val="-8"/>
        </w:rPr>
        <w:t> </w:t>
      </w:r>
      <w:r>
        <w:rPr/>
        <w:t>budgeting</w:t>
      </w:r>
      <w:r>
        <w:rPr>
          <w:spacing w:val="-9"/>
        </w:rPr>
        <w:t> </w:t>
      </w:r>
      <w:r>
        <w:rPr/>
        <w:t>and</w:t>
      </w:r>
      <w:r>
        <w:rPr>
          <w:spacing w:val="-9"/>
        </w:rPr>
        <w:t> </w:t>
      </w:r>
      <w:r>
        <w:rPr/>
        <w:t>long-term</w:t>
      </w:r>
      <w:r>
        <w:rPr>
          <w:spacing w:val="-12"/>
        </w:rPr>
        <w:t> </w:t>
      </w:r>
      <w:r>
        <w:rPr/>
        <w:t>financial</w:t>
      </w:r>
      <w:r>
        <w:rPr>
          <w:spacing w:val="-9"/>
        </w:rPr>
        <w:t> </w:t>
      </w:r>
      <w:r>
        <w:rPr/>
        <w:t>planning</w:t>
      </w:r>
      <w:r>
        <w:rPr>
          <w:spacing w:val="-11"/>
        </w:rPr>
        <w:t> </w:t>
      </w:r>
      <w:r>
        <w:rPr/>
        <w:t>documents,</w:t>
      </w:r>
      <w:r>
        <w:rPr>
          <w:spacing w:val="-7"/>
        </w:rPr>
        <w:t> </w:t>
      </w:r>
      <w:r>
        <w:rPr/>
        <w:t>as</w:t>
      </w:r>
      <w:r>
        <w:rPr>
          <w:spacing w:val="-12"/>
        </w:rPr>
        <w:t> </w:t>
      </w:r>
      <w:r>
        <w:rPr/>
        <w:t>well</w:t>
      </w:r>
      <w:r>
        <w:rPr>
          <w:spacing w:val="-12"/>
        </w:rPr>
        <w:t> </w:t>
      </w:r>
      <w:r>
        <w:rPr/>
        <w:t>as</w:t>
      </w:r>
      <w:r>
        <w:rPr>
          <w:spacing w:val="-9"/>
        </w:rPr>
        <w:t> </w:t>
      </w:r>
      <w:r>
        <w:rPr/>
        <w:t>other</w:t>
      </w:r>
      <w:r>
        <w:rPr>
          <w:spacing w:val="-9"/>
        </w:rPr>
        <w:t> </w:t>
      </w:r>
      <w:r>
        <w:rPr/>
        <w:t>strategic planning</w:t>
      </w:r>
      <w:r>
        <w:rPr>
          <w:spacing w:val="-5"/>
        </w:rPr>
        <w:t> </w:t>
      </w:r>
      <w:r>
        <w:rPr/>
        <w:t>documents</w:t>
      </w:r>
      <w:r>
        <w:rPr>
          <w:spacing w:val="-5"/>
        </w:rPr>
        <w:t> </w:t>
      </w:r>
      <w:r>
        <w:rPr/>
        <w:t>under</w:t>
      </w:r>
      <w:r>
        <w:rPr>
          <w:spacing w:val="-2"/>
        </w:rPr>
        <w:t> </w:t>
      </w:r>
      <w:r>
        <w:rPr/>
        <w:t>our</w:t>
      </w:r>
      <w:r>
        <w:rPr>
          <w:spacing w:val="-3"/>
        </w:rPr>
        <w:t> </w:t>
      </w:r>
      <w:r>
        <w:rPr/>
        <w:t>Council’s</w:t>
      </w:r>
      <w:r>
        <w:rPr>
          <w:spacing w:val="-5"/>
        </w:rPr>
        <w:t> </w:t>
      </w:r>
      <w:r>
        <w:rPr/>
        <w:t>Integrated</w:t>
      </w:r>
      <w:r>
        <w:rPr>
          <w:spacing w:val="-5"/>
        </w:rPr>
        <w:t> </w:t>
      </w:r>
      <w:r>
        <w:rPr/>
        <w:t>Planning</w:t>
      </w:r>
      <w:r>
        <w:rPr>
          <w:spacing w:val="-5"/>
        </w:rPr>
        <w:t> </w:t>
      </w:r>
      <w:r>
        <w:rPr/>
        <w:t>and</w:t>
      </w:r>
      <w:r>
        <w:rPr>
          <w:spacing w:val="-6"/>
        </w:rPr>
        <w:t> </w:t>
      </w:r>
      <w:r>
        <w:rPr/>
        <w:t>Reporting</w:t>
      </w:r>
      <w:r>
        <w:rPr>
          <w:spacing w:val="-5"/>
        </w:rPr>
        <w:t> </w:t>
      </w:r>
      <w:r>
        <w:rPr/>
        <w:t>Framework.</w:t>
      </w:r>
      <w:r>
        <w:rPr>
          <w:spacing w:val="-5"/>
        </w:rPr>
        <w:t> </w:t>
      </w:r>
      <w:r>
        <w:rPr/>
        <w:t>This plan</w:t>
      </w:r>
      <w:r>
        <w:rPr>
          <w:spacing w:val="-6"/>
        </w:rPr>
        <w:t> </w:t>
      </w:r>
      <w:r>
        <w:rPr/>
        <w:t>will</w:t>
      </w:r>
      <w:r>
        <w:rPr>
          <w:spacing w:val="-6"/>
        </w:rPr>
        <w:t> </w:t>
      </w:r>
      <w:r>
        <w:rPr/>
        <w:t>explain</w:t>
      </w:r>
      <w:r>
        <w:rPr>
          <w:spacing w:val="-8"/>
        </w:rPr>
        <w:t> </w:t>
      </w:r>
      <w:r>
        <w:rPr/>
        <w:t>how</w:t>
      </w:r>
      <w:r>
        <w:rPr>
          <w:spacing w:val="-6"/>
        </w:rPr>
        <w:t> </w:t>
      </w:r>
      <w:r>
        <w:rPr/>
        <w:t>Council</w:t>
      </w:r>
      <w:r>
        <w:rPr>
          <w:spacing w:val="-9"/>
        </w:rPr>
        <w:t> </w:t>
      </w:r>
      <w:r>
        <w:rPr/>
        <w:t>calculates</w:t>
      </w:r>
      <w:r>
        <w:rPr>
          <w:spacing w:val="-6"/>
        </w:rPr>
        <w:t> </w:t>
      </w:r>
      <w:r>
        <w:rPr/>
        <w:t>the</w:t>
      </w:r>
      <w:r>
        <w:rPr>
          <w:spacing w:val="-8"/>
        </w:rPr>
        <w:t> </w:t>
      </w:r>
      <w:r>
        <w:rPr/>
        <w:t>revenue</w:t>
      </w:r>
      <w:r>
        <w:rPr>
          <w:spacing w:val="-8"/>
        </w:rPr>
        <w:t> </w:t>
      </w:r>
      <w:r>
        <w:rPr/>
        <w:t>needed</w:t>
      </w:r>
      <w:r>
        <w:rPr>
          <w:spacing w:val="-8"/>
        </w:rPr>
        <w:t> </w:t>
      </w:r>
      <w:r>
        <w:rPr/>
        <w:t>to</w:t>
      </w:r>
      <w:r>
        <w:rPr>
          <w:spacing w:val="-10"/>
        </w:rPr>
        <w:t> </w:t>
      </w:r>
      <w:r>
        <w:rPr/>
        <w:t>fund</w:t>
      </w:r>
      <w:r>
        <w:rPr>
          <w:spacing w:val="-6"/>
        </w:rPr>
        <w:t> </w:t>
      </w:r>
      <w:r>
        <w:rPr/>
        <w:t>its</w:t>
      </w:r>
      <w:r>
        <w:rPr>
          <w:spacing w:val="-6"/>
        </w:rPr>
        <w:t> </w:t>
      </w:r>
      <w:r>
        <w:rPr/>
        <w:t>activities,</w:t>
      </w:r>
      <w:r>
        <w:rPr>
          <w:spacing w:val="-4"/>
        </w:rPr>
        <w:t> </w:t>
      </w:r>
      <w:r>
        <w:rPr/>
        <w:t>and</w:t>
      </w:r>
      <w:r>
        <w:rPr>
          <w:spacing w:val="-10"/>
        </w:rPr>
        <w:t> </w:t>
      </w:r>
      <w:r>
        <w:rPr/>
        <w:t>how</w:t>
      </w:r>
      <w:r>
        <w:rPr>
          <w:spacing w:val="-8"/>
        </w:rPr>
        <w:t> </w:t>
      </w:r>
      <w:r>
        <w:rPr/>
        <w:t>the funding burden</w:t>
      </w:r>
      <w:r>
        <w:rPr>
          <w:spacing w:val="-3"/>
        </w:rPr>
        <w:t> </w:t>
      </w:r>
      <w:r>
        <w:rPr/>
        <w:t>will be</w:t>
      </w:r>
      <w:r>
        <w:rPr>
          <w:spacing w:val="-1"/>
        </w:rPr>
        <w:t> </w:t>
      </w:r>
      <w:r>
        <w:rPr/>
        <w:t>apportioned</w:t>
      </w:r>
      <w:r>
        <w:rPr>
          <w:spacing w:val="-1"/>
        </w:rPr>
        <w:t> </w:t>
      </w:r>
      <w:r>
        <w:rPr/>
        <w:t>between ratepayers and other users of Council facilities and services.</w:t>
      </w:r>
    </w:p>
    <w:p>
      <w:pPr>
        <w:pStyle w:val="BodyText"/>
        <w:spacing w:before="4"/>
        <w:rPr>
          <w:sz w:val="24"/>
        </w:rPr>
      </w:pPr>
    </w:p>
    <w:p>
      <w:pPr>
        <w:pStyle w:val="BodyText"/>
        <w:ind w:left="1440" w:right="1434"/>
        <w:jc w:val="both"/>
      </w:pPr>
      <w:r>
        <w:rPr/>
        <w:t>This</w:t>
      </w:r>
      <w:r>
        <w:rPr>
          <w:spacing w:val="-2"/>
        </w:rPr>
        <w:t> </w:t>
      </w:r>
      <w:r>
        <w:rPr/>
        <w:t>plan</w:t>
      </w:r>
      <w:r>
        <w:rPr>
          <w:spacing w:val="-2"/>
        </w:rPr>
        <w:t> </w:t>
      </w:r>
      <w:r>
        <w:rPr/>
        <w:t>will</w:t>
      </w:r>
      <w:r>
        <w:rPr>
          <w:spacing w:val="-5"/>
        </w:rPr>
        <w:t> </w:t>
      </w:r>
      <w:r>
        <w:rPr/>
        <w:t>set</w:t>
      </w:r>
      <w:r>
        <w:rPr>
          <w:spacing w:val="-1"/>
        </w:rPr>
        <w:t> </w:t>
      </w:r>
      <w:r>
        <w:rPr/>
        <w:t>out</w:t>
      </w:r>
      <w:r>
        <w:rPr>
          <w:spacing w:val="-2"/>
        </w:rPr>
        <w:t> </w:t>
      </w:r>
      <w:r>
        <w:rPr/>
        <w:t>decisions</w:t>
      </w:r>
      <w:r>
        <w:rPr>
          <w:spacing w:val="-1"/>
        </w:rPr>
        <w:t> </w:t>
      </w:r>
      <w:r>
        <w:rPr/>
        <w:t>that</w:t>
      </w:r>
      <w:r>
        <w:rPr>
          <w:spacing w:val="-1"/>
        </w:rPr>
        <w:t> </w:t>
      </w:r>
      <w:r>
        <w:rPr/>
        <w:t>Council</w:t>
      </w:r>
      <w:r>
        <w:rPr>
          <w:spacing w:val="-2"/>
        </w:rPr>
        <w:t> </w:t>
      </w:r>
      <w:r>
        <w:rPr/>
        <w:t>has</w:t>
      </w:r>
      <w:r>
        <w:rPr>
          <w:spacing w:val="-4"/>
        </w:rPr>
        <w:t> </w:t>
      </w:r>
      <w:r>
        <w:rPr/>
        <w:t>made</w:t>
      </w:r>
      <w:r>
        <w:rPr>
          <w:spacing w:val="-2"/>
        </w:rPr>
        <w:t> </w:t>
      </w:r>
      <w:r>
        <w:rPr/>
        <w:t>in</w:t>
      </w:r>
      <w:r>
        <w:rPr>
          <w:spacing w:val="-1"/>
        </w:rPr>
        <w:t> </w:t>
      </w:r>
      <w:r>
        <w:rPr/>
        <w:t>relation</w:t>
      </w:r>
      <w:r>
        <w:rPr>
          <w:spacing w:val="-3"/>
        </w:rPr>
        <w:t> </w:t>
      </w:r>
      <w:r>
        <w:rPr/>
        <w:t>to</w:t>
      </w:r>
      <w:r>
        <w:rPr>
          <w:spacing w:val="-4"/>
        </w:rPr>
        <w:t> </w:t>
      </w:r>
      <w:r>
        <w:rPr/>
        <w:t>rating</w:t>
      </w:r>
      <w:r>
        <w:rPr>
          <w:spacing w:val="-1"/>
        </w:rPr>
        <w:t> </w:t>
      </w:r>
      <w:r>
        <w:rPr/>
        <w:t>options</w:t>
      </w:r>
      <w:r>
        <w:rPr>
          <w:spacing w:val="-2"/>
        </w:rPr>
        <w:t> </w:t>
      </w:r>
      <w:r>
        <w:rPr/>
        <w:t>available</w:t>
      </w:r>
      <w:r>
        <w:rPr>
          <w:spacing w:val="-4"/>
        </w:rPr>
        <w:t> </w:t>
      </w:r>
      <w:r>
        <w:rPr/>
        <w:t>to it under the</w:t>
      </w:r>
      <w:r>
        <w:rPr>
          <w:spacing w:val="-3"/>
        </w:rPr>
        <w:t> </w:t>
      </w:r>
      <w:r>
        <w:rPr>
          <w:i/>
        </w:rPr>
        <w:t>Local Government Act 2020</w:t>
      </w:r>
      <w:r>
        <w:rPr>
          <w:i/>
          <w:spacing w:val="-4"/>
        </w:rPr>
        <w:t> </w:t>
      </w:r>
      <w:r>
        <w:rPr/>
        <w:t>to ensure the fair and equitable distribution of rates across</w:t>
      </w:r>
      <w:r>
        <w:rPr>
          <w:spacing w:val="-13"/>
        </w:rPr>
        <w:t> </w:t>
      </w:r>
      <w:r>
        <w:rPr/>
        <w:t>property</w:t>
      </w:r>
      <w:r>
        <w:rPr>
          <w:spacing w:val="-11"/>
        </w:rPr>
        <w:t> </w:t>
      </w:r>
      <w:r>
        <w:rPr/>
        <w:t>owners.</w:t>
      </w:r>
      <w:r>
        <w:rPr>
          <w:spacing w:val="-15"/>
        </w:rPr>
        <w:t> </w:t>
      </w:r>
      <w:r>
        <w:rPr/>
        <w:t>It</w:t>
      </w:r>
      <w:r>
        <w:rPr>
          <w:spacing w:val="-10"/>
        </w:rPr>
        <w:t> </w:t>
      </w:r>
      <w:r>
        <w:rPr/>
        <w:t>will</w:t>
      </w:r>
      <w:r>
        <w:rPr>
          <w:spacing w:val="-11"/>
        </w:rPr>
        <w:t> </w:t>
      </w:r>
      <w:r>
        <w:rPr/>
        <w:t>also</w:t>
      </w:r>
      <w:r>
        <w:rPr>
          <w:spacing w:val="-14"/>
        </w:rPr>
        <w:t> </w:t>
      </w:r>
      <w:r>
        <w:rPr/>
        <w:t>set</w:t>
      </w:r>
      <w:r>
        <w:rPr>
          <w:spacing w:val="-12"/>
        </w:rPr>
        <w:t> </w:t>
      </w:r>
      <w:r>
        <w:rPr/>
        <w:t>out</w:t>
      </w:r>
      <w:r>
        <w:rPr>
          <w:spacing w:val="-12"/>
        </w:rPr>
        <w:t> </w:t>
      </w:r>
      <w:r>
        <w:rPr/>
        <w:t>principles</w:t>
      </w:r>
      <w:r>
        <w:rPr>
          <w:spacing w:val="-13"/>
        </w:rPr>
        <w:t> </w:t>
      </w:r>
      <w:r>
        <w:rPr/>
        <w:t>that</w:t>
      </w:r>
      <w:r>
        <w:rPr>
          <w:spacing w:val="-2"/>
        </w:rPr>
        <w:t> </w:t>
      </w:r>
      <w:r>
        <w:rPr/>
        <w:t>are</w:t>
      </w:r>
      <w:r>
        <w:rPr>
          <w:spacing w:val="-14"/>
        </w:rPr>
        <w:t> </w:t>
      </w:r>
      <w:r>
        <w:rPr/>
        <w:t>used</w:t>
      </w:r>
      <w:r>
        <w:rPr>
          <w:spacing w:val="-4"/>
        </w:rPr>
        <w:t> </w:t>
      </w:r>
      <w:r>
        <w:rPr/>
        <w:t>in</w:t>
      </w:r>
      <w:r>
        <w:rPr>
          <w:spacing w:val="-12"/>
        </w:rPr>
        <w:t> </w:t>
      </w:r>
      <w:r>
        <w:rPr/>
        <w:t>decision</w:t>
      </w:r>
      <w:r>
        <w:rPr>
          <w:spacing w:val="-12"/>
        </w:rPr>
        <w:t> </w:t>
      </w:r>
      <w:r>
        <w:rPr/>
        <w:t>making</w:t>
      </w:r>
      <w:r>
        <w:rPr>
          <w:spacing w:val="-14"/>
        </w:rPr>
        <w:t> </w:t>
      </w:r>
      <w:r>
        <w:rPr/>
        <w:t>for</w:t>
      </w:r>
      <w:r>
        <w:rPr>
          <w:spacing w:val="-11"/>
        </w:rPr>
        <w:t> </w:t>
      </w:r>
      <w:r>
        <w:rPr/>
        <w:t>other revenue sources such as fees and charges.</w:t>
      </w:r>
    </w:p>
    <w:p>
      <w:pPr>
        <w:pStyle w:val="BodyText"/>
        <w:spacing w:before="3"/>
        <w:rPr>
          <w:sz w:val="24"/>
        </w:rPr>
      </w:pPr>
    </w:p>
    <w:p>
      <w:pPr>
        <w:pStyle w:val="BodyText"/>
        <w:spacing w:before="1"/>
        <w:ind w:left="1440" w:right="1434"/>
        <w:jc w:val="both"/>
      </w:pPr>
      <w:r>
        <w:rPr/>
        <w:t>It</w:t>
      </w:r>
      <w:r>
        <w:rPr>
          <w:spacing w:val="-15"/>
        </w:rPr>
        <w:t> </w:t>
      </w:r>
      <w:r>
        <w:rPr/>
        <w:t>is</w:t>
      </w:r>
      <w:r>
        <w:rPr>
          <w:spacing w:val="-13"/>
        </w:rPr>
        <w:t> </w:t>
      </w:r>
      <w:r>
        <w:rPr/>
        <w:t>also</w:t>
      </w:r>
      <w:r>
        <w:rPr>
          <w:spacing w:val="-14"/>
        </w:rPr>
        <w:t> </w:t>
      </w:r>
      <w:r>
        <w:rPr/>
        <w:t>important</w:t>
      </w:r>
      <w:r>
        <w:rPr>
          <w:spacing w:val="-15"/>
        </w:rPr>
        <w:t> </w:t>
      </w:r>
      <w:r>
        <w:rPr/>
        <w:t>to</w:t>
      </w:r>
      <w:r>
        <w:rPr>
          <w:spacing w:val="-14"/>
        </w:rPr>
        <w:t> </w:t>
      </w:r>
      <w:r>
        <w:rPr/>
        <w:t>note</w:t>
      </w:r>
      <w:r>
        <w:rPr>
          <w:spacing w:val="-14"/>
        </w:rPr>
        <w:t> </w:t>
      </w:r>
      <w:r>
        <w:rPr/>
        <w:t>that</w:t>
      </w:r>
      <w:r>
        <w:rPr>
          <w:spacing w:val="-15"/>
        </w:rPr>
        <w:t> </w:t>
      </w:r>
      <w:r>
        <w:rPr/>
        <w:t>this</w:t>
      </w:r>
      <w:r>
        <w:rPr>
          <w:spacing w:val="-13"/>
        </w:rPr>
        <w:t> </w:t>
      </w:r>
      <w:r>
        <w:rPr/>
        <w:t>plan</w:t>
      </w:r>
      <w:r>
        <w:rPr>
          <w:spacing w:val="-16"/>
        </w:rPr>
        <w:t> </w:t>
      </w:r>
      <w:r>
        <w:rPr/>
        <w:t>does</w:t>
      </w:r>
      <w:r>
        <w:rPr>
          <w:spacing w:val="-12"/>
        </w:rPr>
        <w:t> </w:t>
      </w:r>
      <w:r>
        <w:rPr/>
        <w:t>not</w:t>
      </w:r>
      <w:r>
        <w:rPr>
          <w:spacing w:val="-15"/>
        </w:rPr>
        <w:t> </w:t>
      </w:r>
      <w:r>
        <w:rPr/>
        <w:t>set</w:t>
      </w:r>
      <w:r>
        <w:rPr>
          <w:spacing w:val="-15"/>
        </w:rPr>
        <w:t> </w:t>
      </w:r>
      <w:r>
        <w:rPr/>
        <w:t>revenue</w:t>
      </w:r>
      <w:r>
        <w:rPr>
          <w:spacing w:val="-16"/>
        </w:rPr>
        <w:t> </w:t>
      </w:r>
      <w:r>
        <w:rPr/>
        <w:t>targets</w:t>
      </w:r>
      <w:r>
        <w:rPr>
          <w:spacing w:val="-15"/>
        </w:rPr>
        <w:t> </w:t>
      </w:r>
      <w:r>
        <w:rPr/>
        <w:t>for</w:t>
      </w:r>
      <w:r>
        <w:rPr>
          <w:spacing w:val="-1"/>
        </w:rPr>
        <w:t> </w:t>
      </w:r>
      <w:r>
        <w:rPr/>
        <w:t>Council,</w:t>
      </w:r>
      <w:r>
        <w:rPr>
          <w:spacing w:val="-1"/>
        </w:rPr>
        <w:t> </w:t>
      </w:r>
      <w:r>
        <w:rPr/>
        <w:t>it</w:t>
      </w:r>
      <w:r>
        <w:rPr>
          <w:spacing w:val="-13"/>
        </w:rPr>
        <w:t> </w:t>
      </w:r>
      <w:r>
        <w:rPr/>
        <w:t>outlines</w:t>
      </w:r>
      <w:r>
        <w:rPr>
          <w:spacing w:val="-2"/>
        </w:rPr>
        <w:t> </w:t>
      </w:r>
      <w:r>
        <w:rPr/>
        <w:t>the strategic framework</w:t>
      </w:r>
      <w:r>
        <w:rPr>
          <w:spacing w:val="-4"/>
        </w:rPr>
        <w:t> </w:t>
      </w:r>
      <w:r>
        <w:rPr/>
        <w:t>and decisions that inform</w:t>
      </w:r>
      <w:r>
        <w:rPr>
          <w:spacing w:val="-2"/>
        </w:rPr>
        <w:t> </w:t>
      </w:r>
      <w:r>
        <w:rPr/>
        <w:t>how Council will go about calculating and collecting its revenue.</w:t>
      </w:r>
    </w:p>
    <w:p>
      <w:pPr>
        <w:spacing w:after="0"/>
        <w:jc w:val="both"/>
        <w:sectPr>
          <w:footerReference w:type="default" r:id="rId9"/>
          <w:pgSz w:w="11910" w:h="16840"/>
          <w:pgMar w:footer="1078" w:header="0" w:top="1360" w:bottom="1260" w:left="0" w:right="0"/>
          <w:pgNumType w:start="3"/>
        </w:sectPr>
      </w:pPr>
    </w:p>
    <w:p>
      <w:pPr>
        <w:pStyle w:val="BodyText"/>
        <w:ind w:left="1440"/>
        <w:rPr>
          <w:sz w:val="20"/>
        </w:rPr>
      </w:pPr>
      <w:r>
        <w:rPr>
          <w:sz w:val="20"/>
        </w:rPr>
        <w:pict>
          <v:group style="width:479.8pt;height:627.5pt;mso-position-horizontal-relative:char;mso-position-vertical-relative:line" id="docshapegroup3" coordorigin="0,0" coordsize="9596,12550">
            <v:shape style="position:absolute;left:8736;top:0;width:860;height:1004" type="#_x0000_t75" id="docshape4" stroked="false">
              <v:imagedata r:id="rId8" o:title=""/>
            </v:shape>
            <v:shape style="position:absolute;left:0;top:849;width:9346;height:11700" type="#_x0000_t75" id="docshape5" stroked="false">
              <v:imagedata r:id="rId10" o:title=""/>
            </v:shape>
          </v:group>
        </w:pict>
      </w:r>
      <w:r>
        <w:rPr>
          <w:sz w:val="20"/>
        </w:rPr>
      </w:r>
    </w:p>
    <w:p>
      <w:pPr>
        <w:spacing w:after="0"/>
        <w:rPr>
          <w:sz w:val="20"/>
        </w:rPr>
        <w:sectPr>
          <w:pgSz w:w="11910" w:h="16840"/>
          <w:pgMar w:header="0" w:footer="1078" w:top="580" w:bottom="1260" w:left="0" w:right="0"/>
        </w:sectPr>
      </w:pPr>
    </w:p>
    <w:p>
      <w:pPr>
        <w:pStyle w:val="Heading1"/>
        <w:numPr>
          <w:ilvl w:val="0"/>
          <w:numId w:val="3"/>
        </w:numPr>
        <w:tabs>
          <w:tab w:pos="2160" w:val="left" w:leader="none"/>
        </w:tabs>
        <w:spacing w:line="240" w:lineRule="auto" w:before="62" w:after="0"/>
        <w:ind w:left="2160" w:right="0" w:hanging="720"/>
        <w:jc w:val="left"/>
        <w:rPr>
          <w:color w:val="134295"/>
        </w:rPr>
      </w:pPr>
      <w:bookmarkStart w:name="_TOC_250020" w:id="2"/>
      <w:bookmarkEnd w:id="2"/>
      <w:r>
        <w:rPr>
          <w:color w:val="134295"/>
          <w:spacing w:val="-2"/>
        </w:rPr>
        <w:t>Introduction</w:t>
      </w:r>
    </w:p>
    <w:p>
      <w:pPr>
        <w:pStyle w:val="BodyText"/>
        <w:spacing w:before="311"/>
        <w:ind w:left="1440" w:right="1436"/>
        <w:jc w:val="both"/>
      </w:pPr>
      <w:r>
        <w:rPr/>
        <w:t>Council provides a number of services and facilities to our local community, and in doing so, must collect revenue to cover the cost of providing these services and facilities.</w:t>
      </w:r>
    </w:p>
    <w:p>
      <w:pPr>
        <w:pStyle w:val="BodyText"/>
        <w:spacing w:before="5"/>
        <w:rPr>
          <w:sz w:val="19"/>
        </w:rPr>
      </w:pPr>
      <w:r>
        <w:rPr/>
        <w:pict>
          <v:group style="position:absolute;margin-left:71.639999pt;margin-top:12.414454pt;width:462.75pt;height:236.3pt;mso-position-horizontal-relative:page;mso-position-vertical-relative:paragraph;z-index:-15726592;mso-wrap-distance-left:0;mso-wrap-distance-right:0" id="docshapegroup6" coordorigin="1433,248" coordsize="9255,4726">
            <v:shape style="position:absolute;left:4387;top:1237;width:3346;height:3360" type="#_x0000_t75" id="docshape7" stroked="false">
              <v:imagedata r:id="rId11" o:title=""/>
            </v:shape>
            <v:rect style="position:absolute;left:1440;top:255;width:9240;height:4712" id="docshape8" filled="false" stroked="true" strokeweight=".72pt" strokecolor="#d8d8d8">
              <v:stroke dashstyle="solid"/>
            </v:rect>
            <v:shape style="position:absolute;left:3914;top:436;width:4335;height:628" type="#_x0000_t202" id="docshape9" filled="false" stroked="false">
              <v:textbox inset="0,0,0,0">
                <w:txbxContent>
                  <w:p>
                    <w:pPr>
                      <w:spacing w:line="325" w:lineRule="exact" w:before="0"/>
                      <w:ind w:left="0" w:right="0" w:firstLine="0"/>
                      <w:jc w:val="left"/>
                      <w:rPr>
                        <w:rFonts w:ascii="Calibri"/>
                        <w:b/>
                        <w:sz w:val="32"/>
                      </w:rPr>
                    </w:pPr>
                    <w:r>
                      <w:rPr>
                        <w:rFonts w:ascii="Calibri"/>
                        <w:b/>
                        <w:color w:val="595959"/>
                        <w:sz w:val="32"/>
                      </w:rPr>
                      <w:t>Income</w:t>
                    </w:r>
                    <w:r>
                      <w:rPr>
                        <w:rFonts w:ascii="Calibri"/>
                        <w:b/>
                        <w:color w:val="595959"/>
                        <w:spacing w:val="-8"/>
                        <w:sz w:val="32"/>
                      </w:rPr>
                      <w:t> </w:t>
                    </w:r>
                    <w:r>
                      <w:rPr>
                        <w:rFonts w:ascii="Calibri"/>
                        <w:b/>
                        <w:color w:val="595959"/>
                        <w:sz w:val="32"/>
                      </w:rPr>
                      <w:t>Source</w:t>
                    </w:r>
                    <w:r>
                      <w:rPr>
                        <w:rFonts w:ascii="Calibri"/>
                        <w:b/>
                        <w:color w:val="595959"/>
                        <w:spacing w:val="-13"/>
                        <w:sz w:val="32"/>
                      </w:rPr>
                      <w:t> </w:t>
                    </w:r>
                    <w:r>
                      <w:rPr>
                        <w:rFonts w:ascii="Calibri"/>
                        <w:b/>
                        <w:color w:val="595959"/>
                        <w:sz w:val="32"/>
                      </w:rPr>
                      <w:t>-</w:t>
                    </w:r>
                    <w:r>
                      <w:rPr>
                        <w:rFonts w:ascii="Calibri"/>
                        <w:b/>
                        <w:color w:val="595959"/>
                        <w:spacing w:val="-14"/>
                        <w:sz w:val="32"/>
                      </w:rPr>
                      <w:t> </w:t>
                    </w:r>
                    <w:r>
                      <w:rPr>
                        <w:rFonts w:ascii="Calibri"/>
                        <w:b/>
                        <w:color w:val="595959"/>
                        <w:sz w:val="32"/>
                      </w:rPr>
                      <w:t>Budget</w:t>
                    </w:r>
                    <w:r>
                      <w:rPr>
                        <w:rFonts w:ascii="Calibri"/>
                        <w:b/>
                        <w:color w:val="595959"/>
                        <w:spacing w:val="-8"/>
                        <w:sz w:val="32"/>
                      </w:rPr>
                      <w:t> </w:t>
                    </w:r>
                    <w:r>
                      <w:rPr>
                        <w:rFonts w:ascii="Calibri"/>
                        <w:b/>
                        <w:color w:val="595959"/>
                        <w:spacing w:val="-2"/>
                        <w:sz w:val="32"/>
                      </w:rPr>
                      <w:t>2025/26</w:t>
                    </w:r>
                  </w:p>
                  <w:p>
                    <w:pPr>
                      <w:spacing w:before="95"/>
                      <w:ind w:left="1293" w:right="0" w:firstLine="0"/>
                      <w:jc w:val="left"/>
                      <w:rPr>
                        <w:sz w:val="18"/>
                      </w:rPr>
                    </w:pPr>
                    <w:r>
                      <w:rPr>
                        <w:color w:val="3F3F3F"/>
                        <w:sz w:val="18"/>
                      </w:rPr>
                      <w:t>Asset</w:t>
                    </w:r>
                    <w:r>
                      <w:rPr>
                        <w:color w:val="3F3F3F"/>
                        <w:spacing w:val="-4"/>
                        <w:sz w:val="18"/>
                      </w:rPr>
                      <w:t> </w:t>
                    </w:r>
                    <w:r>
                      <w:rPr>
                        <w:color w:val="3F3F3F"/>
                        <w:spacing w:val="-2"/>
                        <w:sz w:val="18"/>
                      </w:rPr>
                      <w:t>Sales</w:t>
                    </w:r>
                  </w:p>
                </w:txbxContent>
              </v:textbox>
              <w10:wrap type="none"/>
            </v:shape>
            <v:shape style="position:absolute;left:2757;top:1129;width:2389;height:934" type="#_x0000_t202" id="docshape10" filled="false" stroked="false">
              <v:textbox inset="0,0,0,0">
                <w:txbxContent>
                  <w:p>
                    <w:pPr>
                      <w:spacing w:line="242" w:lineRule="auto" w:before="0"/>
                      <w:ind w:left="1526" w:right="0" w:hanging="430"/>
                      <w:jc w:val="left"/>
                      <w:rPr>
                        <w:sz w:val="18"/>
                      </w:rPr>
                    </w:pPr>
                    <w:r>
                      <w:rPr>
                        <w:color w:val="3F3F3F"/>
                        <w:sz w:val="18"/>
                      </w:rPr>
                      <w:t>Interest</w:t>
                    </w:r>
                    <w:r>
                      <w:rPr>
                        <w:color w:val="3F3F3F"/>
                        <w:spacing w:val="-15"/>
                        <w:sz w:val="18"/>
                      </w:rPr>
                      <w:t> </w:t>
                    </w:r>
                    <w:r>
                      <w:rPr>
                        <w:color w:val="3F3F3F"/>
                        <w:sz w:val="18"/>
                      </w:rPr>
                      <w:t>&amp;</w:t>
                    </w:r>
                    <w:r>
                      <w:rPr>
                        <w:color w:val="3F3F3F"/>
                        <w:spacing w:val="-12"/>
                        <w:sz w:val="18"/>
                      </w:rPr>
                      <w:t> </w:t>
                    </w:r>
                    <w:r>
                      <w:rPr>
                        <w:color w:val="3F3F3F"/>
                        <w:sz w:val="18"/>
                      </w:rPr>
                      <w:t>Other </w:t>
                    </w:r>
                    <w:r>
                      <w:rPr>
                        <w:color w:val="3F3F3F"/>
                        <w:spacing w:val="-4"/>
                        <w:sz w:val="18"/>
                      </w:rPr>
                      <w:t>2.2%</w:t>
                    </w:r>
                  </w:p>
                  <w:p>
                    <w:pPr>
                      <w:spacing w:before="99"/>
                      <w:ind w:left="799" w:right="39" w:hanging="800"/>
                      <w:jc w:val="left"/>
                      <w:rPr>
                        <w:sz w:val="18"/>
                      </w:rPr>
                    </w:pPr>
                    <w:r>
                      <w:rPr>
                        <w:color w:val="3F3F3F"/>
                        <w:sz w:val="18"/>
                      </w:rPr>
                      <w:t>Statutory</w:t>
                    </w:r>
                    <w:r>
                      <w:rPr>
                        <w:color w:val="3F3F3F"/>
                        <w:spacing w:val="-13"/>
                        <w:sz w:val="18"/>
                      </w:rPr>
                      <w:t> </w:t>
                    </w:r>
                    <w:r>
                      <w:rPr>
                        <w:color w:val="3F3F3F"/>
                        <w:sz w:val="18"/>
                      </w:rPr>
                      <w:t>Fees</w:t>
                    </w:r>
                    <w:r>
                      <w:rPr>
                        <w:color w:val="3F3F3F"/>
                        <w:spacing w:val="-9"/>
                        <w:sz w:val="18"/>
                      </w:rPr>
                      <w:t> </w:t>
                    </w:r>
                    <w:r>
                      <w:rPr>
                        <w:color w:val="3F3F3F"/>
                        <w:sz w:val="18"/>
                      </w:rPr>
                      <w:t>and</w:t>
                    </w:r>
                    <w:r>
                      <w:rPr>
                        <w:color w:val="3F3F3F"/>
                        <w:spacing w:val="-13"/>
                        <w:sz w:val="18"/>
                      </w:rPr>
                      <w:t> </w:t>
                    </w:r>
                    <w:r>
                      <w:rPr>
                        <w:color w:val="3F3F3F"/>
                        <w:sz w:val="18"/>
                      </w:rPr>
                      <w:t>Fines </w:t>
                    </w:r>
                    <w:r>
                      <w:rPr>
                        <w:color w:val="3F3F3F"/>
                        <w:spacing w:val="-4"/>
                        <w:sz w:val="18"/>
                      </w:rPr>
                      <w:t>2.9%</w:t>
                    </w:r>
                  </w:p>
                </w:txbxContent>
              </v:textbox>
              <w10:wrap type="none"/>
            </v:shape>
            <v:shape style="position:absolute;left:5479;top:1071;width:433;height:202" type="#_x0000_t202" id="docshape11" filled="false" stroked="false">
              <v:textbox inset="0,0,0,0">
                <w:txbxContent>
                  <w:p>
                    <w:pPr>
                      <w:spacing w:line="201" w:lineRule="exact" w:before="0"/>
                      <w:ind w:left="0" w:right="0" w:firstLine="0"/>
                      <w:jc w:val="left"/>
                      <w:rPr>
                        <w:sz w:val="18"/>
                      </w:rPr>
                    </w:pPr>
                    <w:r>
                      <w:rPr>
                        <w:color w:val="3F3F3F"/>
                        <w:spacing w:val="-4"/>
                        <w:sz w:val="18"/>
                      </w:rPr>
                      <w:t>8.6%</w:t>
                    </w:r>
                  </w:p>
                </w:txbxContent>
              </v:textbox>
              <w10:wrap type="none"/>
            </v:shape>
            <v:shape style="position:absolute;left:3506;top:2396;width:852;height:410" type="#_x0000_t202" id="docshape12" filled="false" stroked="false">
              <v:textbox inset="0,0,0,0">
                <w:txbxContent>
                  <w:p>
                    <w:pPr>
                      <w:spacing w:line="242" w:lineRule="auto" w:before="0"/>
                      <w:ind w:left="160" w:right="15" w:hanging="161"/>
                      <w:jc w:val="left"/>
                      <w:rPr>
                        <w:sz w:val="18"/>
                      </w:rPr>
                    </w:pPr>
                    <w:r>
                      <w:rPr>
                        <w:color w:val="3F3F3F"/>
                        <w:sz w:val="18"/>
                      </w:rPr>
                      <w:t>User</w:t>
                    </w:r>
                    <w:r>
                      <w:rPr>
                        <w:color w:val="3F3F3F"/>
                        <w:spacing w:val="-13"/>
                        <w:sz w:val="18"/>
                      </w:rPr>
                      <w:t> </w:t>
                    </w:r>
                    <w:r>
                      <w:rPr>
                        <w:color w:val="3F3F3F"/>
                        <w:sz w:val="18"/>
                      </w:rPr>
                      <w:t>Fees </w:t>
                    </w:r>
                    <w:r>
                      <w:rPr>
                        <w:color w:val="3F3F3F"/>
                        <w:spacing w:val="-2"/>
                        <w:sz w:val="18"/>
                      </w:rPr>
                      <w:t>17.5%</w:t>
                    </w:r>
                  </w:p>
                </w:txbxContent>
              </v:textbox>
              <w10:wrap type="none"/>
            </v:shape>
            <v:shape style="position:absolute;left:7759;top:3147;width:1574;height:410" type="#_x0000_t202" id="docshape13" filled="false" stroked="false">
              <v:textbox inset="0,0,0,0">
                <w:txbxContent>
                  <w:p>
                    <w:pPr>
                      <w:spacing w:line="242" w:lineRule="auto" w:before="0"/>
                      <w:ind w:left="520" w:right="0" w:hanging="521"/>
                      <w:jc w:val="left"/>
                      <w:rPr>
                        <w:sz w:val="18"/>
                      </w:rPr>
                    </w:pPr>
                    <w:r>
                      <w:rPr>
                        <w:color w:val="3F3F3F"/>
                        <w:sz w:val="18"/>
                      </w:rPr>
                      <w:t>Rates</w:t>
                    </w:r>
                    <w:r>
                      <w:rPr>
                        <w:color w:val="3F3F3F"/>
                        <w:spacing w:val="-15"/>
                        <w:sz w:val="18"/>
                      </w:rPr>
                      <w:t> </w:t>
                    </w:r>
                    <w:r>
                      <w:rPr>
                        <w:color w:val="3F3F3F"/>
                        <w:sz w:val="18"/>
                      </w:rPr>
                      <w:t>and</w:t>
                    </w:r>
                    <w:r>
                      <w:rPr>
                        <w:color w:val="3F3F3F"/>
                        <w:spacing w:val="-12"/>
                        <w:sz w:val="18"/>
                      </w:rPr>
                      <w:t> </w:t>
                    </w:r>
                    <w:r>
                      <w:rPr>
                        <w:color w:val="3F3F3F"/>
                        <w:sz w:val="18"/>
                      </w:rPr>
                      <w:t>Charges </w:t>
                    </w:r>
                    <w:r>
                      <w:rPr>
                        <w:color w:val="3F3F3F"/>
                        <w:spacing w:val="-2"/>
                        <w:sz w:val="18"/>
                      </w:rPr>
                      <w:t>57.7%</w:t>
                    </w:r>
                  </w:p>
                </w:txbxContent>
              </v:textbox>
              <w10:wrap type="none"/>
            </v:shape>
            <v:shape style="position:absolute;left:1744;top:3618;width:3183;height:991" type="#_x0000_t202" id="docshape14" filled="false" stroked="false">
              <v:textbox inset="0,0,0,0">
                <w:txbxContent>
                  <w:p>
                    <w:pPr>
                      <w:spacing w:line="242" w:lineRule="auto" w:before="0"/>
                      <w:ind w:left="2040" w:right="63" w:hanging="329"/>
                      <w:jc w:val="left"/>
                      <w:rPr>
                        <w:sz w:val="18"/>
                      </w:rPr>
                    </w:pPr>
                    <w:r>
                      <w:rPr>
                        <w:color w:val="3F3F3F"/>
                        <w:spacing w:val="-2"/>
                        <w:sz w:val="18"/>
                      </w:rPr>
                      <w:t>Contributions </w:t>
                    </w:r>
                    <w:r>
                      <w:rPr>
                        <w:color w:val="3F3F3F"/>
                        <w:spacing w:val="-4"/>
                        <w:sz w:val="18"/>
                      </w:rPr>
                      <w:t>3.4%</w:t>
                    </w:r>
                  </w:p>
                  <w:p>
                    <w:pPr>
                      <w:spacing w:before="156"/>
                      <w:ind w:left="1394" w:right="0" w:hanging="1395"/>
                      <w:jc w:val="left"/>
                      <w:rPr>
                        <w:sz w:val="18"/>
                      </w:rPr>
                    </w:pPr>
                    <w:r>
                      <w:rPr>
                        <w:color w:val="3F3F3F"/>
                        <w:sz w:val="18"/>
                      </w:rPr>
                      <w:t>Grants</w:t>
                    </w:r>
                    <w:r>
                      <w:rPr>
                        <w:color w:val="3F3F3F"/>
                        <w:spacing w:val="-8"/>
                        <w:sz w:val="18"/>
                      </w:rPr>
                      <w:t> </w:t>
                    </w:r>
                    <w:r>
                      <w:rPr>
                        <w:color w:val="3F3F3F"/>
                        <w:sz w:val="18"/>
                      </w:rPr>
                      <w:t>from</w:t>
                    </w:r>
                    <w:r>
                      <w:rPr>
                        <w:color w:val="3F3F3F"/>
                        <w:spacing w:val="-7"/>
                        <w:sz w:val="18"/>
                      </w:rPr>
                      <w:t> </w:t>
                    </w:r>
                    <w:r>
                      <w:rPr>
                        <w:color w:val="3F3F3F"/>
                        <w:sz w:val="18"/>
                      </w:rPr>
                      <w:t>other</w:t>
                    </w:r>
                    <w:r>
                      <w:rPr>
                        <w:color w:val="3F3F3F"/>
                        <w:spacing w:val="-9"/>
                        <w:sz w:val="18"/>
                      </w:rPr>
                      <w:t> </w:t>
                    </w:r>
                    <w:r>
                      <w:rPr>
                        <w:color w:val="3F3F3F"/>
                        <w:sz w:val="18"/>
                      </w:rPr>
                      <w:t>levels</w:t>
                    </w:r>
                    <w:r>
                      <w:rPr>
                        <w:color w:val="3F3F3F"/>
                        <w:spacing w:val="-6"/>
                        <w:sz w:val="18"/>
                      </w:rPr>
                      <w:t> </w:t>
                    </w:r>
                    <w:r>
                      <w:rPr>
                        <w:color w:val="3F3F3F"/>
                        <w:sz w:val="18"/>
                      </w:rPr>
                      <w:t>of</w:t>
                    </w:r>
                    <w:r>
                      <w:rPr>
                        <w:color w:val="3F3F3F"/>
                        <w:spacing w:val="-8"/>
                        <w:sz w:val="18"/>
                      </w:rPr>
                      <w:t> </w:t>
                    </w:r>
                    <w:r>
                      <w:rPr>
                        <w:color w:val="3F3F3F"/>
                        <w:sz w:val="18"/>
                      </w:rPr>
                      <w:t>Government </w:t>
                    </w:r>
                    <w:r>
                      <w:rPr>
                        <w:color w:val="3F3F3F"/>
                        <w:spacing w:val="-4"/>
                        <w:sz w:val="18"/>
                      </w:rPr>
                      <w:t>7.6%</w:t>
                    </w:r>
                  </w:p>
                </w:txbxContent>
              </v:textbox>
              <w10:wrap type="none"/>
            </v:shape>
            <w10:wrap type="topAndBottom"/>
          </v:group>
        </w:pict>
      </w:r>
    </w:p>
    <w:p>
      <w:pPr>
        <w:pStyle w:val="BodyText"/>
        <w:spacing w:before="9"/>
        <w:rPr>
          <w:sz w:val="23"/>
        </w:rPr>
      </w:pPr>
    </w:p>
    <w:p>
      <w:pPr>
        <w:pStyle w:val="BodyText"/>
        <w:ind w:left="1440"/>
        <w:jc w:val="both"/>
      </w:pPr>
      <w:r>
        <w:rPr/>
        <w:t>Council’s</w:t>
      </w:r>
      <w:r>
        <w:rPr>
          <w:spacing w:val="-6"/>
        </w:rPr>
        <w:t> </w:t>
      </w:r>
      <w:r>
        <w:rPr/>
        <w:t>revenue</w:t>
      </w:r>
      <w:r>
        <w:rPr>
          <w:spacing w:val="-5"/>
        </w:rPr>
        <w:t> </w:t>
      </w:r>
      <w:r>
        <w:rPr/>
        <w:t>sources</w:t>
      </w:r>
      <w:r>
        <w:rPr>
          <w:spacing w:val="-3"/>
        </w:rPr>
        <w:t> </w:t>
      </w:r>
      <w:r>
        <w:rPr>
          <w:spacing w:val="-2"/>
        </w:rPr>
        <w:t>include:</w:t>
      </w:r>
    </w:p>
    <w:p>
      <w:pPr>
        <w:pStyle w:val="BodyText"/>
        <w:spacing w:before="3"/>
        <w:rPr>
          <w:sz w:val="24"/>
        </w:rPr>
      </w:pP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Rates</w:t>
      </w:r>
      <w:r>
        <w:rPr>
          <w:spacing w:val="-1"/>
          <w:sz w:val="22"/>
        </w:rPr>
        <w:t> </w:t>
      </w:r>
      <w:r>
        <w:rPr>
          <w:sz w:val="22"/>
        </w:rPr>
        <w:t>and</w:t>
      </w:r>
      <w:r>
        <w:rPr>
          <w:spacing w:val="-2"/>
          <w:sz w:val="22"/>
        </w:rPr>
        <w:t> Charges</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Grants</w:t>
      </w:r>
      <w:r>
        <w:rPr>
          <w:spacing w:val="-4"/>
          <w:sz w:val="22"/>
        </w:rPr>
        <w:t> </w:t>
      </w:r>
      <w:r>
        <w:rPr>
          <w:sz w:val="22"/>
        </w:rPr>
        <w:t>from</w:t>
      </w:r>
      <w:r>
        <w:rPr>
          <w:spacing w:val="-2"/>
          <w:sz w:val="22"/>
        </w:rPr>
        <w:t> </w:t>
      </w:r>
      <w:r>
        <w:rPr>
          <w:sz w:val="22"/>
        </w:rPr>
        <w:t>other</w:t>
      </w:r>
      <w:r>
        <w:rPr>
          <w:spacing w:val="-2"/>
          <w:sz w:val="22"/>
        </w:rPr>
        <w:t> </w:t>
      </w:r>
      <w:r>
        <w:rPr>
          <w:sz w:val="22"/>
        </w:rPr>
        <w:t>levels</w:t>
      </w:r>
      <w:r>
        <w:rPr>
          <w:spacing w:val="-4"/>
          <w:sz w:val="22"/>
        </w:rPr>
        <w:t> </w:t>
      </w:r>
      <w:r>
        <w:rPr>
          <w:sz w:val="22"/>
        </w:rPr>
        <w:t>of</w:t>
      </w:r>
      <w:r>
        <w:rPr>
          <w:spacing w:val="-1"/>
          <w:sz w:val="22"/>
        </w:rPr>
        <w:t> </w:t>
      </w:r>
      <w:r>
        <w:rPr>
          <w:spacing w:val="-2"/>
          <w:sz w:val="22"/>
        </w:rPr>
        <w:t>Government</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Statutory</w:t>
      </w:r>
      <w:r>
        <w:rPr>
          <w:spacing w:val="-5"/>
          <w:sz w:val="22"/>
        </w:rPr>
        <w:t> </w:t>
      </w:r>
      <w:r>
        <w:rPr>
          <w:sz w:val="22"/>
        </w:rPr>
        <w:t>Fees</w:t>
      </w:r>
      <w:r>
        <w:rPr>
          <w:spacing w:val="-1"/>
          <w:sz w:val="22"/>
        </w:rPr>
        <w:t> </w:t>
      </w:r>
      <w:r>
        <w:rPr>
          <w:sz w:val="22"/>
        </w:rPr>
        <w:t>and</w:t>
      </w:r>
      <w:r>
        <w:rPr>
          <w:spacing w:val="-1"/>
          <w:sz w:val="22"/>
        </w:rPr>
        <w:t> </w:t>
      </w:r>
      <w:r>
        <w:rPr>
          <w:spacing w:val="-4"/>
          <w:sz w:val="22"/>
        </w:rPr>
        <w:t>Fines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User</w:t>
      </w:r>
      <w:r>
        <w:rPr>
          <w:spacing w:val="-1"/>
          <w:sz w:val="22"/>
        </w:rPr>
        <w:t> </w:t>
      </w:r>
      <w:r>
        <w:rPr>
          <w:spacing w:val="-4"/>
          <w:sz w:val="22"/>
        </w:rPr>
        <w:t>Fees</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Cash</w:t>
      </w:r>
      <w:r>
        <w:rPr>
          <w:spacing w:val="-6"/>
          <w:sz w:val="22"/>
        </w:rPr>
        <w:t> </w:t>
      </w:r>
      <w:r>
        <w:rPr>
          <w:sz w:val="22"/>
        </w:rPr>
        <w:t>and</w:t>
      </w:r>
      <w:r>
        <w:rPr>
          <w:spacing w:val="-4"/>
          <w:sz w:val="22"/>
        </w:rPr>
        <w:t> </w:t>
      </w:r>
      <w:r>
        <w:rPr>
          <w:sz w:val="22"/>
        </w:rPr>
        <w:t>non-cash</w:t>
      </w:r>
      <w:r>
        <w:rPr>
          <w:spacing w:val="-6"/>
          <w:sz w:val="22"/>
        </w:rPr>
        <w:t> </w:t>
      </w:r>
      <w:r>
        <w:rPr>
          <w:sz w:val="22"/>
        </w:rPr>
        <w:t>contributions</w:t>
      </w:r>
      <w:r>
        <w:rPr>
          <w:spacing w:val="-6"/>
          <w:sz w:val="22"/>
        </w:rPr>
        <w:t> </w:t>
      </w:r>
      <w:r>
        <w:rPr>
          <w:sz w:val="22"/>
        </w:rPr>
        <w:t>from</w:t>
      </w:r>
      <w:r>
        <w:rPr>
          <w:spacing w:val="-3"/>
          <w:sz w:val="22"/>
        </w:rPr>
        <w:t> </w:t>
      </w:r>
      <w:r>
        <w:rPr>
          <w:sz w:val="22"/>
        </w:rPr>
        <w:t>other</w:t>
      </w:r>
      <w:r>
        <w:rPr>
          <w:spacing w:val="-4"/>
          <w:sz w:val="22"/>
        </w:rPr>
        <w:t> </w:t>
      </w:r>
      <w:r>
        <w:rPr>
          <w:sz w:val="22"/>
        </w:rPr>
        <w:t>parties</w:t>
      </w:r>
      <w:r>
        <w:rPr>
          <w:spacing w:val="-4"/>
          <w:sz w:val="22"/>
        </w:rPr>
        <w:t> </w:t>
      </w:r>
      <w:r>
        <w:rPr>
          <w:sz w:val="22"/>
        </w:rPr>
        <w:t>(i.e.</w:t>
      </w:r>
      <w:r>
        <w:rPr>
          <w:spacing w:val="-2"/>
          <w:sz w:val="22"/>
        </w:rPr>
        <w:t> </w:t>
      </w:r>
      <w:r>
        <w:rPr>
          <w:sz w:val="22"/>
        </w:rPr>
        <w:t>developers,</w:t>
      </w:r>
      <w:r>
        <w:rPr>
          <w:spacing w:val="-3"/>
          <w:sz w:val="22"/>
        </w:rPr>
        <w:t> </w:t>
      </w:r>
      <w:r>
        <w:rPr>
          <w:sz w:val="22"/>
        </w:rPr>
        <w:t>community</w:t>
      </w:r>
      <w:r>
        <w:rPr>
          <w:spacing w:val="-4"/>
          <w:sz w:val="22"/>
        </w:rPr>
        <w:t> </w:t>
      </w:r>
      <w:r>
        <w:rPr>
          <w:spacing w:val="-2"/>
          <w:sz w:val="22"/>
        </w:rPr>
        <w:t>groups)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Interest</w:t>
      </w:r>
      <w:r>
        <w:rPr>
          <w:spacing w:val="-4"/>
          <w:sz w:val="22"/>
        </w:rPr>
        <w:t> </w:t>
      </w:r>
      <w:r>
        <w:rPr>
          <w:sz w:val="22"/>
        </w:rPr>
        <w:t>from</w:t>
      </w:r>
      <w:r>
        <w:rPr>
          <w:spacing w:val="-2"/>
          <w:sz w:val="22"/>
        </w:rPr>
        <w:t> investments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Sale</w:t>
      </w:r>
      <w:r>
        <w:rPr>
          <w:spacing w:val="-1"/>
          <w:sz w:val="22"/>
        </w:rPr>
        <w:t> </w:t>
      </w:r>
      <w:r>
        <w:rPr>
          <w:sz w:val="22"/>
        </w:rPr>
        <w:t>of </w:t>
      </w:r>
      <w:r>
        <w:rPr>
          <w:spacing w:val="-2"/>
          <w:sz w:val="22"/>
        </w:rPr>
        <w:t>Assets</w:t>
      </w:r>
    </w:p>
    <w:p>
      <w:pPr>
        <w:pStyle w:val="BodyText"/>
        <w:spacing w:before="2"/>
        <w:rPr>
          <w:sz w:val="24"/>
        </w:rPr>
      </w:pPr>
    </w:p>
    <w:p>
      <w:pPr>
        <w:pStyle w:val="BodyText"/>
        <w:ind w:left="1440" w:right="1433"/>
        <w:jc w:val="both"/>
      </w:pPr>
      <w:r>
        <w:rPr/>
        <w:t>Rates are the most significant revenue source for Council and</w:t>
      </w:r>
      <w:r>
        <w:rPr>
          <w:spacing w:val="-1"/>
        </w:rPr>
        <w:t> </w:t>
      </w:r>
      <w:r>
        <w:rPr/>
        <w:t>make up roughly 57.7% of its annual income.</w:t>
      </w:r>
    </w:p>
    <w:p>
      <w:pPr>
        <w:pStyle w:val="BodyText"/>
      </w:pPr>
    </w:p>
    <w:p>
      <w:pPr>
        <w:pStyle w:val="BodyText"/>
        <w:ind w:left="1440" w:right="1434"/>
        <w:jc w:val="both"/>
      </w:pPr>
      <w:r>
        <w:rPr/>
        <w:t>The introduction of rate capping under the Victorian Government’s Fair Go Rates System (FGRS)</w:t>
      </w:r>
      <w:r>
        <w:rPr>
          <w:spacing w:val="-16"/>
        </w:rPr>
        <w:t> </w:t>
      </w:r>
      <w:r>
        <w:rPr/>
        <w:t>has</w:t>
      </w:r>
      <w:r>
        <w:rPr>
          <w:spacing w:val="-15"/>
        </w:rPr>
        <w:t> </w:t>
      </w:r>
      <w:r>
        <w:rPr/>
        <w:t>brought</w:t>
      </w:r>
      <w:r>
        <w:rPr>
          <w:spacing w:val="-15"/>
        </w:rPr>
        <w:t> </w:t>
      </w:r>
      <w:r>
        <w:rPr/>
        <w:t>a</w:t>
      </w:r>
      <w:r>
        <w:rPr>
          <w:spacing w:val="-16"/>
        </w:rPr>
        <w:t> </w:t>
      </w:r>
      <w:r>
        <w:rPr/>
        <w:t>renewed</w:t>
      </w:r>
      <w:r>
        <w:rPr>
          <w:spacing w:val="-15"/>
        </w:rPr>
        <w:t> </w:t>
      </w:r>
      <w:r>
        <w:rPr/>
        <w:t>focus</w:t>
      </w:r>
      <w:r>
        <w:rPr>
          <w:spacing w:val="-15"/>
        </w:rPr>
        <w:t> </w:t>
      </w:r>
      <w:r>
        <w:rPr/>
        <w:t>to</w:t>
      </w:r>
      <w:r>
        <w:rPr>
          <w:spacing w:val="-15"/>
        </w:rPr>
        <w:t> </w:t>
      </w:r>
      <w:r>
        <w:rPr/>
        <w:t>Council’s</w:t>
      </w:r>
      <w:r>
        <w:rPr>
          <w:spacing w:val="-16"/>
        </w:rPr>
        <w:t> </w:t>
      </w:r>
      <w:r>
        <w:rPr/>
        <w:t>long-term</w:t>
      </w:r>
      <w:r>
        <w:rPr>
          <w:spacing w:val="-15"/>
        </w:rPr>
        <w:t> </w:t>
      </w:r>
      <w:r>
        <w:rPr/>
        <w:t>financial</w:t>
      </w:r>
      <w:r>
        <w:rPr>
          <w:spacing w:val="-15"/>
        </w:rPr>
        <w:t> </w:t>
      </w:r>
      <w:r>
        <w:rPr/>
        <w:t>sustainability.</w:t>
      </w:r>
      <w:r>
        <w:rPr>
          <w:spacing w:val="-16"/>
        </w:rPr>
        <w:t> </w:t>
      </w:r>
      <w:r>
        <w:rPr/>
        <w:t>The</w:t>
      </w:r>
      <w:r>
        <w:rPr>
          <w:spacing w:val="-15"/>
        </w:rPr>
        <w:t> </w:t>
      </w:r>
      <w:r>
        <w:rPr/>
        <w:t>FGRS continues</w:t>
      </w:r>
      <w:r>
        <w:rPr>
          <w:spacing w:val="-4"/>
        </w:rPr>
        <w:t> </w:t>
      </w:r>
      <w:r>
        <w:rPr/>
        <w:t>to</w:t>
      </w:r>
      <w:r>
        <w:rPr>
          <w:spacing w:val="-6"/>
        </w:rPr>
        <w:t> </w:t>
      </w:r>
      <w:r>
        <w:rPr/>
        <w:t>restrict</w:t>
      </w:r>
      <w:r>
        <w:rPr>
          <w:spacing w:val="-4"/>
        </w:rPr>
        <w:t> </w:t>
      </w:r>
      <w:r>
        <w:rPr/>
        <w:t>Council’s ability to</w:t>
      </w:r>
      <w:r>
        <w:rPr>
          <w:spacing w:val="-4"/>
        </w:rPr>
        <w:t> </w:t>
      </w:r>
      <w:r>
        <w:rPr/>
        <w:t>raise</w:t>
      </w:r>
      <w:r>
        <w:rPr>
          <w:spacing w:val="-5"/>
        </w:rPr>
        <w:t> </w:t>
      </w:r>
      <w:r>
        <w:rPr/>
        <w:t>revenue</w:t>
      </w:r>
      <w:r>
        <w:rPr>
          <w:spacing w:val="-2"/>
        </w:rPr>
        <w:t> </w:t>
      </w:r>
      <w:r>
        <w:rPr/>
        <w:t>above</w:t>
      </w:r>
      <w:r>
        <w:rPr>
          <w:spacing w:val="-5"/>
        </w:rPr>
        <w:t> </w:t>
      </w:r>
      <w:r>
        <w:rPr/>
        <w:t>the</w:t>
      </w:r>
      <w:r>
        <w:rPr>
          <w:spacing w:val="-4"/>
        </w:rPr>
        <w:t> </w:t>
      </w:r>
      <w:r>
        <w:rPr/>
        <w:t>rate</w:t>
      </w:r>
      <w:r>
        <w:rPr>
          <w:spacing w:val="-6"/>
        </w:rPr>
        <w:t> </w:t>
      </w:r>
      <w:r>
        <w:rPr/>
        <w:t>cap</w:t>
      </w:r>
      <w:r>
        <w:rPr>
          <w:spacing w:val="-4"/>
        </w:rPr>
        <w:t> </w:t>
      </w:r>
      <w:r>
        <w:rPr/>
        <w:t>unless</w:t>
      </w:r>
      <w:r>
        <w:rPr>
          <w:spacing w:val="-2"/>
        </w:rPr>
        <w:t> </w:t>
      </w:r>
      <w:r>
        <w:rPr/>
        <w:t>application</w:t>
      </w:r>
      <w:r>
        <w:rPr>
          <w:spacing w:val="-1"/>
        </w:rPr>
        <w:t> </w:t>
      </w:r>
      <w:r>
        <w:rPr/>
        <w:t>is made</w:t>
      </w:r>
      <w:r>
        <w:rPr>
          <w:spacing w:val="-13"/>
        </w:rPr>
        <w:t> </w:t>
      </w:r>
      <w:r>
        <w:rPr/>
        <w:t>to</w:t>
      </w:r>
      <w:r>
        <w:rPr>
          <w:spacing w:val="-12"/>
        </w:rPr>
        <w:t> </w:t>
      </w:r>
      <w:r>
        <w:rPr/>
        <w:t>the</w:t>
      </w:r>
      <w:r>
        <w:rPr>
          <w:spacing w:val="-13"/>
        </w:rPr>
        <w:t> </w:t>
      </w:r>
      <w:r>
        <w:rPr/>
        <w:t>Essential</w:t>
      </w:r>
      <w:r>
        <w:rPr>
          <w:spacing w:val="-12"/>
        </w:rPr>
        <w:t> </w:t>
      </w:r>
      <w:r>
        <w:rPr/>
        <w:t>Services</w:t>
      </w:r>
      <w:r>
        <w:rPr>
          <w:spacing w:val="-12"/>
        </w:rPr>
        <w:t> </w:t>
      </w:r>
      <w:r>
        <w:rPr/>
        <w:t>Commission</w:t>
      </w:r>
      <w:r>
        <w:rPr>
          <w:spacing w:val="-12"/>
        </w:rPr>
        <w:t> </w:t>
      </w:r>
      <w:r>
        <w:rPr/>
        <w:t>for</w:t>
      </w:r>
      <w:r>
        <w:rPr>
          <w:spacing w:val="-12"/>
        </w:rPr>
        <w:t> </w:t>
      </w:r>
      <w:r>
        <w:rPr/>
        <w:t>a</w:t>
      </w:r>
      <w:r>
        <w:rPr>
          <w:spacing w:val="-14"/>
        </w:rPr>
        <w:t> </w:t>
      </w:r>
      <w:r>
        <w:rPr/>
        <w:t>variation.</w:t>
      </w:r>
      <w:r>
        <w:rPr>
          <w:spacing w:val="-13"/>
        </w:rPr>
        <w:t> </w:t>
      </w:r>
      <w:r>
        <w:rPr/>
        <w:t>Maintaining</w:t>
      </w:r>
      <w:r>
        <w:rPr>
          <w:spacing w:val="-12"/>
        </w:rPr>
        <w:t> </w:t>
      </w:r>
      <w:r>
        <w:rPr/>
        <w:t>service</w:t>
      </w:r>
      <w:r>
        <w:rPr>
          <w:spacing w:val="-12"/>
        </w:rPr>
        <w:t> </w:t>
      </w:r>
      <w:r>
        <w:rPr/>
        <w:t>delivery</w:t>
      </w:r>
      <w:r>
        <w:rPr>
          <w:spacing w:val="-12"/>
        </w:rPr>
        <w:t> </w:t>
      </w:r>
      <w:r>
        <w:rPr/>
        <w:t>levels and</w:t>
      </w:r>
      <w:r>
        <w:rPr>
          <w:spacing w:val="-7"/>
        </w:rPr>
        <w:t> </w:t>
      </w:r>
      <w:r>
        <w:rPr/>
        <w:t>investing</w:t>
      </w:r>
      <w:r>
        <w:rPr>
          <w:spacing w:val="-7"/>
        </w:rPr>
        <w:t> </w:t>
      </w:r>
      <w:r>
        <w:rPr/>
        <w:t>in</w:t>
      </w:r>
      <w:r>
        <w:rPr>
          <w:spacing w:val="-9"/>
        </w:rPr>
        <w:t> </w:t>
      </w:r>
      <w:r>
        <w:rPr/>
        <w:t>community</w:t>
      </w:r>
      <w:r>
        <w:rPr>
          <w:spacing w:val="-7"/>
        </w:rPr>
        <w:t> </w:t>
      </w:r>
      <w:r>
        <w:rPr/>
        <w:t>assets</w:t>
      </w:r>
      <w:r>
        <w:rPr>
          <w:spacing w:val="-9"/>
        </w:rPr>
        <w:t> </w:t>
      </w:r>
      <w:r>
        <w:rPr/>
        <w:t>remain</w:t>
      </w:r>
      <w:r>
        <w:rPr>
          <w:spacing w:val="-11"/>
        </w:rPr>
        <w:t> </w:t>
      </w:r>
      <w:r>
        <w:rPr/>
        <w:t>key</w:t>
      </w:r>
      <w:r>
        <w:rPr>
          <w:spacing w:val="-7"/>
        </w:rPr>
        <w:t> </w:t>
      </w:r>
      <w:r>
        <w:rPr/>
        <w:t>priorities</w:t>
      </w:r>
      <w:r>
        <w:rPr>
          <w:spacing w:val="-7"/>
        </w:rPr>
        <w:t> </w:t>
      </w:r>
      <w:r>
        <w:rPr/>
        <w:t>for</w:t>
      </w:r>
      <w:r>
        <w:rPr>
          <w:spacing w:val="-6"/>
        </w:rPr>
        <w:t> </w:t>
      </w:r>
      <w:r>
        <w:rPr/>
        <w:t>Council.</w:t>
      </w:r>
      <w:r>
        <w:rPr>
          <w:spacing w:val="-7"/>
        </w:rPr>
        <w:t> </w:t>
      </w:r>
      <w:r>
        <w:rPr/>
        <w:t>This</w:t>
      </w:r>
      <w:r>
        <w:rPr>
          <w:spacing w:val="-7"/>
        </w:rPr>
        <w:t> </w:t>
      </w:r>
      <w:r>
        <w:rPr/>
        <w:t>strategy</w:t>
      </w:r>
      <w:r>
        <w:rPr>
          <w:spacing w:val="-9"/>
        </w:rPr>
        <w:t> </w:t>
      </w:r>
      <w:r>
        <w:rPr/>
        <w:t>will</w:t>
      </w:r>
      <w:r>
        <w:rPr>
          <w:spacing w:val="-7"/>
        </w:rPr>
        <w:t> </w:t>
      </w:r>
      <w:r>
        <w:rPr/>
        <w:t>address Council’s reliance on rate income and provide options to actively reduce that reliance.</w:t>
      </w:r>
    </w:p>
    <w:p>
      <w:pPr>
        <w:pStyle w:val="BodyText"/>
        <w:spacing w:before="6"/>
        <w:rPr>
          <w:sz w:val="24"/>
        </w:rPr>
      </w:pPr>
    </w:p>
    <w:p>
      <w:pPr>
        <w:pStyle w:val="BodyText"/>
        <w:ind w:left="1440" w:right="1434"/>
        <w:jc w:val="both"/>
      </w:pPr>
      <w:r>
        <w:rPr>
          <w:color w:val="31312F"/>
        </w:rPr>
        <w:t>It is important to note that CPI forecasts have been conservative in the past creating a gap between Council’s revenue raised through rates and the costs to deliver services. The gap between</w:t>
      </w:r>
      <w:r>
        <w:rPr>
          <w:color w:val="31312F"/>
          <w:spacing w:val="-4"/>
        </w:rPr>
        <w:t> </w:t>
      </w:r>
      <w:r>
        <w:rPr>
          <w:color w:val="31312F"/>
        </w:rPr>
        <w:t>the</w:t>
      </w:r>
      <w:r>
        <w:rPr>
          <w:color w:val="31312F"/>
          <w:spacing w:val="-4"/>
        </w:rPr>
        <w:t> </w:t>
      </w:r>
      <w:r>
        <w:rPr>
          <w:color w:val="31312F"/>
        </w:rPr>
        <w:t>rate</w:t>
      </w:r>
      <w:r>
        <w:rPr>
          <w:color w:val="31312F"/>
          <w:spacing w:val="-4"/>
        </w:rPr>
        <w:t> </w:t>
      </w:r>
      <w:r>
        <w:rPr>
          <w:color w:val="31312F"/>
        </w:rPr>
        <w:t>cap</w:t>
      </w:r>
      <w:r>
        <w:rPr>
          <w:color w:val="31312F"/>
          <w:spacing w:val="-5"/>
        </w:rPr>
        <w:t> </w:t>
      </w:r>
      <w:r>
        <w:rPr>
          <w:color w:val="31312F"/>
        </w:rPr>
        <w:t>and</w:t>
      </w:r>
      <w:r>
        <w:rPr>
          <w:color w:val="31312F"/>
          <w:spacing w:val="-4"/>
        </w:rPr>
        <w:t> </w:t>
      </w:r>
      <w:r>
        <w:rPr>
          <w:color w:val="31312F"/>
        </w:rPr>
        <w:t>actual/forecast</w:t>
      </w:r>
      <w:r>
        <w:rPr>
          <w:color w:val="31312F"/>
          <w:spacing w:val="-5"/>
        </w:rPr>
        <w:t> </w:t>
      </w:r>
      <w:r>
        <w:rPr>
          <w:color w:val="31312F"/>
        </w:rPr>
        <w:t>CPI</w:t>
      </w:r>
      <w:r>
        <w:rPr>
          <w:color w:val="31312F"/>
          <w:spacing w:val="-1"/>
        </w:rPr>
        <w:t> </w:t>
      </w:r>
      <w:r>
        <w:rPr>
          <w:color w:val="31312F"/>
        </w:rPr>
        <w:t>across</w:t>
      </w:r>
      <w:r>
        <w:rPr>
          <w:color w:val="31312F"/>
          <w:spacing w:val="-3"/>
        </w:rPr>
        <w:t> </w:t>
      </w:r>
      <w:r>
        <w:rPr>
          <w:color w:val="31312F"/>
        </w:rPr>
        <w:t>the</w:t>
      </w:r>
      <w:r>
        <w:rPr>
          <w:color w:val="31312F"/>
          <w:spacing w:val="-5"/>
        </w:rPr>
        <w:t> </w:t>
      </w:r>
      <w:r>
        <w:rPr>
          <w:color w:val="31312F"/>
        </w:rPr>
        <w:t>last</w:t>
      </w:r>
      <w:r>
        <w:rPr>
          <w:color w:val="31312F"/>
          <w:spacing w:val="-5"/>
        </w:rPr>
        <w:t> </w:t>
      </w:r>
      <w:r>
        <w:rPr>
          <w:color w:val="31312F"/>
        </w:rPr>
        <w:t>5</w:t>
      </w:r>
      <w:r>
        <w:rPr>
          <w:color w:val="31312F"/>
          <w:spacing w:val="-3"/>
        </w:rPr>
        <w:t> </w:t>
      </w:r>
      <w:r>
        <w:rPr>
          <w:color w:val="31312F"/>
        </w:rPr>
        <w:t>years</w:t>
      </w:r>
      <w:r>
        <w:rPr>
          <w:color w:val="31312F"/>
          <w:spacing w:val="-3"/>
        </w:rPr>
        <w:t> </w:t>
      </w:r>
      <w:r>
        <w:rPr>
          <w:color w:val="31312F"/>
        </w:rPr>
        <w:t>can</w:t>
      </w:r>
      <w:r>
        <w:rPr>
          <w:color w:val="31312F"/>
          <w:spacing w:val="-9"/>
        </w:rPr>
        <w:t> </w:t>
      </w:r>
      <w:r>
        <w:rPr>
          <w:color w:val="31312F"/>
        </w:rPr>
        <w:t>be</w:t>
      </w:r>
      <w:r>
        <w:rPr>
          <w:color w:val="31312F"/>
          <w:spacing w:val="-3"/>
        </w:rPr>
        <w:t> </w:t>
      </w:r>
      <w:r>
        <w:rPr>
          <w:color w:val="31312F"/>
        </w:rPr>
        <w:t>seen</w:t>
      </w:r>
      <w:r>
        <w:rPr>
          <w:color w:val="31312F"/>
          <w:spacing w:val="-3"/>
        </w:rPr>
        <w:t> </w:t>
      </w:r>
      <w:r>
        <w:rPr>
          <w:color w:val="31312F"/>
        </w:rPr>
        <w:t>in</w:t>
      </w:r>
      <w:r>
        <w:rPr>
          <w:color w:val="31312F"/>
          <w:spacing w:val="-7"/>
        </w:rPr>
        <w:t> </w:t>
      </w:r>
      <w:r>
        <w:rPr>
          <w:color w:val="31312F"/>
        </w:rPr>
        <w:t>the</w:t>
      </w:r>
      <w:r>
        <w:rPr>
          <w:color w:val="31312F"/>
          <w:spacing w:val="-5"/>
        </w:rPr>
        <w:t> </w:t>
      </w:r>
      <w:r>
        <w:rPr>
          <w:color w:val="31312F"/>
        </w:rPr>
        <w:t>table </w:t>
      </w:r>
      <w:r>
        <w:rPr>
          <w:color w:val="31312F"/>
          <w:spacing w:val="-2"/>
        </w:rPr>
        <w:t>below:</w:t>
      </w:r>
    </w:p>
    <w:p>
      <w:pPr>
        <w:spacing w:after="0"/>
        <w:jc w:val="both"/>
        <w:sectPr>
          <w:pgSz w:w="11910" w:h="16840"/>
          <w:pgMar w:header="0" w:footer="1078" w:top="1360" w:bottom="1260" w:left="0" w:right="0"/>
        </w:sectPr>
      </w:pPr>
    </w:p>
    <w:p>
      <w:pPr>
        <w:pStyle w:val="BodyText"/>
        <w:rPr>
          <w:sz w:val="20"/>
        </w:rPr>
      </w:pPr>
      <w:r>
        <w:rPr/>
        <w:drawing>
          <wp:anchor distT="0" distB="0" distL="0" distR="0" allowOverlap="1" layoutInCell="1" locked="0" behindDoc="0" simplePos="0" relativeHeight="15731712">
            <wp:simplePos x="0" y="0"/>
            <wp:positionH relativeFrom="page">
              <wp:posOffset>0</wp:posOffset>
            </wp:positionH>
            <wp:positionV relativeFrom="page">
              <wp:posOffset>9829800</wp:posOffset>
            </wp:positionV>
            <wp:extent cx="7560564" cy="101981"/>
            <wp:effectExtent l="0" t="0" r="0" b="0"/>
            <wp:wrapNone/>
            <wp:docPr id="9" name="image2.png"/>
            <wp:cNvGraphicFramePr>
              <a:graphicFrameLocks noChangeAspect="1"/>
            </wp:cNvGraphicFramePr>
            <a:graphic>
              <a:graphicData uri="http://schemas.openxmlformats.org/drawingml/2006/picture">
                <pic:pic>
                  <pic:nvPicPr>
                    <pic:cNvPr id="10"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sz w:val="20"/>
        </w:rPr>
      </w:pPr>
    </w:p>
    <w:p>
      <w:pPr>
        <w:pStyle w:val="BodyText"/>
        <w:spacing w:before="11"/>
        <w:rPr>
          <w:sz w:val="24"/>
        </w:rPr>
      </w:pPr>
    </w:p>
    <w:p>
      <w:pPr>
        <w:tabs>
          <w:tab w:pos="4703" w:val="left" w:leader="none"/>
          <w:tab w:pos="5937" w:val="left" w:leader="none"/>
          <w:tab w:pos="7096" w:val="left" w:leader="none"/>
          <w:tab w:pos="8229" w:val="left" w:leader="none"/>
          <w:tab w:pos="9364" w:val="left" w:leader="none"/>
          <w:tab w:pos="10307" w:val="left" w:leader="none"/>
        </w:tabs>
        <w:spacing w:before="91"/>
        <w:ind w:left="3549" w:right="0" w:firstLine="0"/>
        <w:jc w:val="left"/>
        <w:rPr>
          <w:b/>
          <w:sz w:val="16"/>
        </w:rPr>
      </w:pPr>
      <w:r>
        <w:rPr/>
        <w:drawing>
          <wp:anchor distT="0" distB="0" distL="0" distR="0" allowOverlap="1" layoutInCell="1" locked="0" behindDoc="1" simplePos="0" relativeHeight="486851072">
            <wp:simplePos x="0" y="0"/>
            <wp:positionH relativeFrom="page">
              <wp:posOffset>6461760</wp:posOffset>
            </wp:positionH>
            <wp:positionV relativeFrom="paragraph">
              <wp:posOffset>-479883</wp:posOffset>
            </wp:positionV>
            <wp:extent cx="545591" cy="637031"/>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545591" cy="637031"/>
                    </a:xfrm>
                    <a:prstGeom prst="rect">
                      <a:avLst/>
                    </a:prstGeom>
                  </pic:spPr>
                </pic:pic>
              </a:graphicData>
            </a:graphic>
          </wp:anchor>
        </w:drawing>
      </w:r>
      <w:r>
        <w:rPr>
          <w:b/>
          <w:color w:val="31312F"/>
          <w:w w:val="95"/>
          <w:sz w:val="20"/>
        </w:rPr>
        <w:t>2020-</w:t>
      </w:r>
      <w:r>
        <w:rPr>
          <w:b/>
          <w:color w:val="31312F"/>
          <w:spacing w:val="-5"/>
          <w:w w:val="95"/>
          <w:sz w:val="20"/>
        </w:rPr>
        <w:t>21</w:t>
      </w:r>
      <w:r>
        <w:rPr>
          <w:b/>
          <w:color w:val="31312F"/>
          <w:sz w:val="20"/>
        </w:rPr>
        <w:tab/>
        <w:t>2021-</w:t>
      </w:r>
      <w:r>
        <w:rPr>
          <w:b/>
          <w:color w:val="31312F"/>
          <w:spacing w:val="-7"/>
          <w:sz w:val="20"/>
        </w:rPr>
        <w:t> </w:t>
      </w:r>
      <w:r>
        <w:rPr>
          <w:b/>
          <w:color w:val="31312F"/>
          <w:spacing w:val="-5"/>
          <w:sz w:val="20"/>
        </w:rPr>
        <w:t>22</w:t>
      </w:r>
      <w:r>
        <w:rPr>
          <w:b/>
          <w:color w:val="31312F"/>
          <w:sz w:val="20"/>
        </w:rPr>
        <w:tab/>
      </w:r>
      <w:r>
        <w:rPr>
          <w:b/>
          <w:color w:val="31312F"/>
          <w:w w:val="95"/>
          <w:sz w:val="20"/>
        </w:rPr>
        <w:t>2022-</w:t>
      </w:r>
      <w:r>
        <w:rPr>
          <w:b/>
          <w:color w:val="31312F"/>
          <w:spacing w:val="-5"/>
          <w:sz w:val="20"/>
        </w:rPr>
        <w:t>23</w:t>
      </w:r>
      <w:r>
        <w:rPr>
          <w:b/>
          <w:color w:val="31312F"/>
          <w:sz w:val="20"/>
        </w:rPr>
        <w:tab/>
      </w:r>
      <w:r>
        <w:rPr>
          <w:b/>
          <w:color w:val="31312F"/>
          <w:w w:val="95"/>
          <w:sz w:val="20"/>
        </w:rPr>
        <w:t>2023-</w:t>
      </w:r>
      <w:r>
        <w:rPr>
          <w:b/>
          <w:color w:val="31312F"/>
          <w:spacing w:val="-5"/>
          <w:sz w:val="20"/>
        </w:rPr>
        <w:t>24</w:t>
      </w:r>
      <w:r>
        <w:rPr>
          <w:b/>
          <w:color w:val="31312F"/>
          <w:sz w:val="20"/>
        </w:rPr>
        <w:tab/>
      </w:r>
      <w:r>
        <w:rPr>
          <w:b/>
          <w:color w:val="31312F"/>
          <w:w w:val="95"/>
          <w:sz w:val="20"/>
        </w:rPr>
        <w:t>2024-</w:t>
      </w:r>
      <w:r>
        <w:rPr>
          <w:b/>
          <w:color w:val="31312F"/>
          <w:spacing w:val="-5"/>
          <w:sz w:val="20"/>
        </w:rPr>
        <w:t>25</w:t>
      </w:r>
      <w:r>
        <w:rPr>
          <w:b/>
          <w:color w:val="31312F"/>
          <w:sz w:val="20"/>
        </w:rPr>
        <w:tab/>
      </w:r>
      <w:r>
        <w:rPr>
          <w:b/>
          <w:color w:val="31312F"/>
          <w:w w:val="95"/>
          <w:sz w:val="20"/>
        </w:rPr>
        <w:t>2025-</w:t>
      </w:r>
      <w:r>
        <w:rPr>
          <w:b/>
          <w:color w:val="31312F"/>
          <w:spacing w:val="-5"/>
          <w:sz w:val="20"/>
        </w:rPr>
        <w:t>26</w:t>
      </w:r>
      <w:r>
        <w:rPr>
          <w:b/>
          <w:color w:val="31312F"/>
          <w:sz w:val="20"/>
        </w:rPr>
        <w:tab/>
      </w:r>
      <w:r>
        <w:rPr>
          <w:b/>
          <w:color w:val="31312F"/>
          <w:spacing w:val="-2"/>
          <w:position w:val="4"/>
          <w:sz w:val="16"/>
        </w:rPr>
        <w:t>Cumulative</w:t>
      </w:r>
    </w:p>
    <w:p>
      <w:pPr>
        <w:pStyle w:val="BodyText"/>
        <w:spacing w:before="7"/>
        <w:rPr>
          <w:b/>
          <w:sz w:val="21"/>
        </w:rPr>
      </w:pPr>
    </w:p>
    <w:tbl>
      <w:tblPr>
        <w:tblW w:w="0" w:type="auto"/>
        <w:jc w:val="left"/>
        <w:tblInd w:w="14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48"/>
        <w:gridCol w:w="1142"/>
        <w:gridCol w:w="1226"/>
        <w:gridCol w:w="1185"/>
        <w:gridCol w:w="1132"/>
        <w:gridCol w:w="1134"/>
        <w:gridCol w:w="1132"/>
        <w:gridCol w:w="1134"/>
      </w:tblGrid>
      <w:tr>
        <w:trPr>
          <w:trHeight w:val="252" w:hRule="atLeast"/>
        </w:trPr>
        <w:tc>
          <w:tcPr>
            <w:tcW w:w="1848" w:type="dxa"/>
            <w:tcBorders>
              <w:left w:val="nil"/>
              <w:bottom w:val="single" w:sz="2" w:space="0" w:color="95B3D6"/>
              <w:right w:val="single" w:sz="2" w:space="0" w:color="95B3D6"/>
            </w:tcBorders>
            <w:shd w:val="clear" w:color="auto" w:fill="DBE4F0"/>
          </w:tcPr>
          <w:p>
            <w:pPr>
              <w:pStyle w:val="TableParagraph"/>
              <w:spacing w:line="220" w:lineRule="exact"/>
              <w:ind w:left="261"/>
              <w:jc w:val="left"/>
              <w:rPr>
                <w:b/>
                <w:sz w:val="20"/>
              </w:rPr>
            </w:pPr>
            <w:r>
              <w:rPr>
                <w:b/>
                <w:color w:val="31312F"/>
                <w:sz w:val="20"/>
              </w:rPr>
              <w:t>Actual</w:t>
            </w:r>
            <w:r>
              <w:rPr>
                <w:b/>
                <w:color w:val="31312F"/>
                <w:spacing w:val="-10"/>
                <w:sz w:val="20"/>
              </w:rPr>
              <w:t> </w:t>
            </w:r>
            <w:r>
              <w:rPr>
                <w:b/>
                <w:color w:val="31312F"/>
                <w:spacing w:val="-2"/>
                <w:sz w:val="20"/>
              </w:rPr>
              <w:t>Inflation</w:t>
            </w:r>
          </w:p>
        </w:tc>
        <w:tc>
          <w:tcPr>
            <w:tcW w:w="1142" w:type="dxa"/>
            <w:tcBorders>
              <w:left w:val="single" w:sz="2" w:space="0" w:color="95B3D6"/>
              <w:bottom w:val="single" w:sz="2" w:space="0" w:color="95B3D6"/>
              <w:right w:val="single" w:sz="2" w:space="0" w:color="95B3D6"/>
            </w:tcBorders>
            <w:shd w:val="clear" w:color="auto" w:fill="DBE4F0"/>
          </w:tcPr>
          <w:p>
            <w:pPr>
              <w:pStyle w:val="TableParagraph"/>
              <w:ind w:right="339"/>
              <w:jc w:val="right"/>
              <w:rPr>
                <w:sz w:val="22"/>
              </w:rPr>
            </w:pPr>
            <w:r>
              <w:rPr>
                <w:color w:val="31312F"/>
                <w:spacing w:val="-5"/>
                <w:sz w:val="22"/>
              </w:rPr>
              <w:t>1.4</w:t>
            </w:r>
          </w:p>
        </w:tc>
        <w:tc>
          <w:tcPr>
            <w:tcW w:w="1226" w:type="dxa"/>
            <w:tcBorders>
              <w:left w:val="single" w:sz="2" w:space="0" w:color="95B3D6"/>
              <w:bottom w:val="single" w:sz="2" w:space="0" w:color="95B3D6"/>
              <w:right w:val="single" w:sz="2" w:space="0" w:color="95B3D6"/>
            </w:tcBorders>
            <w:shd w:val="clear" w:color="auto" w:fill="DBE4F0"/>
          </w:tcPr>
          <w:p>
            <w:pPr>
              <w:pStyle w:val="TableParagraph"/>
              <w:ind w:left="440" w:right="297"/>
              <w:rPr>
                <w:sz w:val="22"/>
              </w:rPr>
            </w:pPr>
            <w:r>
              <w:rPr>
                <w:color w:val="31312F"/>
                <w:spacing w:val="-5"/>
                <w:sz w:val="22"/>
              </w:rPr>
              <w:t>4.0</w:t>
            </w:r>
          </w:p>
        </w:tc>
        <w:tc>
          <w:tcPr>
            <w:tcW w:w="1185" w:type="dxa"/>
            <w:tcBorders>
              <w:left w:val="single" w:sz="2" w:space="0" w:color="95B3D6"/>
              <w:bottom w:val="single" w:sz="2" w:space="0" w:color="95B3D6"/>
              <w:right w:val="single" w:sz="2" w:space="0" w:color="95B3D6"/>
            </w:tcBorders>
            <w:shd w:val="clear" w:color="auto" w:fill="DBE4F0"/>
          </w:tcPr>
          <w:p>
            <w:pPr>
              <w:pStyle w:val="TableParagraph"/>
              <w:ind w:left="507"/>
              <w:jc w:val="left"/>
              <w:rPr>
                <w:sz w:val="22"/>
              </w:rPr>
            </w:pPr>
            <w:r>
              <w:rPr>
                <w:color w:val="31312F"/>
                <w:spacing w:val="-5"/>
                <w:sz w:val="22"/>
              </w:rPr>
              <w:t>7.0</w:t>
            </w:r>
          </w:p>
        </w:tc>
        <w:tc>
          <w:tcPr>
            <w:tcW w:w="1132" w:type="dxa"/>
            <w:tcBorders>
              <w:left w:val="single" w:sz="2" w:space="0" w:color="95B3D6"/>
              <w:bottom w:val="single" w:sz="2" w:space="0" w:color="95B3D6"/>
              <w:right w:val="single" w:sz="2" w:space="0" w:color="95B3D6"/>
            </w:tcBorders>
            <w:shd w:val="clear" w:color="auto" w:fill="DBE4F0"/>
          </w:tcPr>
          <w:p>
            <w:pPr>
              <w:pStyle w:val="TableParagraph"/>
              <w:ind w:left="394" w:right="246"/>
              <w:rPr>
                <w:sz w:val="22"/>
              </w:rPr>
            </w:pPr>
            <w:r>
              <w:rPr>
                <w:color w:val="31312F"/>
                <w:spacing w:val="-5"/>
                <w:sz w:val="22"/>
              </w:rPr>
              <w:t>4.9</w:t>
            </w:r>
          </w:p>
        </w:tc>
        <w:tc>
          <w:tcPr>
            <w:tcW w:w="1134" w:type="dxa"/>
            <w:tcBorders>
              <w:left w:val="single" w:sz="2" w:space="0" w:color="95B3D6"/>
              <w:bottom w:val="single" w:sz="2" w:space="0" w:color="95B3D6"/>
              <w:right w:val="single" w:sz="2" w:space="0" w:color="95B3D6"/>
            </w:tcBorders>
            <w:shd w:val="clear" w:color="auto" w:fill="DBE4F0"/>
          </w:tcPr>
          <w:p>
            <w:pPr>
              <w:pStyle w:val="TableParagraph"/>
              <w:ind w:left="336" w:right="188"/>
              <w:rPr>
                <w:sz w:val="22"/>
              </w:rPr>
            </w:pPr>
            <w:r>
              <w:rPr>
                <w:color w:val="31312F"/>
                <w:spacing w:val="-5"/>
                <w:sz w:val="22"/>
              </w:rPr>
              <w:t>3.2</w:t>
            </w:r>
          </w:p>
        </w:tc>
        <w:tc>
          <w:tcPr>
            <w:tcW w:w="1132" w:type="dxa"/>
            <w:tcBorders>
              <w:left w:val="single" w:sz="2" w:space="0" w:color="95B3D6"/>
              <w:bottom w:val="single" w:sz="2" w:space="0" w:color="95B3D6"/>
              <w:right w:val="single" w:sz="2" w:space="0" w:color="95B3D6"/>
            </w:tcBorders>
            <w:shd w:val="clear" w:color="auto" w:fill="DBE4F0"/>
          </w:tcPr>
          <w:p>
            <w:pPr>
              <w:pStyle w:val="TableParagraph"/>
              <w:ind w:right="266"/>
              <w:jc w:val="right"/>
              <w:rPr>
                <w:sz w:val="22"/>
              </w:rPr>
            </w:pPr>
            <w:r>
              <w:rPr>
                <w:color w:val="31312F"/>
                <w:spacing w:val="-5"/>
                <w:sz w:val="22"/>
              </w:rPr>
              <w:t>TBD</w:t>
            </w:r>
          </w:p>
        </w:tc>
        <w:tc>
          <w:tcPr>
            <w:tcW w:w="1134" w:type="dxa"/>
            <w:tcBorders>
              <w:left w:val="single" w:sz="2" w:space="0" w:color="95B3D6"/>
              <w:bottom w:val="single" w:sz="2" w:space="0" w:color="95B3D6"/>
              <w:right w:val="nil"/>
            </w:tcBorders>
            <w:shd w:val="clear" w:color="auto" w:fill="DBE4F0"/>
          </w:tcPr>
          <w:p>
            <w:pPr>
              <w:pStyle w:val="TableParagraph"/>
              <w:spacing w:line="240" w:lineRule="auto"/>
              <w:jc w:val="left"/>
              <w:rPr>
                <w:rFonts w:ascii="Times New Roman"/>
                <w:sz w:val="18"/>
              </w:rPr>
            </w:pPr>
          </w:p>
        </w:tc>
      </w:tr>
      <w:tr>
        <w:trPr>
          <w:trHeight w:val="258" w:hRule="atLeast"/>
        </w:trPr>
        <w:tc>
          <w:tcPr>
            <w:tcW w:w="1848" w:type="dxa"/>
            <w:tcBorders>
              <w:top w:val="single" w:sz="2" w:space="0" w:color="95B3D6"/>
              <w:left w:val="nil"/>
              <w:bottom w:val="single" w:sz="2" w:space="0" w:color="95B3D6"/>
              <w:right w:val="single" w:sz="2" w:space="0" w:color="95B3D6"/>
            </w:tcBorders>
          </w:tcPr>
          <w:p>
            <w:pPr>
              <w:pStyle w:val="TableParagraph"/>
              <w:spacing w:line="227" w:lineRule="exact"/>
              <w:ind w:left="261"/>
              <w:jc w:val="left"/>
              <w:rPr>
                <w:b/>
                <w:sz w:val="20"/>
              </w:rPr>
            </w:pPr>
            <w:r>
              <w:rPr>
                <w:b/>
                <w:color w:val="31312F"/>
                <w:sz w:val="20"/>
              </w:rPr>
              <w:t>Rate</w:t>
            </w:r>
            <w:r>
              <w:rPr>
                <w:b/>
                <w:color w:val="31312F"/>
                <w:spacing w:val="-7"/>
                <w:sz w:val="20"/>
              </w:rPr>
              <w:t> </w:t>
            </w:r>
            <w:r>
              <w:rPr>
                <w:b/>
                <w:color w:val="31312F"/>
                <w:spacing w:val="-5"/>
                <w:sz w:val="20"/>
              </w:rPr>
              <w:t>Cap</w:t>
            </w:r>
          </w:p>
        </w:tc>
        <w:tc>
          <w:tcPr>
            <w:tcW w:w="1142" w:type="dxa"/>
            <w:tcBorders>
              <w:top w:val="single" w:sz="2" w:space="0" w:color="95B3D6"/>
              <w:left w:val="single" w:sz="2" w:space="0" w:color="95B3D6"/>
              <w:bottom w:val="single" w:sz="2" w:space="0" w:color="95B3D6"/>
              <w:right w:val="single" w:sz="2" w:space="0" w:color="95B3D6"/>
            </w:tcBorders>
          </w:tcPr>
          <w:p>
            <w:pPr>
              <w:pStyle w:val="TableParagraph"/>
              <w:spacing w:line="239" w:lineRule="exact"/>
              <w:ind w:right="339"/>
              <w:jc w:val="right"/>
              <w:rPr>
                <w:sz w:val="22"/>
              </w:rPr>
            </w:pPr>
            <w:r>
              <w:rPr>
                <w:color w:val="31312F"/>
                <w:spacing w:val="-5"/>
                <w:sz w:val="22"/>
              </w:rPr>
              <w:t>2.0</w:t>
            </w:r>
          </w:p>
        </w:tc>
        <w:tc>
          <w:tcPr>
            <w:tcW w:w="1226" w:type="dxa"/>
            <w:tcBorders>
              <w:top w:val="single" w:sz="2" w:space="0" w:color="95B3D6"/>
              <w:left w:val="single" w:sz="2" w:space="0" w:color="95B3D6"/>
              <w:bottom w:val="single" w:sz="2" w:space="0" w:color="95B3D6"/>
              <w:right w:val="single" w:sz="2" w:space="0" w:color="95B3D6"/>
            </w:tcBorders>
          </w:tcPr>
          <w:p>
            <w:pPr>
              <w:pStyle w:val="TableParagraph"/>
              <w:spacing w:line="239" w:lineRule="exact"/>
              <w:ind w:left="441" w:right="297"/>
              <w:rPr>
                <w:sz w:val="22"/>
              </w:rPr>
            </w:pPr>
            <w:r>
              <w:rPr>
                <w:color w:val="31312F"/>
                <w:spacing w:val="-5"/>
                <w:sz w:val="22"/>
              </w:rPr>
              <w:t>1.5</w:t>
            </w:r>
          </w:p>
        </w:tc>
        <w:tc>
          <w:tcPr>
            <w:tcW w:w="1185" w:type="dxa"/>
            <w:tcBorders>
              <w:top w:val="single" w:sz="2" w:space="0" w:color="95B3D6"/>
              <w:left w:val="single" w:sz="2" w:space="0" w:color="95B3D6"/>
              <w:bottom w:val="single" w:sz="2" w:space="0" w:color="95B3D6"/>
              <w:right w:val="single" w:sz="2" w:space="0" w:color="95B3D6"/>
            </w:tcBorders>
          </w:tcPr>
          <w:p>
            <w:pPr>
              <w:pStyle w:val="TableParagraph"/>
              <w:spacing w:line="239" w:lineRule="exact"/>
              <w:ind w:right="301"/>
              <w:jc w:val="right"/>
              <w:rPr>
                <w:sz w:val="22"/>
              </w:rPr>
            </w:pPr>
            <w:r>
              <w:rPr>
                <w:color w:val="31312F"/>
                <w:spacing w:val="-4"/>
                <w:sz w:val="22"/>
              </w:rPr>
              <w:t>1.75</w:t>
            </w:r>
          </w:p>
        </w:tc>
        <w:tc>
          <w:tcPr>
            <w:tcW w:w="1132" w:type="dxa"/>
            <w:tcBorders>
              <w:top w:val="single" w:sz="2" w:space="0" w:color="95B3D6"/>
              <w:left w:val="single" w:sz="2" w:space="0" w:color="95B3D6"/>
              <w:bottom w:val="single" w:sz="2" w:space="0" w:color="95B3D6"/>
              <w:right w:val="single" w:sz="2" w:space="0" w:color="95B3D6"/>
            </w:tcBorders>
          </w:tcPr>
          <w:p>
            <w:pPr>
              <w:pStyle w:val="TableParagraph"/>
              <w:spacing w:line="239" w:lineRule="exact"/>
              <w:ind w:left="394" w:right="246"/>
              <w:rPr>
                <w:sz w:val="22"/>
              </w:rPr>
            </w:pPr>
            <w:r>
              <w:rPr>
                <w:color w:val="31312F"/>
                <w:spacing w:val="-5"/>
                <w:sz w:val="22"/>
              </w:rPr>
              <w:t>3.5</w:t>
            </w:r>
          </w:p>
        </w:tc>
        <w:tc>
          <w:tcPr>
            <w:tcW w:w="1134" w:type="dxa"/>
            <w:tcBorders>
              <w:top w:val="single" w:sz="2" w:space="0" w:color="95B3D6"/>
              <w:left w:val="single" w:sz="2" w:space="0" w:color="95B3D6"/>
              <w:bottom w:val="single" w:sz="2" w:space="0" w:color="95B3D6"/>
              <w:right w:val="single" w:sz="2" w:space="0" w:color="95B3D6"/>
            </w:tcBorders>
          </w:tcPr>
          <w:p>
            <w:pPr>
              <w:pStyle w:val="TableParagraph"/>
              <w:spacing w:line="239" w:lineRule="exact"/>
              <w:ind w:left="335" w:right="190"/>
              <w:rPr>
                <w:sz w:val="22"/>
              </w:rPr>
            </w:pPr>
            <w:r>
              <w:rPr>
                <w:color w:val="31312F"/>
                <w:spacing w:val="-4"/>
                <w:sz w:val="22"/>
              </w:rPr>
              <w:t>2.75</w:t>
            </w:r>
          </w:p>
        </w:tc>
        <w:tc>
          <w:tcPr>
            <w:tcW w:w="1132" w:type="dxa"/>
            <w:tcBorders>
              <w:top w:val="single" w:sz="2" w:space="0" w:color="95B3D6"/>
              <w:left w:val="single" w:sz="2" w:space="0" w:color="95B3D6"/>
              <w:bottom w:val="single" w:sz="2" w:space="0" w:color="95B3D6"/>
              <w:right w:val="single" w:sz="2" w:space="0" w:color="95B3D6"/>
            </w:tcBorders>
          </w:tcPr>
          <w:p>
            <w:pPr>
              <w:pStyle w:val="TableParagraph"/>
              <w:spacing w:line="239" w:lineRule="exact"/>
              <w:ind w:right="330"/>
              <w:jc w:val="right"/>
              <w:rPr>
                <w:sz w:val="22"/>
              </w:rPr>
            </w:pPr>
            <w:r>
              <w:rPr>
                <w:color w:val="31312F"/>
                <w:spacing w:val="-5"/>
                <w:sz w:val="22"/>
              </w:rPr>
              <w:t>3.0</w:t>
            </w:r>
          </w:p>
        </w:tc>
        <w:tc>
          <w:tcPr>
            <w:tcW w:w="1134" w:type="dxa"/>
            <w:tcBorders>
              <w:top w:val="single" w:sz="2" w:space="0" w:color="95B3D6"/>
              <w:left w:val="single" w:sz="2" w:space="0" w:color="95B3D6"/>
              <w:bottom w:val="single" w:sz="2" w:space="0" w:color="95B3D6"/>
              <w:right w:val="nil"/>
            </w:tcBorders>
          </w:tcPr>
          <w:p>
            <w:pPr>
              <w:pStyle w:val="TableParagraph"/>
              <w:spacing w:line="240" w:lineRule="auto"/>
              <w:jc w:val="left"/>
              <w:rPr>
                <w:rFonts w:ascii="Times New Roman"/>
                <w:sz w:val="18"/>
              </w:rPr>
            </w:pPr>
          </w:p>
        </w:tc>
      </w:tr>
      <w:tr>
        <w:trPr>
          <w:trHeight w:val="251" w:hRule="atLeast"/>
        </w:trPr>
        <w:tc>
          <w:tcPr>
            <w:tcW w:w="1848" w:type="dxa"/>
            <w:tcBorders>
              <w:top w:val="single" w:sz="2" w:space="0" w:color="95B3D6"/>
              <w:left w:val="nil"/>
              <w:bottom w:val="single" w:sz="2" w:space="0" w:color="95B3D6"/>
              <w:right w:val="single" w:sz="2" w:space="0" w:color="95B3D6"/>
            </w:tcBorders>
            <w:shd w:val="clear" w:color="auto" w:fill="DBE4F0"/>
          </w:tcPr>
          <w:p>
            <w:pPr>
              <w:pStyle w:val="TableParagraph"/>
              <w:spacing w:line="227" w:lineRule="exact"/>
              <w:ind w:left="261"/>
              <w:jc w:val="left"/>
              <w:rPr>
                <w:b/>
                <w:sz w:val="20"/>
              </w:rPr>
            </w:pPr>
            <w:r>
              <w:rPr>
                <w:b/>
                <w:color w:val="31312F"/>
                <w:spacing w:val="-2"/>
                <w:sz w:val="20"/>
              </w:rPr>
              <w:t>Variance</w:t>
            </w:r>
          </w:p>
        </w:tc>
        <w:tc>
          <w:tcPr>
            <w:tcW w:w="1142" w:type="dxa"/>
            <w:tcBorders>
              <w:top w:val="single" w:sz="2" w:space="0" w:color="95B3D6"/>
              <w:left w:val="single" w:sz="2" w:space="0" w:color="95B3D6"/>
              <w:bottom w:val="single" w:sz="2" w:space="0" w:color="95B3D6"/>
              <w:right w:val="single" w:sz="2" w:space="0" w:color="95B3D6"/>
            </w:tcBorders>
            <w:shd w:val="clear" w:color="auto" w:fill="DBE4F0"/>
          </w:tcPr>
          <w:p>
            <w:pPr>
              <w:pStyle w:val="TableParagraph"/>
              <w:ind w:right="339"/>
              <w:jc w:val="right"/>
              <w:rPr>
                <w:sz w:val="22"/>
              </w:rPr>
            </w:pPr>
            <w:r>
              <w:rPr>
                <w:color w:val="31312F"/>
                <w:spacing w:val="-5"/>
                <w:sz w:val="22"/>
              </w:rPr>
              <w:t>0.6</w:t>
            </w:r>
          </w:p>
        </w:tc>
        <w:tc>
          <w:tcPr>
            <w:tcW w:w="1226" w:type="dxa"/>
            <w:tcBorders>
              <w:top w:val="single" w:sz="2" w:space="0" w:color="95B3D6"/>
              <w:left w:val="single" w:sz="2" w:space="0" w:color="95B3D6"/>
              <w:bottom w:val="single" w:sz="2" w:space="0" w:color="95B3D6"/>
              <w:right w:val="single" w:sz="2" w:space="0" w:color="95B3D6"/>
            </w:tcBorders>
            <w:shd w:val="clear" w:color="auto" w:fill="DBE4F0"/>
          </w:tcPr>
          <w:p>
            <w:pPr>
              <w:pStyle w:val="TableParagraph"/>
              <w:ind w:left="441" w:right="297"/>
              <w:rPr>
                <w:sz w:val="22"/>
              </w:rPr>
            </w:pPr>
            <w:r>
              <w:rPr>
                <w:color w:val="31312F"/>
                <w:spacing w:val="-2"/>
                <w:sz w:val="22"/>
              </w:rPr>
              <w:t>(2.5)</w:t>
            </w:r>
          </w:p>
        </w:tc>
        <w:tc>
          <w:tcPr>
            <w:tcW w:w="1185" w:type="dxa"/>
            <w:tcBorders>
              <w:top w:val="single" w:sz="2" w:space="0" w:color="95B3D6"/>
              <w:left w:val="single" w:sz="2" w:space="0" w:color="95B3D6"/>
              <w:bottom w:val="single" w:sz="2" w:space="0" w:color="95B3D6"/>
              <w:right w:val="single" w:sz="2" w:space="0" w:color="95B3D6"/>
            </w:tcBorders>
            <w:shd w:val="clear" w:color="auto" w:fill="DBE4F0"/>
          </w:tcPr>
          <w:p>
            <w:pPr>
              <w:pStyle w:val="TableParagraph"/>
              <w:ind w:right="229"/>
              <w:jc w:val="right"/>
              <w:rPr>
                <w:sz w:val="22"/>
              </w:rPr>
            </w:pPr>
            <w:r>
              <w:rPr>
                <w:color w:val="31312F"/>
                <w:spacing w:val="-2"/>
                <w:sz w:val="22"/>
              </w:rPr>
              <w:t>(5.25)</w:t>
            </w:r>
          </w:p>
        </w:tc>
        <w:tc>
          <w:tcPr>
            <w:tcW w:w="1132" w:type="dxa"/>
            <w:tcBorders>
              <w:top w:val="single" w:sz="2" w:space="0" w:color="95B3D6"/>
              <w:left w:val="single" w:sz="2" w:space="0" w:color="95B3D6"/>
              <w:bottom w:val="single" w:sz="2" w:space="0" w:color="95B3D6"/>
              <w:right w:val="single" w:sz="2" w:space="0" w:color="95B3D6"/>
            </w:tcBorders>
            <w:shd w:val="clear" w:color="auto" w:fill="DBE4F0"/>
          </w:tcPr>
          <w:p>
            <w:pPr>
              <w:pStyle w:val="TableParagraph"/>
              <w:ind w:left="394" w:right="250"/>
              <w:rPr>
                <w:sz w:val="22"/>
              </w:rPr>
            </w:pPr>
            <w:r>
              <w:rPr>
                <w:color w:val="31312F"/>
                <w:spacing w:val="-2"/>
                <w:sz w:val="22"/>
              </w:rPr>
              <w:t>(1.4)</w:t>
            </w:r>
          </w:p>
        </w:tc>
        <w:tc>
          <w:tcPr>
            <w:tcW w:w="1134" w:type="dxa"/>
            <w:tcBorders>
              <w:top w:val="single" w:sz="2" w:space="0" w:color="95B3D6"/>
              <w:left w:val="single" w:sz="2" w:space="0" w:color="95B3D6"/>
              <w:bottom w:val="single" w:sz="2" w:space="0" w:color="95B3D6"/>
              <w:right w:val="single" w:sz="2" w:space="0" w:color="95B3D6"/>
            </w:tcBorders>
            <w:shd w:val="clear" w:color="auto" w:fill="DBE4F0"/>
          </w:tcPr>
          <w:p>
            <w:pPr>
              <w:pStyle w:val="TableParagraph"/>
              <w:ind w:left="336" w:right="190"/>
              <w:rPr>
                <w:sz w:val="22"/>
              </w:rPr>
            </w:pPr>
            <w:r>
              <w:rPr>
                <w:color w:val="31312F"/>
                <w:spacing w:val="-2"/>
                <w:sz w:val="22"/>
              </w:rPr>
              <w:t>(0.45)</w:t>
            </w:r>
          </w:p>
        </w:tc>
        <w:tc>
          <w:tcPr>
            <w:tcW w:w="1132" w:type="dxa"/>
            <w:tcBorders>
              <w:top w:val="single" w:sz="2" w:space="0" w:color="95B3D6"/>
              <w:left w:val="single" w:sz="2" w:space="0" w:color="95B3D6"/>
              <w:bottom w:val="single" w:sz="2" w:space="0" w:color="95B3D6"/>
              <w:right w:val="single" w:sz="2" w:space="0" w:color="95B3D6"/>
            </w:tcBorders>
            <w:shd w:val="clear" w:color="auto" w:fill="DBE4F0"/>
          </w:tcPr>
          <w:p>
            <w:pPr>
              <w:pStyle w:val="TableParagraph"/>
              <w:spacing w:line="240" w:lineRule="auto"/>
              <w:jc w:val="left"/>
              <w:rPr>
                <w:rFonts w:ascii="Times New Roman"/>
                <w:sz w:val="18"/>
              </w:rPr>
            </w:pPr>
          </w:p>
        </w:tc>
        <w:tc>
          <w:tcPr>
            <w:tcW w:w="1134" w:type="dxa"/>
            <w:tcBorders>
              <w:top w:val="single" w:sz="2" w:space="0" w:color="95B3D6"/>
              <w:left w:val="single" w:sz="2" w:space="0" w:color="95B3D6"/>
              <w:bottom w:val="single" w:sz="2" w:space="0" w:color="95B3D6"/>
              <w:right w:val="nil"/>
            </w:tcBorders>
            <w:shd w:val="clear" w:color="auto" w:fill="DBE4F0"/>
          </w:tcPr>
          <w:p>
            <w:pPr>
              <w:pStyle w:val="TableParagraph"/>
              <w:ind w:left="313"/>
              <w:jc w:val="left"/>
              <w:rPr>
                <w:sz w:val="22"/>
              </w:rPr>
            </w:pPr>
            <w:r>
              <w:rPr>
                <w:color w:val="31312F"/>
                <w:spacing w:val="-2"/>
                <w:sz w:val="22"/>
              </w:rPr>
              <w:t>(9.0%)</w:t>
            </w:r>
          </w:p>
        </w:tc>
      </w:tr>
    </w:tbl>
    <w:p>
      <w:pPr>
        <w:pStyle w:val="BodyText"/>
        <w:spacing w:before="11"/>
        <w:rPr>
          <w:b/>
          <w:sz w:val="23"/>
        </w:rPr>
      </w:pPr>
    </w:p>
    <w:p>
      <w:pPr>
        <w:pStyle w:val="BodyText"/>
        <w:ind w:left="1440" w:right="1433"/>
        <w:jc w:val="both"/>
      </w:pPr>
      <w:r>
        <w:rPr>
          <w:color w:val="31312F"/>
        </w:rPr>
        <w:t>For Maroondah, the cumulative impact over the last 5 years represents a shortfall of approximately</w:t>
      </w:r>
      <w:r>
        <w:rPr>
          <w:color w:val="31312F"/>
          <w:spacing w:val="-4"/>
        </w:rPr>
        <w:t> </w:t>
      </w:r>
      <w:r>
        <w:rPr>
          <w:color w:val="31312F"/>
        </w:rPr>
        <w:t>$8M.</w:t>
      </w:r>
      <w:r>
        <w:rPr>
          <w:color w:val="31312F"/>
          <w:spacing w:val="-6"/>
        </w:rPr>
        <w:t> </w:t>
      </w:r>
      <w:r>
        <w:rPr>
          <w:color w:val="31312F"/>
        </w:rPr>
        <w:t>This</w:t>
      </w:r>
      <w:r>
        <w:rPr>
          <w:color w:val="31312F"/>
          <w:spacing w:val="-6"/>
        </w:rPr>
        <w:t> </w:t>
      </w:r>
      <w:r>
        <w:rPr>
          <w:color w:val="31312F"/>
        </w:rPr>
        <w:t>does</w:t>
      </w:r>
      <w:r>
        <w:rPr>
          <w:color w:val="31312F"/>
          <w:spacing w:val="-4"/>
        </w:rPr>
        <w:t> </w:t>
      </w:r>
      <w:r>
        <w:rPr>
          <w:color w:val="31312F"/>
        </w:rPr>
        <w:t>not</w:t>
      </w:r>
      <w:r>
        <w:rPr>
          <w:color w:val="31312F"/>
          <w:spacing w:val="-8"/>
        </w:rPr>
        <w:t> </w:t>
      </w:r>
      <w:r>
        <w:rPr>
          <w:color w:val="31312F"/>
        </w:rPr>
        <w:t>take</w:t>
      </w:r>
      <w:r>
        <w:rPr>
          <w:color w:val="31312F"/>
          <w:spacing w:val="-4"/>
        </w:rPr>
        <w:t> </w:t>
      </w:r>
      <w:r>
        <w:rPr>
          <w:color w:val="31312F"/>
        </w:rPr>
        <w:t>into</w:t>
      </w:r>
      <w:r>
        <w:rPr>
          <w:color w:val="31312F"/>
          <w:spacing w:val="-4"/>
        </w:rPr>
        <w:t> </w:t>
      </w:r>
      <w:r>
        <w:rPr>
          <w:color w:val="31312F"/>
        </w:rPr>
        <w:t>consideration</w:t>
      </w:r>
      <w:r>
        <w:rPr>
          <w:color w:val="31312F"/>
          <w:spacing w:val="-6"/>
        </w:rPr>
        <w:t> </w:t>
      </w:r>
      <w:r>
        <w:rPr>
          <w:color w:val="31312F"/>
        </w:rPr>
        <w:t>that</w:t>
      </w:r>
      <w:r>
        <w:rPr>
          <w:color w:val="31312F"/>
          <w:spacing w:val="-4"/>
        </w:rPr>
        <w:t> </w:t>
      </w:r>
      <w:r>
        <w:rPr>
          <w:color w:val="31312F"/>
        </w:rPr>
        <w:t>costs</w:t>
      </w:r>
      <w:r>
        <w:rPr>
          <w:color w:val="31312F"/>
          <w:spacing w:val="-4"/>
        </w:rPr>
        <w:t> </w:t>
      </w:r>
      <w:r>
        <w:rPr>
          <w:color w:val="31312F"/>
        </w:rPr>
        <w:t>of</w:t>
      </w:r>
      <w:r>
        <w:rPr>
          <w:color w:val="31312F"/>
          <w:spacing w:val="-8"/>
        </w:rPr>
        <w:t> </w:t>
      </w:r>
      <w:r>
        <w:rPr>
          <w:color w:val="31312F"/>
        </w:rPr>
        <w:t>materials</w:t>
      </w:r>
      <w:r>
        <w:rPr>
          <w:color w:val="31312F"/>
          <w:spacing w:val="-4"/>
        </w:rPr>
        <w:t> </w:t>
      </w:r>
      <w:r>
        <w:rPr>
          <w:color w:val="31312F"/>
        </w:rPr>
        <w:t>and</w:t>
      </w:r>
      <w:r>
        <w:rPr>
          <w:color w:val="31312F"/>
          <w:spacing w:val="-4"/>
        </w:rPr>
        <w:t> </w:t>
      </w:r>
      <w:r>
        <w:rPr>
          <w:color w:val="31312F"/>
        </w:rPr>
        <w:t>services in a lot of instances have been beyond the inflation rate.</w:t>
      </w:r>
    </w:p>
    <w:p>
      <w:pPr>
        <w:pStyle w:val="BodyText"/>
        <w:spacing w:before="4"/>
        <w:rPr>
          <w:sz w:val="24"/>
        </w:rPr>
      </w:pPr>
    </w:p>
    <w:p>
      <w:pPr>
        <w:pStyle w:val="BodyText"/>
        <w:ind w:left="1440" w:right="1433"/>
        <w:jc w:val="both"/>
      </w:pPr>
      <w:r>
        <w:rPr/>
        <w:t>In order to provide a comprehensive range of services to the community, it is necessary to occasionally implement fees or charges. The specific nature of these fees and charges typically depends on whether they are associated with statutory or discretionary services. Some of these, such as</w:t>
      </w:r>
      <w:r>
        <w:rPr>
          <w:spacing w:val="-3"/>
        </w:rPr>
        <w:t> </w:t>
      </w:r>
      <w:r>
        <w:rPr/>
        <w:t>statutory</w:t>
      </w:r>
      <w:r>
        <w:rPr>
          <w:spacing w:val="-1"/>
        </w:rPr>
        <w:t> </w:t>
      </w:r>
      <w:r>
        <w:rPr/>
        <w:t>planning fees are set by State</w:t>
      </w:r>
      <w:r>
        <w:rPr>
          <w:spacing w:val="-1"/>
        </w:rPr>
        <w:t> </w:t>
      </w:r>
      <w:r>
        <w:rPr/>
        <w:t>Government statute and are commonly known as regulatory fees.</w:t>
      </w:r>
      <w:r>
        <w:rPr>
          <w:spacing w:val="40"/>
        </w:rPr>
        <w:t> </w:t>
      </w:r>
      <w:r>
        <w:rPr/>
        <w:t>In these cases, councils usually have no control over service</w:t>
      </w:r>
      <w:r>
        <w:rPr>
          <w:spacing w:val="-8"/>
        </w:rPr>
        <w:t> </w:t>
      </w:r>
      <w:r>
        <w:rPr/>
        <w:t>pricing.</w:t>
      </w:r>
      <w:r>
        <w:rPr>
          <w:spacing w:val="-8"/>
        </w:rPr>
        <w:t> </w:t>
      </w:r>
      <w:r>
        <w:rPr/>
        <w:t>However,</w:t>
      </w:r>
      <w:r>
        <w:rPr>
          <w:spacing w:val="-8"/>
        </w:rPr>
        <w:t> </w:t>
      </w:r>
      <w:r>
        <w:rPr/>
        <w:t>in</w:t>
      </w:r>
      <w:r>
        <w:rPr>
          <w:spacing w:val="-10"/>
        </w:rPr>
        <w:t> </w:t>
      </w:r>
      <w:r>
        <w:rPr/>
        <w:t>relation</w:t>
      </w:r>
      <w:r>
        <w:rPr>
          <w:spacing w:val="-10"/>
        </w:rPr>
        <w:t> </w:t>
      </w:r>
      <w:r>
        <w:rPr/>
        <w:t>to</w:t>
      </w:r>
      <w:r>
        <w:rPr>
          <w:spacing w:val="-8"/>
        </w:rPr>
        <w:t> </w:t>
      </w:r>
      <w:r>
        <w:rPr/>
        <w:t>other</w:t>
      </w:r>
      <w:r>
        <w:rPr>
          <w:spacing w:val="-6"/>
        </w:rPr>
        <w:t> </w:t>
      </w:r>
      <w:r>
        <w:rPr/>
        <w:t>services,</w:t>
      </w:r>
      <w:r>
        <w:rPr>
          <w:spacing w:val="-4"/>
        </w:rPr>
        <w:t> </w:t>
      </w:r>
      <w:r>
        <w:rPr/>
        <w:t>Council</w:t>
      </w:r>
      <w:r>
        <w:rPr>
          <w:spacing w:val="-11"/>
        </w:rPr>
        <w:t> </w:t>
      </w:r>
      <w:r>
        <w:rPr/>
        <w:t>can</w:t>
      </w:r>
      <w:r>
        <w:rPr>
          <w:spacing w:val="-5"/>
        </w:rPr>
        <w:t> </w:t>
      </w:r>
      <w:r>
        <w:rPr/>
        <w:t>set</w:t>
      </w:r>
      <w:r>
        <w:rPr>
          <w:spacing w:val="-8"/>
        </w:rPr>
        <w:t> </w:t>
      </w:r>
      <w:r>
        <w:rPr/>
        <w:t>a</w:t>
      </w:r>
      <w:r>
        <w:rPr>
          <w:spacing w:val="-8"/>
        </w:rPr>
        <w:t> </w:t>
      </w:r>
      <w:r>
        <w:rPr/>
        <w:t>fee</w:t>
      </w:r>
      <w:r>
        <w:rPr>
          <w:spacing w:val="-10"/>
        </w:rPr>
        <w:t> </w:t>
      </w:r>
      <w:r>
        <w:rPr/>
        <w:t>or</w:t>
      </w:r>
      <w:r>
        <w:rPr>
          <w:spacing w:val="-5"/>
        </w:rPr>
        <w:t> </w:t>
      </w:r>
      <w:r>
        <w:rPr/>
        <w:t>charge</w:t>
      </w:r>
      <w:r>
        <w:rPr>
          <w:spacing w:val="-8"/>
        </w:rPr>
        <w:t> </w:t>
      </w:r>
      <w:r>
        <w:rPr/>
        <w:t>and</w:t>
      </w:r>
      <w:r>
        <w:rPr>
          <w:spacing w:val="-6"/>
        </w:rPr>
        <w:t> </w:t>
      </w:r>
      <w:r>
        <w:rPr/>
        <w:t>will set that fee based on the principles outlined in this Revenue and Rating Plan.</w:t>
      </w:r>
    </w:p>
    <w:p>
      <w:pPr>
        <w:pStyle w:val="BodyText"/>
      </w:pPr>
    </w:p>
    <w:p>
      <w:pPr>
        <w:pStyle w:val="BodyText"/>
        <w:ind w:left="1440" w:right="1436"/>
        <w:jc w:val="both"/>
      </w:pPr>
      <w:r>
        <w:rPr/>
        <w:t>Council revenue can also be adversely affected by changes to funding from other levels of government. Some grants are tied to the delivery of council services, whilst many are tied directly to the delivery of new community assets, such as roads or sports pavilions. It is important</w:t>
      </w:r>
      <w:r>
        <w:rPr>
          <w:spacing w:val="-1"/>
        </w:rPr>
        <w:t> </w:t>
      </w:r>
      <w:r>
        <w:rPr/>
        <w:t>for Council to</w:t>
      </w:r>
      <w:r>
        <w:rPr>
          <w:spacing w:val="-2"/>
        </w:rPr>
        <w:t> </w:t>
      </w:r>
      <w:r>
        <w:rPr/>
        <w:t>be clear about what grants it intends</w:t>
      </w:r>
      <w:r>
        <w:rPr>
          <w:spacing w:val="-1"/>
        </w:rPr>
        <w:t> </w:t>
      </w:r>
      <w:r>
        <w:rPr/>
        <w:t>to</w:t>
      </w:r>
      <w:r>
        <w:rPr>
          <w:spacing w:val="-2"/>
        </w:rPr>
        <w:t> </w:t>
      </w:r>
      <w:r>
        <w:rPr/>
        <w:t>apply</w:t>
      </w:r>
      <w:r>
        <w:rPr>
          <w:spacing w:val="-1"/>
        </w:rPr>
        <w:t> </w:t>
      </w:r>
      <w:r>
        <w:rPr/>
        <w:t>for,</w:t>
      </w:r>
      <w:r>
        <w:rPr>
          <w:spacing w:val="-3"/>
        </w:rPr>
        <w:t> </w:t>
      </w:r>
      <w:r>
        <w:rPr/>
        <w:t>and the obligations that grants create in the delivery of services or infrastructure.</w:t>
      </w:r>
    </w:p>
    <w:p>
      <w:pPr>
        <w:spacing w:after="0"/>
        <w:jc w:val="both"/>
        <w:sectPr>
          <w:footerReference w:type="default" r:id="rId12"/>
          <w:pgSz w:w="11910" w:h="16840"/>
          <w:pgMar w:footer="662" w:header="0" w:top="580" w:bottom="860" w:left="0" w:right="0"/>
        </w:sectPr>
      </w:pPr>
    </w:p>
    <w:p>
      <w:pPr>
        <w:pStyle w:val="Heading1"/>
        <w:numPr>
          <w:ilvl w:val="0"/>
          <w:numId w:val="3"/>
        </w:numPr>
        <w:tabs>
          <w:tab w:pos="2159" w:val="left" w:leader="none"/>
        </w:tabs>
        <w:spacing w:line="240" w:lineRule="auto" w:before="62" w:after="0"/>
        <w:ind w:left="2158" w:right="0" w:hanging="719"/>
        <w:jc w:val="left"/>
        <w:rPr>
          <w:color w:val="134295"/>
        </w:rPr>
      </w:pPr>
      <w:bookmarkStart w:name="_TOC_250019" w:id="3"/>
      <w:r>
        <w:rPr>
          <w:color w:val="134295"/>
        </w:rPr>
        <w:t>Engagement</w:t>
      </w:r>
      <w:r>
        <w:rPr>
          <w:color w:val="134295"/>
          <w:spacing w:val="2"/>
        </w:rPr>
        <w:t> </w:t>
      </w:r>
      <w:bookmarkEnd w:id="3"/>
      <w:r>
        <w:rPr>
          <w:color w:val="134295"/>
          <w:spacing w:val="-2"/>
        </w:rPr>
        <w:t>Principles</w:t>
      </w:r>
    </w:p>
    <w:p>
      <w:pPr>
        <w:spacing w:line="276" w:lineRule="auto" w:before="470"/>
        <w:ind w:left="1440" w:right="1432" w:firstLine="0"/>
        <w:jc w:val="both"/>
        <w:rPr>
          <w:sz w:val="22"/>
        </w:rPr>
      </w:pPr>
      <w:r>
        <w:rPr>
          <w:color w:val="31313F"/>
          <w:sz w:val="22"/>
        </w:rPr>
        <w:t>Council’s approach to community and stakeholder engagement is guided by the community engagement principles set out under S</w:t>
      </w:r>
      <w:r>
        <w:rPr>
          <w:i/>
          <w:color w:val="31313F"/>
          <w:sz w:val="22"/>
        </w:rPr>
        <w:t>ection 56 of the Local Government Act 2020</w:t>
      </w:r>
      <w:r>
        <w:rPr>
          <w:color w:val="31313F"/>
          <w:sz w:val="22"/>
        </w:rPr>
        <w:t>.</w:t>
      </w:r>
    </w:p>
    <w:p>
      <w:pPr>
        <w:pStyle w:val="BodyText"/>
        <w:spacing w:line="276" w:lineRule="auto" w:before="121"/>
        <w:ind w:left="1440" w:right="1433"/>
        <w:jc w:val="both"/>
      </w:pPr>
      <w:r>
        <w:rPr>
          <w:color w:val="31313F"/>
        </w:rPr>
        <w:t>For the purposes of this document, all historic data and information was considered in the development of the Revenue and Rating Plan 2025/26 to 2028/29. Inputs from the engagement and learnings from the 2050 Community Vision, Council Plan and Budget engagement</w:t>
      </w:r>
      <w:r>
        <w:rPr>
          <w:color w:val="31313F"/>
          <w:spacing w:val="-10"/>
        </w:rPr>
        <w:t> </w:t>
      </w:r>
      <w:r>
        <w:rPr>
          <w:color w:val="31313F"/>
        </w:rPr>
        <w:t>process,</w:t>
      </w:r>
      <w:r>
        <w:rPr>
          <w:color w:val="31313F"/>
          <w:spacing w:val="-6"/>
        </w:rPr>
        <w:t> </w:t>
      </w:r>
      <w:r>
        <w:rPr>
          <w:color w:val="31313F"/>
        </w:rPr>
        <w:t>all</w:t>
      </w:r>
      <w:r>
        <w:rPr>
          <w:color w:val="31313F"/>
          <w:spacing w:val="-13"/>
        </w:rPr>
        <w:t> </w:t>
      </w:r>
      <w:r>
        <w:rPr>
          <w:color w:val="31313F"/>
        </w:rPr>
        <w:t>contributed</w:t>
      </w:r>
      <w:r>
        <w:rPr>
          <w:color w:val="31313F"/>
          <w:spacing w:val="-14"/>
        </w:rPr>
        <w:t> </w:t>
      </w:r>
      <w:r>
        <w:rPr>
          <w:color w:val="31313F"/>
        </w:rPr>
        <w:t>to</w:t>
      </w:r>
      <w:r>
        <w:rPr>
          <w:color w:val="31313F"/>
          <w:spacing w:val="-12"/>
        </w:rPr>
        <w:t> </w:t>
      </w:r>
      <w:r>
        <w:rPr>
          <w:color w:val="31313F"/>
        </w:rPr>
        <w:t>the</w:t>
      </w:r>
      <w:r>
        <w:rPr>
          <w:color w:val="31313F"/>
          <w:spacing w:val="-10"/>
        </w:rPr>
        <w:t> </w:t>
      </w:r>
      <w:r>
        <w:rPr>
          <w:color w:val="31313F"/>
        </w:rPr>
        <w:t>overall</w:t>
      </w:r>
      <w:r>
        <w:rPr>
          <w:color w:val="31313F"/>
          <w:spacing w:val="-16"/>
        </w:rPr>
        <w:t> </w:t>
      </w:r>
      <w:r>
        <w:rPr>
          <w:color w:val="31313F"/>
        </w:rPr>
        <w:t>engagement</w:t>
      </w:r>
      <w:r>
        <w:rPr>
          <w:color w:val="31313F"/>
          <w:spacing w:val="-9"/>
        </w:rPr>
        <w:t> </w:t>
      </w:r>
      <w:r>
        <w:rPr>
          <w:color w:val="31313F"/>
        </w:rPr>
        <w:t>outcomes</w:t>
      </w:r>
      <w:r>
        <w:rPr>
          <w:color w:val="31313F"/>
          <w:spacing w:val="-11"/>
        </w:rPr>
        <w:t> </w:t>
      </w:r>
      <w:r>
        <w:rPr>
          <w:color w:val="31313F"/>
        </w:rPr>
        <w:t>required</w:t>
      </w:r>
      <w:r>
        <w:rPr>
          <w:color w:val="31313F"/>
          <w:spacing w:val="-8"/>
        </w:rPr>
        <w:t> </w:t>
      </w:r>
      <w:r>
        <w:rPr>
          <w:color w:val="31313F"/>
        </w:rPr>
        <w:t>to</w:t>
      </w:r>
      <w:r>
        <w:rPr>
          <w:color w:val="31313F"/>
          <w:spacing w:val="-10"/>
        </w:rPr>
        <w:t> </w:t>
      </w:r>
      <w:r>
        <w:rPr>
          <w:color w:val="31313F"/>
        </w:rPr>
        <w:t>develop this document.</w:t>
      </w:r>
    </w:p>
    <w:p>
      <w:pPr>
        <w:pStyle w:val="BodyText"/>
        <w:spacing w:line="276" w:lineRule="auto" w:before="120"/>
        <w:ind w:left="1440" w:right="1435"/>
        <w:jc w:val="both"/>
      </w:pPr>
      <w:r>
        <w:rPr>
          <w:color w:val="31313F"/>
        </w:rPr>
        <w:t>As per organisational process, at the start of a new strategic period, the document is placed on</w:t>
      </w:r>
      <w:r>
        <w:rPr>
          <w:color w:val="31313F"/>
          <w:spacing w:val="-2"/>
        </w:rPr>
        <w:t> </w:t>
      </w:r>
      <w:r>
        <w:rPr>
          <w:color w:val="31313F"/>
        </w:rPr>
        <w:t>public</w:t>
      </w:r>
      <w:r>
        <w:rPr>
          <w:color w:val="31313F"/>
          <w:spacing w:val="-2"/>
        </w:rPr>
        <w:t> </w:t>
      </w:r>
      <w:r>
        <w:rPr>
          <w:color w:val="31313F"/>
        </w:rPr>
        <w:t>exhibition,</w:t>
      </w:r>
      <w:r>
        <w:rPr>
          <w:color w:val="31313F"/>
          <w:spacing w:val="-3"/>
        </w:rPr>
        <w:t> </w:t>
      </w:r>
      <w:r>
        <w:rPr>
          <w:color w:val="31313F"/>
        </w:rPr>
        <w:t>providing</w:t>
      </w:r>
      <w:r>
        <w:rPr>
          <w:color w:val="31313F"/>
          <w:spacing w:val="-3"/>
        </w:rPr>
        <w:t> </w:t>
      </w:r>
      <w:r>
        <w:rPr>
          <w:color w:val="31313F"/>
        </w:rPr>
        <w:t>an</w:t>
      </w:r>
      <w:r>
        <w:rPr>
          <w:color w:val="31313F"/>
          <w:spacing w:val="-4"/>
        </w:rPr>
        <w:t> </w:t>
      </w:r>
      <w:r>
        <w:rPr>
          <w:color w:val="31313F"/>
        </w:rPr>
        <w:t>opportunity</w:t>
      </w:r>
      <w:r>
        <w:rPr>
          <w:color w:val="31313F"/>
          <w:spacing w:val="-6"/>
        </w:rPr>
        <w:t> </w:t>
      </w:r>
      <w:r>
        <w:rPr>
          <w:color w:val="31313F"/>
        </w:rPr>
        <w:t>for</w:t>
      </w:r>
      <w:r>
        <w:rPr>
          <w:color w:val="31313F"/>
          <w:spacing w:val="-4"/>
        </w:rPr>
        <w:t> </w:t>
      </w:r>
      <w:r>
        <w:rPr>
          <w:color w:val="31313F"/>
        </w:rPr>
        <w:t>feedback</w:t>
      </w:r>
      <w:r>
        <w:rPr>
          <w:color w:val="31313F"/>
          <w:spacing w:val="-2"/>
        </w:rPr>
        <w:t> </w:t>
      </w:r>
      <w:r>
        <w:rPr>
          <w:color w:val="31313F"/>
        </w:rPr>
        <w:t>and</w:t>
      </w:r>
      <w:r>
        <w:rPr>
          <w:color w:val="31313F"/>
          <w:spacing w:val="-8"/>
        </w:rPr>
        <w:t> </w:t>
      </w:r>
      <w:r>
        <w:rPr>
          <w:color w:val="31313F"/>
        </w:rPr>
        <w:t>consideration</w:t>
      </w:r>
      <w:r>
        <w:rPr>
          <w:color w:val="31313F"/>
          <w:spacing w:val="-4"/>
        </w:rPr>
        <w:t> </w:t>
      </w:r>
      <w:r>
        <w:rPr>
          <w:color w:val="31313F"/>
        </w:rPr>
        <w:t>of</w:t>
      </w:r>
      <w:r>
        <w:rPr>
          <w:color w:val="31313F"/>
          <w:spacing w:val="-4"/>
        </w:rPr>
        <w:t> </w:t>
      </w:r>
      <w:r>
        <w:rPr>
          <w:color w:val="31313F"/>
        </w:rPr>
        <w:t>that</w:t>
      </w:r>
      <w:r>
        <w:rPr>
          <w:color w:val="31313F"/>
          <w:spacing w:val="-4"/>
        </w:rPr>
        <w:t> </w:t>
      </w:r>
      <w:r>
        <w:rPr>
          <w:color w:val="31313F"/>
        </w:rPr>
        <w:t>feedback before it is considered for adoption.</w:t>
      </w:r>
    </w:p>
    <w:p>
      <w:pPr>
        <w:pStyle w:val="BodyText"/>
        <w:rPr>
          <w:sz w:val="24"/>
        </w:rPr>
      </w:pPr>
    </w:p>
    <w:p>
      <w:pPr>
        <w:pStyle w:val="BodyText"/>
        <w:spacing w:before="8"/>
        <w:rPr>
          <w:sz w:val="32"/>
        </w:rPr>
      </w:pPr>
    </w:p>
    <w:p>
      <w:pPr>
        <w:pStyle w:val="Heading1"/>
        <w:numPr>
          <w:ilvl w:val="0"/>
          <w:numId w:val="3"/>
        </w:numPr>
        <w:tabs>
          <w:tab w:pos="2159" w:val="left" w:leader="none"/>
        </w:tabs>
        <w:spacing w:line="240" w:lineRule="auto" w:before="0" w:after="0"/>
        <w:ind w:left="2158" w:right="0" w:hanging="719"/>
        <w:jc w:val="left"/>
        <w:rPr>
          <w:color w:val="1F497C"/>
        </w:rPr>
      </w:pPr>
      <w:bookmarkStart w:name="_TOC_250018" w:id="4"/>
      <w:r>
        <w:rPr>
          <w:color w:val="1F497C"/>
        </w:rPr>
        <w:t>Rates</w:t>
      </w:r>
      <w:r>
        <w:rPr>
          <w:color w:val="1F497C"/>
          <w:spacing w:val="-2"/>
        </w:rPr>
        <w:t> </w:t>
      </w:r>
      <w:r>
        <w:rPr>
          <w:color w:val="1F497C"/>
        </w:rPr>
        <w:t>and</w:t>
      </w:r>
      <w:r>
        <w:rPr>
          <w:color w:val="1F497C"/>
          <w:spacing w:val="4"/>
        </w:rPr>
        <w:t> </w:t>
      </w:r>
      <w:bookmarkEnd w:id="4"/>
      <w:r>
        <w:rPr>
          <w:color w:val="1F497C"/>
          <w:spacing w:val="-2"/>
        </w:rPr>
        <w:t>Charges</w:t>
      </w:r>
    </w:p>
    <w:p>
      <w:pPr>
        <w:pStyle w:val="BodyText"/>
        <w:spacing w:before="311"/>
        <w:ind w:left="1440" w:right="1435"/>
        <w:jc w:val="both"/>
      </w:pPr>
      <w:r>
        <w:rPr/>
        <w:t>Rates are</w:t>
      </w:r>
      <w:r>
        <w:rPr>
          <w:spacing w:val="-3"/>
        </w:rPr>
        <w:t> </w:t>
      </w:r>
      <w:r>
        <w:rPr/>
        <w:t>property</w:t>
      </w:r>
      <w:r>
        <w:rPr>
          <w:spacing w:val="-2"/>
        </w:rPr>
        <w:t> </w:t>
      </w:r>
      <w:r>
        <w:rPr/>
        <w:t>taxes</w:t>
      </w:r>
      <w:r>
        <w:rPr>
          <w:spacing w:val="-2"/>
        </w:rPr>
        <w:t> </w:t>
      </w:r>
      <w:r>
        <w:rPr/>
        <w:t>that allow Council to</w:t>
      </w:r>
      <w:r>
        <w:rPr>
          <w:spacing w:val="-1"/>
        </w:rPr>
        <w:t> </w:t>
      </w:r>
      <w:r>
        <w:rPr/>
        <w:t>raise revenue</w:t>
      </w:r>
      <w:r>
        <w:rPr>
          <w:spacing w:val="-3"/>
        </w:rPr>
        <w:t> </w:t>
      </w:r>
      <w:r>
        <w:rPr/>
        <w:t>to</w:t>
      </w:r>
      <w:r>
        <w:rPr>
          <w:spacing w:val="-1"/>
        </w:rPr>
        <w:t> </w:t>
      </w:r>
      <w:r>
        <w:rPr/>
        <w:t>fund</w:t>
      </w:r>
      <w:r>
        <w:rPr>
          <w:spacing w:val="-1"/>
        </w:rPr>
        <w:t> </w:t>
      </w:r>
      <w:r>
        <w:rPr/>
        <w:t>essential public services to</w:t>
      </w:r>
      <w:r>
        <w:rPr>
          <w:spacing w:val="-12"/>
        </w:rPr>
        <w:t> </w:t>
      </w:r>
      <w:r>
        <w:rPr/>
        <w:t>cater</w:t>
      </w:r>
      <w:r>
        <w:rPr>
          <w:spacing w:val="-12"/>
        </w:rPr>
        <w:t> </w:t>
      </w:r>
      <w:r>
        <w:rPr/>
        <w:t>to</w:t>
      </w:r>
      <w:r>
        <w:rPr>
          <w:spacing w:val="-14"/>
        </w:rPr>
        <w:t> </w:t>
      </w:r>
      <w:r>
        <w:rPr/>
        <w:t>their</w:t>
      </w:r>
      <w:r>
        <w:rPr>
          <w:spacing w:val="-16"/>
        </w:rPr>
        <w:t> </w:t>
      </w:r>
      <w:r>
        <w:rPr/>
        <w:t>municipal</w:t>
      </w:r>
      <w:r>
        <w:rPr>
          <w:spacing w:val="-11"/>
        </w:rPr>
        <w:t> </w:t>
      </w:r>
      <w:r>
        <w:rPr/>
        <w:t>population.</w:t>
      </w:r>
      <w:r>
        <w:rPr>
          <w:spacing w:val="-11"/>
        </w:rPr>
        <w:t> </w:t>
      </w:r>
      <w:r>
        <w:rPr/>
        <w:t>Importantly,</w:t>
      </w:r>
      <w:r>
        <w:rPr>
          <w:spacing w:val="-12"/>
        </w:rPr>
        <w:t> </w:t>
      </w:r>
      <w:r>
        <w:rPr/>
        <w:t>it</w:t>
      </w:r>
      <w:r>
        <w:rPr>
          <w:spacing w:val="-9"/>
        </w:rPr>
        <w:t> </w:t>
      </w:r>
      <w:r>
        <w:rPr/>
        <w:t>is</w:t>
      </w:r>
      <w:r>
        <w:rPr>
          <w:spacing w:val="-12"/>
        </w:rPr>
        <w:t> </w:t>
      </w:r>
      <w:r>
        <w:rPr/>
        <w:t>a</w:t>
      </w:r>
      <w:r>
        <w:rPr>
          <w:spacing w:val="-14"/>
        </w:rPr>
        <w:t> </w:t>
      </w:r>
      <w:r>
        <w:rPr/>
        <w:t>taxation</w:t>
      </w:r>
      <w:r>
        <w:rPr>
          <w:spacing w:val="-12"/>
        </w:rPr>
        <w:t> </w:t>
      </w:r>
      <w:r>
        <w:rPr/>
        <w:t>system</w:t>
      </w:r>
      <w:r>
        <w:rPr>
          <w:spacing w:val="-13"/>
        </w:rPr>
        <w:t> </w:t>
      </w:r>
      <w:r>
        <w:rPr/>
        <w:t>that</w:t>
      </w:r>
      <w:r>
        <w:rPr>
          <w:spacing w:val="-12"/>
        </w:rPr>
        <w:t> </w:t>
      </w:r>
      <w:r>
        <w:rPr/>
        <w:t>includes</w:t>
      </w:r>
      <w:r>
        <w:rPr>
          <w:spacing w:val="-12"/>
        </w:rPr>
        <w:t> </w:t>
      </w:r>
      <w:r>
        <w:rPr/>
        <w:t>flexibility for</w:t>
      </w:r>
      <w:r>
        <w:rPr>
          <w:spacing w:val="-6"/>
        </w:rPr>
        <w:t> </w:t>
      </w:r>
      <w:r>
        <w:rPr/>
        <w:t>councils</w:t>
      </w:r>
      <w:r>
        <w:rPr>
          <w:spacing w:val="-6"/>
        </w:rPr>
        <w:t> </w:t>
      </w:r>
      <w:r>
        <w:rPr/>
        <w:t>to</w:t>
      </w:r>
      <w:r>
        <w:rPr>
          <w:spacing w:val="-10"/>
        </w:rPr>
        <w:t> </w:t>
      </w:r>
      <w:r>
        <w:rPr/>
        <w:t>utilise</w:t>
      </w:r>
      <w:r>
        <w:rPr>
          <w:spacing w:val="-6"/>
        </w:rPr>
        <w:t> </w:t>
      </w:r>
      <w:r>
        <w:rPr/>
        <w:t>different</w:t>
      </w:r>
      <w:r>
        <w:rPr>
          <w:spacing w:val="-6"/>
        </w:rPr>
        <w:t> </w:t>
      </w:r>
      <w:r>
        <w:rPr/>
        <w:t>tools</w:t>
      </w:r>
      <w:r>
        <w:rPr>
          <w:spacing w:val="-6"/>
        </w:rPr>
        <w:t> </w:t>
      </w:r>
      <w:r>
        <w:rPr/>
        <w:t>in</w:t>
      </w:r>
      <w:r>
        <w:rPr>
          <w:spacing w:val="-8"/>
        </w:rPr>
        <w:t> </w:t>
      </w:r>
      <w:r>
        <w:rPr/>
        <w:t>its</w:t>
      </w:r>
      <w:r>
        <w:rPr>
          <w:spacing w:val="-8"/>
        </w:rPr>
        <w:t> </w:t>
      </w:r>
      <w:r>
        <w:rPr/>
        <w:t>rating</w:t>
      </w:r>
      <w:r>
        <w:rPr>
          <w:spacing w:val="-8"/>
        </w:rPr>
        <w:t> </w:t>
      </w:r>
      <w:r>
        <w:rPr/>
        <w:t>structure</w:t>
      </w:r>
      <w:r>
        <w:rPr>
          <w:spacing w:val="-10"/>
        </w:rPr>
        <w:t> </w:t>
      </w:r>
      <w:r>
        <w:rPr/>
        <w:t>to</w:t>
      </w:r>
      <w:r>
        <w:rPr>
          <w:spacing w:val="-10"/>
        </w:rPr>
        <w:t> </w:t>
      </w:r>
      <w:r>
        <w:rPr/>
        <w:t>accommodate</w:t>
      </w:r>
      <w:r>
        <w:rPr>
          <w:spacing w:val="-10"/>
        </w:rPr>
        <w:t> </w:t>
      </w:r>
      <w:r>
        <w:rPr/>
        <w:t>issues</w:t>
      </w:r>
      <w:r>
        <w:rPr>
          <w:spacing w:val="-6"/>
        </w:rPr>
        <w:t> </w:t>
      </w:r>
      <w:r>
        <w:rPr/>
        <w:t>of</w:t>
      </w:r>
      <w:r>
        <w:rPr>
          <w:spacing w:val="-6"/>
        </w:rPr>
        <w:t> </w:t>
      </w:r>
      <w:r>
        <w:rPr/>
        <w:t>equity</w:t>
      </w:r>
      <w:r>
        <w:rPr>
          <w:spacing w:val="-8"/>
        </w:rPr>
        <w:t> </w:t>
      </w:r>
      <w:r>
        <w:rPr/>
        <w:t>and to ensure fairness in rating for all ratepayers.</w:t>
      </w:r>
    </w:p>
    <w:p>
      <w:pPr>
        <w:pStyle w:val="BodyText"/>
      </w:pPr>
    </w:p>
    <w:p>
      <w:pPr>
        <w:pStyle w:val="BodyText"/>
        <w:ind w:left="1440"/>
        <w:jc w:val="both"/>
      </w:pPr>
      <w:r>
        <w:rPr/>
        <w:t>Council</w:t>
      </w:r>
      <w:r>
        <w:rPr>
          <w:spacing w:val="-3"/>
        </w:rPr>
        <w:t> </w:t>
      </w:r>
      <w:r>
        <w:rPr/>
        <w:t>has</w:t>
      </w:r>
      <w:r>
        <w:rPr>
          <w:spacing w:val="-3"/>
        </w:rPr>
        <w:t> </w:t>
      </w:r>
      <w:r>
        <w:rPr/>
        <w:t>established</w:t>
      </w:r>
      <w:r>
        <w:rPr>
          <w:spacing w:val="-5"/>
        </w:rPr>
        <w:t> </w:t>
      </w:r>
      <w:r>
        <w:rPr/>
        <w:t>a</w:t>
      </w:r>
      <w:r>
        <w:rPr>
          <w:spacing w:val="-3"/>
        </w:rPr>
        <w:t> </w:t>
      </w:r>
      <w:r>
        <w:rPr/>
        <w:t>rating</w:t>
      </w:r>
      <w:r>
        <w:rPr>
          <w:spacing w:val="-2"/>
        </w:rPr>
        <w:t> </w:t>
      </w:r>
      <w:r>
        <w:rPr/>
        <w:t>structure</w:t>
      </w:r>
      <w:r>
        <w:rPr>
          <w:spacing w:val="-7"/>
        </w:rPr>
        <w:t> </w:t>
      </w:r>
      <w:r>
        <w:rPr/>
        <w:t>comprised</w:t>
      </w:r>
      <w:r>
        <w:rPr>
          <w:spacing w:val="-3"/>
        </w:rPr>
        <w:t> </w:t>
      </w:r>
      <w:r>
        <w:rPr/>
        <w:t>of</w:t>
      </w:r>
      <w:r>
        <w:rPr>
          <w:spacing w:val="-2"/>
        </w:rPr>
        <w:t> </w:t>
      </w:r>
      <w:r>
        <w:rPr/>
        <w:t>two</w:t>
      </w:r>
      <w:r>
        <w:rPr>
          <w:spacing w:val="-5"/>
        </w:rPr>
        <w:t> </w:t>
      </w:r>
      <w:r>
        <w:rPr/>
        <w:t>key</w:t>
      </w:r>
      <w:r>
        <w:rPr>
          <w:spacing w:val="-5"/>
        </w:rPr>
        <w:t> </w:t>
      </w:r>
      <w:r>
        <w:rPr/>
        <w:t>elements.</w:t>
      </w:r>
      <w:r>
        <w:rPr>
          <w:spacing w:val="-2"/>
        </w:rPr>
        <w:t> </w:t>
      </w:r>
      <w:r>
        <w:rPr/>
        <w:t>These</w:t>
      </w:r>
      <w:r>
        <w:rPr>
          <w:spacing w:val="-2"/>
        </w:rPr>
        <w:t> </w:t>
      </w:r>
      <w:r>
        <w:rPr>
          <w:spacing w:val="-4"/>
        </w:rPr>
        <w:t>are:</w:t>
      </w:r>
    </w:p>
    <w:p>
      <w:pPr>
        <w:pStyle w:val="BodyText"/>
        <w:spacing w:before="3"/>
        <w:rPr>
          <w:sz w:val="24"/>
        </w:rPr>
      </w:pPr>
    </w:p>
    <w:p>
      <w:pPr>
        <w:pStyle w:val="ListParagraph"/>
        <w:numPr>
          <w:ilvl w:val="0"/>
          <w:numId w:val="4"/>
        </w:numPr>
        <w:tabs>
          <w:tab w:pos="1800" w:val="left" w:leader="none"/>
        </w:tabs>
        <w:spacing w:line="240" w:lineRule="auto" w:before="1" w:after="0"/>
        <w:ind w:left="1800" w:right="1435" w:hanging="360"/>
        <w:jc w:val="both"/>
        <w:rPr>
          <w:sz w:val="22"/>
        </w:rPr>
      </w:pPr>
      <w:r>
        <w:rPr>
          <w:b/>
          <w:sz w:val="22"/>
        </w:rPr>
        <w:t>General Rates </w:t>
      </w:r>
      <w:r>
        <w:rPr>
          <w:sz w:val="22"/>
        </w:rPr>
        <w:t>– Based on property values (using the Capital Improved Valuation methodology), which are indicative of capacity to</w:t>
      </w:r>
      <w:r>
        <w:rPr>
          <w:spacing w:val="-1"/>
          <w:sz w:val="22"/>
        </w:rPr>
        <w:t> </w:t>
      </w:r>
      <w:r>
        <w:rPr>
          <w:sz w:val="22"/>
        </w:rPr>
        <w:t>pay and form the central basis of rating under the </w:t>
      </w:r>
      <w:r>
        <w:rPr>
          <w:i/>
          <w:sz w:val="22"/>
        </w:rPr>
        <w:t>Local Government Act 1989</w:t>
      </w:r>
      <w:r>
        <w:rPr>
          <w:sz w:val="22"/>
        </w:rPr>
        <w:t>;</w:t>
      </w:r>
    </w:p>
    <w:p>
      <w:pPr>
        <w:pStyle w:val="ListParagraph"/>
        <w:numPr>
          <w:ilvl w:val="0"/>
          <w:numId w:val="4"/>
        </w:numPr>
        <w:tabs>
          <w:tab w:pos="1800" w:val="left" w:leader="none"/>
        </w:tabs>
        <w:spacing w:line="237" w:lineRule="auto" w:before="1" w:after="0"/>
        <w:ind w:left="1800" w:right="1435" w:hanging="360"/>
        <w:jc w:val="both"/>
        <w:rPr>
          <w:sz w:val="22"/>
        </w:rPr>
      </w:pPr>
      <w:r>
        <w:rPr>
          <w:b/>
          <w:sz w:val="22"/>
        </w:rPr>
        <w:t>Service Charges </w:t>
      </w:r>
      <w:r>
        <w:rPr>
          <w:sz w:val="22"/>
        </w:rPr>
        <w:t>- A ‘user pays’ component for council services to reflect benefits provided by Council to ratepayers who benefit from a service; and</w:t>
      </w:r>
    </w:p>
    <w:p>
      <w:pPr>
        <w:pStyle w:val="BodyText"/>
        <w:spacing w:before="4"/>
        <w:rPr>
          <w:sz w:val="24"/>
        </w:rPr>
      </w:pPr>
    </w:p>
    <w:p>
      <w:pPr>
        <w:pStyle w:val="BodyText"/>
        <w:spacing w:before="1"/>
        <w:ind w:left="1440" w:right="1435"/>
        <w:jc w:val="both"/>
      </w:pPr>
      <w:r>
        <w:rPr/>
        <w:t>Striking</w:t>
      </w:r>
      <w:r>
        <w:rPr>
          <w:spacing w:val="-16"/>
        </w:rPr>
        <w:t> </w:t>
      </w:r>
      <w:r>
        <w:rPr/>
        <w:t>a</w:t>
      </w:r>
      <w:r>
        <w:rPr>
          <w:spacing w:val="-15"/>
        </w:rPr>
        <w:t> </w:t>
      </w:r>
      <w:r>
        <w:rPr/>
        <w:t>proper</w:t>
      </w:r>
      <w:r>
        <w:rPr>
          <w:spacing w:val="-11"/>
        </w:rPr>
        <w:t> </w:t>
      </w:r>
      <w:r>
        <w:rPr/>
        <w:t>balance</w:t>
      </w:r>
      <w:r>
        <w:rPr>
          <w:spacing w:val="-16"/>
        </w:rPr>
        <w:t> </w:t>
      </w:r>
      <w:r>
        <w:rPr/>
        <w:t>between</w:t>
      </w:r>
      <w:r>
        <w:rPr>
          <w:spacing w:val="-15"/>
        </w:rPr>
        <w:t> </w:t>
      </w:r>
      <w:r>
        <w:rPr/>
        <w:t>these</w:t>
      </w:r>
      <w:r>
        <w:rPr>
          <w:spacing w:val="-15"/>
        </w:rPr>
        <w:t> </w:t>
      </w:r>
      <w:r>
        <w:rPr/>
        <w:t>elements</w:t>
      </w:r>
      <w:r>
        <w:rPr>
          <w:spacing w:val="-15"/>
        </w:rPr>
        <w:t> </w:t>
      </w:r>
      <w:r>
        <w:rPr/>
        <w:t>will</w:t>
      </w:r>
      <w:r>
        <w:rPr>
          <w:spacing w:val="-16"/>
        </w:rPr>
        <w:t> </w:t>
      </w:r>
      <w:r>
        <w:rPr/>
        <w:t>help</w:t>
      </w:r>
      <w:r>
        <w:rPr>
          <w:spacing w:val="-14"/>
        </w:rPr>
        <w:t> </w:t>
      </w:r>
      <w:r>
        <w:rPr/>
        <w:t>to</w:t>
      </w:r>
      <w:r>
        <w:rPr>
          <w:spacing w:val="-14"/>
        </w:rPr>
        <w:t> </w:t>
      </w:r>
      <w:r>
        <w:rPr/>
        <w:t>improve</w:t>
      </w:r>
      <w:r>
        <w:rPr>
          <w:spacing w:val="-16"/>
        </w:rPr>
        <w:t> </w:t>
      </w:r>
      <w:r>
        <w:rPr/>
        <w:t>equity</w:t>
      </w:r>
      <w:r>
        <w:rPr>
          <w:spacing w:val="-13"/>
        </w:rPr>
        <w:t> </w:t>
      </w:r>
      <w:r>
        <w:rPr/>
        <w:t>in</w:t>
      </w:r>
      <w:r>
        <w:rPr>
          <w:spacing w:val="-16"/>
        </w:rPr>
        <w:t> </w:t>
      </w:r>
      <w:r>
        <w:rPr/>
        <w:t>the</w:t>
      </w:r>
      <w:r>
        <w:rPr>
          <w:spacing w:val="-13"/>
        </w:rPr>
        <w:t> </w:t>
      </w:r>
      <w:r>
        <w:rPr/>
        <w:t>distribution of the rate burden across residents.</w:t>
      </w:r>
    </w:p>
    <w:p>
      <w:pPr>
        <w:pStyle w:val="BodyText"/>
        <w:spacing w:before="10"/>
        <w:rPr>
          <w:sz w:val="21"/>
        </w:rPr>
      </w:pPr>
    </w:p>
    <w:p>
      <w:pPr>
        <w:pStyle w:val="BodyText"/>
        <w:spacing w:before="1"/>
        <w:ind w:left="1440" w:right="1432"/>
        <w:jc w:val="both"/>
      </w:pPr>
      <w:r>
        <w:rPr/>
        <w:t>Council</w:t>
      </w:r>
      <w:r>
        <w:rPr>
          <w:spacing w:val="-13"/>
        </w:rPr>
        <w:t> </w:t>
      </w:r>
      <w:r>
        <w:rPr/>
        <w:t>makes</w:t>
      </w:r>
      <w:r>
        <w:rPr>
          <w:spacing w:val="-13"/>
        </w:rPr>
        <w:t> </w:t>
      </w:r>
      <w:r>
        <w:rPr/>
        <w:t>a</w:t>
      </w:r>
      <w:r>
        <w:rPr>
          <w:spacing w:val="-14"/>
        </w:rPr>
        <w:t> </w:t>
      </w:r>
      <w:r>
        <w:rPr/>
        <w:t>further</w:t>
      </w:r>
      <w:r>
        <w:rPr>
          <w:spacing w:val="-12"/>
        </w:rPr>
        <w:t> </w:t>
      </w:r>
      <w:r>
        <w:rPr/>
        <w:t>distinction</w:t>
      </w:r>
      <w:r>
        <w:rPr>
          <w:spacing w:val="-12"/>
        </w:rPr>
        <w:t> </w:t>
      </w:r>
      <w:r>
        <w:rPr/>
        <w:t>when</w:t>
      </w:r>
      <w:r>
        <w:rPr>
          <w:spacing w:val="-14"/>
        </w:rPr>
        <w:t> </w:t>
      </w:r>
      <w:r>
        <w:rPr/>
        <w:t>applying</w:t>
      </w:r>
      <w:r>
        <w:rPr>
          <w:spacing w:val="-12"/>
        </w:rPr>
        <w:t> </w:t>
      </w:r>
      <w:r>
        <w:rPr/>
        <w:t>general</w:t>
      </w:r>
      <w:r>
        <w:rPr>
          <w:spacing w:val="-13"/>
        </w:rPr>
        <w:t> </w:t>
      </w:r>
      <w:r>
        <w:rPr/>
        <w:t>rates</w:t>
      </w:r>
      <w:r>
        <w:rPr>
          <w:spacing w:val="-13"/>
        </w:rPr>
        <w:t> </w:t>
      </w:r>
      <w:r>
        <w:rPr/>
        <w:t>by</w:t>
      </w:r>
      <w:r>
        <w:rPr>
          <w:spacing w:val="-13"/>
        </w:rPr>
        <w:t> </w:t>
      </w:r>
      <w:r>
        <w:rPr/>
        <w:t>applying</w:t>
      </w:r>
      <w:r>
        <w:rPr>
          <w:spacing w:val="-12"/>
        </w:rPr>
        <w:t> </w:t>
      </w:r>
      <w:r>
        <w:rPr/>
        <w:t>rating</w:t>
      </w:r>
      <w:r>
        <w:rPr>
          <w:spacing w:val="-12"/>
        </w:rPr>
        <w:t> </w:t>
      </w:r>
      <w:r>
        <w:rPr/>
        <w:t>differentials based</w:t>
      </w:r>
      <w:r>
        <w:rPr>
          <w:spacing w:val="-4"/>
        </w:rPr>
        <w:t> </w:t>
      </w:r>
      <w:r>
        <w:rPr/>
        <w:t>on</w:t>
      </w:r>
      <w:r>
        <w:rPr>
          <w:spacing w:val="-6"/>
        </w:rPr>
        <w:t> </w:t>
      </w:r>
      <w:r>
        <w:rPr/>
        <w:t>the</w:t>
      </w:r>
      <w:r>
        <w:rPr>
          <w:spacing w:val="-4"/>
        </w:rPr>
        <w:t> </w:t>
      </w:r>
      <w:r>
        <w:rPr/>
        <w:t>purpose</w:t>
      </w:r>
      <w:r>
        <w:rPr>
          <w:spacing w:val="-6"/>
        </w:rPr>
        <w:t> </w:t>
      </w:r>
      <w:r>
        <w:rPr/>
        <w:t>for</w:t>
      </w:r>
      <w:r>
        <w:rPr>
          <w:spacing w:val="-4"/>
        </w:rPr>
        <w:t> </w:t>
      </w:r>
      <w:r>
        <w:rPr/>
        <w:t>which</w:t>
      </w:r>
      <w:r>
        <w:rPr>
          <w:spacing w:val="-4"/>
        </w:rPr>
        <w:t> </w:t>
      </w:r>
      <w:r>
        <w:rPr/>
        <w:t>the</w:t>
      </w:r>
      <w:r>
        <w:rPr>
          <w:spacing w:val="-4"/>
        </w:rPr>
        <w:t> </w:t>
      </w:r>
      <w:r>
        <w:rPr/>
        <w:t>property</w:t>
      </w:r>
      <w:r>
        <w:rPr>
          <w:spacing w:val="-6"/>
        </w:rPr>
        <w:t> </w:t>
      </w:r>
      <w:r>
        <w:rPr/>
        <w:t>is</w:t>
      </w:r>
      <w:r>
        <w:rPr>
          <w:spacing w:val="-4"/>
        </w:rPr>
        <w:t> </w:t>
      </w:r>
      <w:r>
        <w:rPr/>
        <w:t>used.</w:t>
      </w:r>
      <w:r>
        <w:rPr>
          <w:spacing w:val="-1"/>
        </w:rPr>
        <w:t> </w:t>
      </w:r>
      <w:r>
        <w:rPr/>
        <w:t>That</w:t>
      </w:r>
      <w:r>
        <w:rPr>
          <w:spacing w:val="-1"/>
        </w:rPr>
        <w:t> </w:t>
      </w:r>
      <w:r>
        <w:rPr/>
        <w:t>is,</w:t>
      </w:r>
      <w:r>
        <w:rPr>
          <w:spacing w:val="-4"/>
        </w:rPr>
        <w:t> </w:t>
      </w:r>
      <w:r>
        <w:rPr/>
        <w:t>whether</w:t>
      </w:r>
      <w:r>
        <w:rPr>
          <w:spacing w:val="-2"/>
        </w:rPr>
        <w:t> </w:t>
      </w:r>
      <w:r>
        <w:rPr/>
        <w:t>the</w:t>
      </w:r>
      <w:r>
        <w:rPr>
          <w:spacing w:val="-8"/>
        </w:rPr>
        <w:t> </w:t>
      </w:r>
      <w:r>
        <w:rPr/>
        <w:t>property</w:t>
      </w:r>
      <w:r>
        <w:rPr>
          <w:spacing w:val="-4"/>
        </w:rPr>
        <w:t> </w:t>
      </w:r>
      <w:r>
        <w:rPr/>
        <w:t>is</w:t>
      </w:r>
      <w:r>
        <w:rPr>
          <w:spacing w:val="-4"/>
        </w:rPr>
        <w:t> </w:t>
      </w:r>
      <w:r>
        <w:rPr/>
        <w:t>used</w:t>
      </w:r>
      <w:r>
        <w:rPr>
          <w:spacing w:val="-5"/>
        </w:rPr>
        <w:t> </w:t>
      </w:r>
      <w:r>
        <w:rPr/>
        <w:t>for residential, commercial/industrial, or farming purposes. This distinction is based on the concept that different property categories should pay a fair and equitable contribution, considering the benefits those properties derive from the local community.</w:t>
      </w:r>
    </w:p>
    <w:p>
      <w:pPr>
        <w:pStyle w:val="BodyText"/>
        <w:spacing w:before="1"/>
      </w:pPr>
    </w:p>
    <w:p>
      <w:pPr>
        <w:pStyle w:val="BodyText"/>
        <w:ind w:left="1440" w:right="1434"/>
        <w:jc w:val="both"/>
      </w:pPr>
      <w:r>
        <w:rPr/>
        <w:t>The Maroondah City Council rating structure comprises five differential rates (general land, commercial land industrial land, Vacant Land and Derelict Land). These rates are structured in accordance with the requirements of Section 161 ‘Differential Rates’ of the </w:t>
      </w:r>
      <w:r>
        <w:rPr>
          <w:i/>
        </w:rPr>
        <w:t>Local</w:t>
      </w:r>
      <w:r>
        <w:rPr>
          <w:i/>
        </w:rPr>
        <w:t> Government Act 1989</w:t>
      </w:r>
      <w:r>
        <w:rPr/>
        <w:t>, and the Ministerial Guidelines for Differential Rating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7">
            <wp:simplePos x="0" y="0"/>
            <wp:positionH relativeFrom="page">
              <wp:posOffset>27432</wp:posOffset>
            </wp:positionH>
            <wp:positionV relativeFrom="paragraph">
              <wp:posOffset>196835</wp:posOffset>
            </wp:positionV>
            <wp:extent cx="7378567" cy="97440"/>
            <wp:effectExtent l="0" t="0" r="0" b="0"/>
            <wp:wrapTopAndBottom/>
            <wp:docPr id="13" name="image4.png"/>
            <wp:cNvGraphicFramePr>
              <a:graphicFrameLocks noChangeAspect="1"/>
            </wp:cNvGraphicFramePr>
            <a:graphic>
              <a:graphicData uri="http://schemas.openxmlformats.org/drawingml/2006/picture">
                <pic:pic>
                  <pic:nvPicPr>
                    <pic:cNvPr id="14"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24"/>
        </w:rPr>
        <w:sectPr>
          <w:pgSz w:w="11910" w:h="16840"/>
          <w:pgMar w:header="0" w:footer="662" w:top="1360" w:bottom="860" w:left="0" w:right="0"/>
        </w:sectPr>
      </w:pPr>
    </w:p>
    <w:p>
      <w:pPr>
        <w:pStyle w:val="BodyText"/>
        <w:rPr>
          <w:sz w:val="20"/>
        </w:rPr>
      </w:pPr>
    </w:p>
    <w:p>
      <w:pPr>
        <w:pStyle w:val="BodyText"/>
        <w:rPr>
          <w:sz w:val="20"/>
        </w:rPr>
      </w:pPr>
    </w:p>
    <w:p>
      <w:pPr>
        <w:pStyle w:val="BodyText"/>
        <w:rPr>
          <w:sz w:val="25"/>
        </w:rPr>
      </w:pPr>
    </w:p>
    <w:p>
      <w:pPr>
        <w:pStyle w:val="BodyText"/>
        <w:spacing w:before="94"/>
        <w:ind w:left="1440"/>
      </w:pPr>
      <w:r>
        <w:rPr/>
        <w:drawing>
          <wp:anchor distT="0" distB="0" distL="0" distR="0" allowOverlap="1" layoutInCell="1" locked="0" behindDoc="0" simplePos="0" relativeHeight="15732736">
            <wp:simplePos x="0" y="0"/>
            <wp:positionH relativeFrom="page">
              <wp:posOffset>6461760</wp:posOffset>
            </wp:positionH>
            <wp:positionV relativeFrom="paragraph">
              <wp:posOffset>-479833</wp:posOffset>
            </wp:positionV>
            <wp:extent cx="545591" cy="637031"/>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8" cstate="print"/>
                    <a:stretch>
                      <a:fillRect/>
                    </a:stretch>
                  </pic:blipFill>
                  <pic:spPr>
                    <a:xfrm>
                      <a:off x="0" y="0"/>
                      <a:ext cx="545591" cy="637031"/>
                    </a:xfrm>
                    <a:prstGeom prst="rect">
                      <a:avLst/>
                    </a:prstGeom>
                  </pic:spPr>
                </pic:pic>
              </a:graphicData>
            </a:graphic>
          </wp:anchor>
        </w:drawing>
      </w:r>
      <w:r>
        <w:rPr/>
        <w:t>The</w:t>
      </w:r>
      <w:r>
        <w:rPr>
          <w:spacing w:val="-3"/>
        </w:rPr>
        <w:t> </w:t>
      </w:r>
      <w:r>
        <w:rPr/>
        <w:t>differential</w:t>
      </w:r>
      <w:r>
        <w:rPr>
          <w:spacing w:val="-5"/>
        </w:rPr>
        <w:t> </w:t>
      </w:r>
      <w:r>
        <w:rPr/>
        <w:t>rates</w:t>
      </w:r>
      <w:r>
        <w:rPr>
          <w:spacing w:val="-3"/>
        </w:rPr>
        <w:t> </w:t>
      </w:r>
      <w:r>
        <w:rPr/>
        <w:t>are</w:t>
      </w:r>
      <w:r>
        <w:rPr>
          <w:spacing w:val="-8"/>
        </w:rPr>
        <w:t> </w:t>
      </w:r>
      <w:r>
        <w:rPr/>
        <w:t>currently</w:t>
      </w:r>
      <w:r>
        <w:rPr>
          <w:spacing w:val="-1"/>
        </w:rPr>
        <w:t> </w:t>
      </w:r>
      <w:r>
        <w:rPr/>
        <w:t>set</w:t>
      </w:r>
      <w:r>
        <w:rPr>
          <w:spacing w:val="-1"/>
        </w:rPr>
        <w:t> </w:t>
      </w:r>
      <w:r>
        <w:rPr/>
        <w:t>as</w:t>
      </w:r>
      <w:r>
        <w:rPr>
          <w:spacing w:val="-4"/>
        </w:rPr>
        <w:t> </w:t>
      </w:r>
      <w:r>
        <w:rPr>
          <w:spacing w:val="-2"/>
        </w:rPr>
        <w:t>follows:</w:t>
      </w:r>
    </w:p>
    <w:p>
      <w:pPr>
        <w:pStyle w:val="ListParagraph"/>
        <w:numPr>
          <w:ilvl w:val="0"/>
          <w:numId w:val="4"/>
        </w:numPr>
        <w:tabs>
          <w:tab w:pos="1799" w:val="left" w:leader="none"/>
          <w:tab w:pos="1800" w:val="left" w:leader="none"/>
        </w:tabs>
        <w:spacing w:line="269" w:lineRule="exact" w:before="1" w:after="0"/>
        <w:ind w:left="1799" w:right="0" w:hanging="360"/>
        <w:jc w:val="left"/>
        <w:rPr>
          <w:sz w:val="22"/>
        </w:rPr>
      </w:pPr>
      <w:r>
        <w:rPr>
          <w:sz w:val="22"/>
        </w:rPr>
        <w:t>General</w:t>
      </w:r>
      <w:r>
        <w:rPr>
          <w:spacing w:val="-4"/>
          <w:sz w:val="22"/>
        </w:rPr>
        <w:t> </w:t>
      </w:r>
      <w:r>
        <w:rPr>
          <w:sz w:val="22"/>
        </w:rPr>
        <w:t>Land</w:t>
      </w:r>
      <w:r>
        <w:rPr>
          <w:spacing w:val="-2"/>
          <w:sz w:val="22"/>
        </w:rPr>
        <w:t> </w:t>
      </w:r>
      <w:r>
        <w:rPr>
          <w:spacing w:val="-4"/>
          <w:sz w:val="22"/>
        </w:rPr>
        <w:t>100%</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Commercial</w:t>
      </w:r>
      <w:r>
        <w:rPr>
          <w:spacing w:val="-7"/>
          <w:sz w:val="22"/>
        </w:rPr>
        <w:t> </w:t>
      </w:r>
      <w:r>
        <w:rPr>
          <w:sz w:val="22"/>
        </w:rPr>
        <w:t>Land</w:t>
      </w:r>
      <w:r>
        <w:rPr>
          <w:spacing w:val="-4"/>
          <w:sz w:val="22"/>
        </w:rPr>
        <w:t> 120%</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Industrial</w:t>
      </w:r>
      <w:r>
        <w:rPr>
          <w:spacing w:val="-5"/>
          <w:sz w:val="22"/>
        </w:rPr>
        <w:t> </w:t>
      </w:r>
      <w:r>
        <w:rPr>
          <w:sz w:val="22"/>
        </w:rPr>
        <w:t>Land</w:t>
      </w:r>
      <w:r>
        <w:rPr>
          <w:spacing w:val="-3"/>
          <w:sz w:val="22"/>
        </w:rPr>
        <w:t> </w:t>
      </w:r>
      <w:r>
        <w:rPr>
          <w:spacing w:val="-4"/>
          <w:sz w:val="22"/>
        </w:rPr>
        <w:t>120%</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Vacant</w:t>
      </w:r>
      <w:r>
        <w:rPr>
          <w:spacing w:val="-4"/>
          <w:sz w:val="22"/>
        </w:rPr>
        <w:t> </w:t>
      </w:r>
      <w:r>
        <w:rPr>
          <w:sz w:val="22"/>
        </w:rPr>
        <w:t>Land</w:t>
      </w:r>
      <w:r>
        <w:rPr>
          <w:spacing w:val="-4"/>
          <w:sz w:val="22"/>
        </w:rPr>
        <w:t> 150%</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Derelict</w:t>
      </w:r>
      <w:r>
        <w:rPr>
          <w:spacing w:val="-4"/>
          <w:sz w:val="22"/>
        </w:rPr>
        <w:t> </w:t>
      </w:r>
      <w:r>
        <w:rPr>
          <w:sz w:val="22"/>
        </w:rPr>
        <w:t>Land </w:t>
      </w:r>
      <w:r>
        <w:rPr>
          <w:spacing w:val="-4"/>
          <w:sz w:val="22"/>
        </w:rPr>
        <w:t>200%</w:t>
      </w:r>
    </w:p>
    <w:p>
      <w:pPr>
        <w:pStyle w:val="BodyText"/>
        <w:rPr>
          <w:sz w:val="16"/>
        </w:rPr>
      </w:pPr>
    </w:p>
    <w:p>
      <w:pPr>
        <w:pStyle w:val="BodyText"/>
        <w:spacing w:before="94"/>
        <w:ind w:left="1440" w:right="1437"/>
        <w:jc w:val="both"/>
      </w:pPr>
      <w:r>
        <w:rPr/>
        <w:t>The formula for calculating General Rates, excluding any additional charges, arrears or additional supplementary rates is:</w:t>
      </w:r>
    </w:p>
    <w:p>
      <w:pPr>
        <w:pStyle w:val="ListParagraph"/>
        <w:numPr>
          <w:ilvl w:val="1"/>
          <w:numId w:val="4"/>
        </w:numPr>
        <w:tabs>
          <w:tab w:pos="2159" w:val="left" w:leader="none"/>
          <w:tab w:pos="2160" w:val="left" w:leader="none"/>
        </w:tabs>
        <w:spacing w:line="240" w:lineRule="auto" w:before="0" w:after="0"/>
        <w:ind w:left="2159" w:right="0" w:hanging="360"/>
        <w:jc w:val="left"/>
        <w:rPr>
          <w:sz w:val="22"/>
        </w:rPr>
      </w:pPr>
      <w:r>
        <w:rPr>
          <w:sz w:val="22"/>
        </w:rPr>
        <w:t>Valuation</w:t>
      </w:r>
      <w:r>
        <w:rPr>
          <w:spacing w:val="-3"/>
          <w:sz w:val="22"/>
        </w:rPr>
        <w:t> </w:t>
      </w:r>
      <w:r>
        <w:rPr>
          <w:sz w:val="22"/>
        </w:rPr>
        <w:t>(Capital</w:t>
      </w:r>
      <w:r>
        <w:rPr>
          <w:spacing w:val="-3"/>
          <w:sz w:val="22"/>
        </w:rPr>
        <w:t> </w:t>
      </w:r>
      <w:r>
        <w:rPr>
          <w:sz w:val="22"/>
        </w:rPr>
        <w:t>Improved</w:t>
      </w:r>
      <w:r>
        <w:rPr>
          <w:spacing w:val="-3"/>
          <w:sz w:val="22"/>
        </w:rPr>
        <w:t> </w:t>
      </w:r>
      <w:r>
        <w:rPr>
          <w:sz w:val="22"/>
        </w:rPr>
        <w:t>Value)</w:t>
      </w:r>
      <w:r>
        <w:rPr>
          <w:spacing w:val="-2"/>
          <w:sz w:val="22"/>
        </w:rPr>
        <w:t> </w:t>
      </w:r>
      <w:r>
        <w:rPr>
          <w:sz w:val="22"/>
        </w:rPr>
        <w:t>x</w:t>
      </w:r>
      <w:r>
        <w:rPr>
          <w:spacing w:val="-3"/>
          <w:sz w:val="22"/>
        </w:rPr>
        <w:t> </w:t>
      </w:r>
      <w:r>
        <w:rPr>
          <w:sz w:val="22"/>
        </w:rPr>
        <w:t>Rate</w:t>
      </w:r>
      <w:r>
        <w:rPr>
          <w:spacing w:val="-5"/>
          <w:sz w:val="22"/>
        </w:rPr>
        <w:t> </w:t>
      </w:r>
      <w:r>
        <w:rPr>
          <w:sz w:val="22"/>
        </w:rPr>
        <w:t>in</w:t>
      </w:r>
      <w:r>
        <w:rPr>
          <w:spacing w:val="-5"/>
          <w:sz w:val="22"/>
        </w:rPr>
        <w:t> </w:t>
      </w:r>
      <w:r>
        <w:rPr>
          <w:sz w:val="22"/>
        </w:rPr>
        <w:t>the</w:t>
      </w:r>
      <w:r>
        <w:rPr>
          <w:spacing w:val="-5"/>
          <w:sz w:val="22"/>
        </w:rPr>
        <w:t> </w:t>
      </w:r>
      <w:r>
        <w:rPr>
          <w:sz w:val="22"/>
        </w:rPr>
        <w:t>Dollar</w:t>
      </w:r>
      <w:r>
        <w:rPr>
          <w:spacing w:val="-3"/>
          <w:sz w:val="22"/>
        </w:rPr>
        <w:t> </w:t>
      </w:r>
      <w:r>
        <w:rPr>
          <w:sz w:val="22"/>
        </w:rPr>
        <w:t>(Differential</w:t>
      </w:r>
      <w:r>
        <w:rPr>
          <w:spacing w:val="-3"/>
          <w:sz w:val="22"/>
        </w:rPr>
        <w:t> </w:t>
      </w:r>
      <w:r>
        <w:rPr>
          <w:sz w:val="22"/>
        </w:rPr>
        <w:t>Rate</w:t>
      </w:r>
      <w:r>
        <w:rPr>
          <w:spacing w:val="-8"/>
          <w:sz w:val="22"/>
        </w:rPr>
        <w:t> </w:t>
      </w:r>
      <w:r>
        <w:rPr>
          <w:spacing w:val="-2"/>
          <w:sz w:val="22"/>
        </w:rPr>
        <w:t>Type)</w:t>
      </w:r>
    </w:p>
    <w:p>
      <w:pPr>
        <w:pStyle w:val="BodyText"/>
        <w:spacing w:before="10"/>
        <w:rPr>
          <w:sz w:val="21"/>
        </w:rPr>
      </w:pPr>
    </w:p>
    <w:p>
      <w:pPr>
        <w:pStyle w:val="BodyText"/>
        <w:ind w:left="1440" w:right="1437"/>
        <w:jc w:val="both"/>
      </w:pPr>
      <w:r>
        <w:rPr/>
        <w:t>The rate in the dollar for each rating differential category is included in Council’s annual </w:t>
      </w:r>
      <w:r>
        <w:rPr>
          <w:spacing w:val="-2"/>
        </w:rPr>
        <w:t>budget.</w:t>
      </w:r>
    </w:p>
    <w:p>
      <w:pPr>
        <w:pStyle w:val="BodyText"/>
      </w:pPr>
    </w:p>
    <w:p>
      <w:pPr>
        <w:pStyle w:val="BodyText"/>
        <w:ind w:left="1440" w:right="1432"/>
        <w:jc w:val="both"/>
      </w:pPr>
      <w:r>
        <w:rPr/>
        <w:t>Council is aware of the balance between rate revenue (as an important income source) and community sensitivity to rate increases. With the introduction of the State Government’s Fair Go Rates System, all rate increases are capped to a rate declared by the Minister for Local Government, which is announced in December for the following financial year.</w:t>
      </w:r>
    </w:p>
    <w:p>
      <w:pPr>
        <w:pStyle w:val="BodyText"/>
        <w:spacing w:before="11"/>
        <w:rPr>
          <w:sz w:val="21"/>
        </w:rPr>
      </w:pPr>
    </w:p>
    <w:p>
      <w:pPr>
        <w:pStyle w:val="BodyText"/>
        <w:ind w:left="1440" w:right="1433"/>
        <w:jc w:val="both"/>
      </w:pPr>
      <w:r>
        <w:rPr/>
        <w:t>Council</w:t>
      </w:r>
      <w:r>
        <w:rPr>
          <w:spacing w:val="-5"/>
        </w:rPr>
        <w:t> </w:t>
      </w:r>
      <w:r>
        <w:rPr/>
        <w:t>currently</w:t>
      </w:r>
      <w:r>
        <w:rPr>
          <w:spacing w:val="-4"/>
        </w:rPr>
        <w:t> </w:t>
      </w:r>
      <w:r>
        <w:rPr/>
        <w:t>utilises</w:t>
      </w:r>
      <w:r>
        <w:rPr>
          <w:spacing w:val="-6"/>
        </w:rPr>
        <w:t> </w:t>
      </w:r>
      <w:r>
        <w:rPr/>
        <w:t>a</w:t>
      </w:r>
      <w:r>
        <w:rPr>
          <w:spacing w:val="-4"/>
        </w:rPr>
        <w:t> </w:t>
      </w:r>
      <w:r>
        <w:rPr/>
        <w:t>service</w:t>
      </w:r>
      <w:r>
        <w:rPr>
          <w:spacing w:val="-8"/>
        </w:rPr>
        <w:t> </w:t>
      </w:r>
      <w:r>
        <w:rPr/>
        <w:t>charge</w:t>
      </w:r>
      <w:r>
        <w:rPr>
          <w:spacing w:val="-10"/>
        </w:rPr>
        <w:t> </w:t>
      </w:r>
      <w:r>
        <w:rPr/>
        <w:t>to</w:t>
      </w:r>
      <w:r>
        <w:rPr>
          <w:spacing w:val="-8"/>
        </w:rPr>
        <w:t> </w:t>
      </w:r>
      <w:r>
        <w:rPr/>
        <w:t>fully</w:t>
      </w:r>
      <w:r>
        <w:rPr>
          <w:spacing w:val="-6"/>
        </w:rPr>
        <w:t> </w:t>
      </w:r>
      <w:r>
        <w:rPr/>
        <w:t>recover</w:t>
      </w:r>
      <w:r>
        <w:rPr>
          <w:spacing w:val="-4"/>
        </w:rPr>
        <w:t> </w:t>
      </w:r>
      <w:r>
        <w:rPr/>
        <w:t>the</w:t>
      </w:r>
      <w:r>
        <w:rPr>
          <w:spacing w:val="-6"/>
        </w:rPr>
        <w:t> </w:t>
      </w:r>
      <w:r>
        <w:rPr/>
        <w:t>cost</w:t>
      </w:r>
      <w:r>
        <w:rPr>
          <w:spacing w:val="-6"/>
        </w:rPr>
        <w:t> </w:t>
      </w:r>
      <w:r>
        <w:rPr/>
        <w:t>of</w:t>
      </w:r>
      <w:r>
        <w:rPr>
          <w:spacing w:val="-4"/>
        </w:rPr>
        <w:t> </w:t>
      </w:r>
      <w:r>
        <w:rPr/>
        <w:t>Council’s</w:t>
      </w:r>
      <w:r>
        <w:rPr>
          <w:spacing w:val="-4"/>
        </w:rPr>
        <w:t> </w:t>
      </w:r>
      <w:r>
        <w:rPr/>
        <w:t>waste</w:t>
      </w:r>
      <w:r>
        <w:rPr>
          <w:spacing w:val="-6"/>
        </w:rPr>
        <w:t> </w:t>
      </w:r>
      <w:r>
        <w:rPr/>
        <w:t>services and provide for future landfill rehabilitation costs. The garbage service charge is not capped under</w:t>
      </w:r>
      <w:r>
        <w:rPr>
          <w:spacing w:val="-1"/>
        </w:rPr>
        <w:t> </w:t>
      </w:r>
      <w:r>
        <w:rPr/>
        <w:t>the</w:t>
      </w:r>
      <w:r>
        <w:rPr>
          <w:spacing w:val="-2"/>
        </w:rPr>
        <w:t> </w:t>
      </w:r>
      <w:r>
        <w:rPr/>
        <w:t>Fair</w:t>
      </w:r>
      <w:r>
        <w:rPr>
          <w:spacing w:val="-4"/>
        </w:rPr>
        <w:t> </w:t>
      </w:r>
      <w:r>
        <w:rPr/>
        <w:t>Go</w:t>
      </w:r>
      <w:r>
        <w:rPr>
          <w:spacing w:val="-5"/>
        </w:rPr>
        <w:t> </w:t>
      </w:r>
      <w:r>
        <w:rPr/>
        <w:t>Rates</w:t>
      </w:r>
      <w:r>
        <w:rPr>
          <w:spacing w:val="-5"/>
        </w:rPr>
        <w:t> </w:t>
      </w:r>
      <w:r>
        <w:rPr/>
        <w:t>System,</w:t>
      </w:r>
      <w:r>
        <w:rPr>
          <w:spacing w:val="-3"/>
        </w:rPr>
        <w:t> </w:t>
      </w:r>
      <w:r>
        <w:rPr/>
        <w:t>and</w:t>
      </w:r>
      <w:r>
        <w:rPr>
          <w:spacing w:val="-3"/>
        </w:rPr>
        <w:t> </w:t>
      </w:r>
      <w:r>
        <w:rPr/>
        <w:t>Council</w:t>
      </w:r>
      <w:r>
        <w:rPr>
          <w:spacing w:val="-1"/>
        </w:rPr>
        <w:t> </w:t>
      </w:r>
      <w:r>
        <w:rPr/>
        <w:t>will</w:t>
      </w:r>
      <w:r>
        <w:rPr>
          <w:spacing w:val="-1"/>
        </w:rPr>
        <w:t> </w:t>
      </w:r>
      <w:r>
        <w:rPr/>
        <w:t>continue</w:t>
      </w:r>
      <w:r>
        <w:rPr>
          <w:spacing w:val="-3"/>
        </w:rPr>
        <w:t> </w:t>
      </w:r>
      <w:r>
        <w:rPr/>
        <w:t>to</w:t>
      </w:r>
      <w:r>
        <w:rPr>
          <w:spacing w:val="-3"/>
        </w:rPr>
        <w:t> </w:t>
      </w:r>
      <w:r>
        <w:rPr/>
        <w:t>allocate</w:t>
      </w:r>
      <w:r>
        <w:rPr>
          <w:spacing w:val="-1"/>
        </w:rPr>
        <w:t> </w:t>
      </w:r>
      <w:r>
        <w:rPr/>
        <w:t>surplus</w:t>
      </w:r>
      <w:r>
        <w:rPr>
          <w:spacing w:val="-3"/>
        </w:rPr>
        <w:t> </w:t>
      </w:r>
      <w:r>
        <w:rPr/>
        <w:t>funds</w:t>
      </w:r>
      <w:r>
        <w:rPr>
          <w:spacing w:val="-3"/>
        </w:rPr>
        <w:t> </w:t>
      </w:r>
      <w:r>
        <w:rPr/>
        <w:t>from</w:t>
      </w:r>
      <w:r>
        <w:rPr>
          <w:spacing w:val="-5"/>
        </w:rPr>
        <w:t> </w:t>
      </w:r>
      <w:r>
        <w:rPr/>
        <w:t>this charge towards the provision of waste services.</w:t>
      </w:r>
    </w:p>
    <w:p>
      <w:pPr>
        <w:pStyle w:val="BodyText"/>
        <w:rPr>
          <w:sz w:val="24"/>
        </w:rPr>
      </w:pPr>
    </w:p>
    <w:p>
      <w:pPr>
        <w:pStyle w:val="Heading2"/>
        <w:numPr>
          <w:ilvl w:val="1"/>
          <w:numId w:val="3"/>
        </w:numPr>
        <w:tabs>
          <w:tab w:pos="2161" w:val="left" w:leader="none"/>
          <w:tab w:pos="2162" w:val="left" w:leader="none"/>
        </w:tabs>
        <w:spacing w:line="240" w:lineRule="auto" w:before="178" w:after="0"/>
        <w:ind w:left="2161" w:right="0" w:hanging="722"/>
        <w:jc w:val="left"/>
        <w:rPr>
          <w:color w:val="134295"/>
        </w:rPr>
      </w:pPr>
      <w:bookmarkStart w:name="_TOC_250017" w:id="5"/>
      <w:r>
        <w:rPr>
          <w:color w:val="134295"/>
        </w:rPr>
        <w:t>Rating</w:t>
      </w:r>
      <w:r>
        <w:rPr>
          <w:color w:val="134295"/>
          <w:spacing w:val="-13"/>
        </w:rPr>
        <w:t> </w:t>
      </w:r>
      <w:bookmarkEnd w:id="5"/>
      <w:r>
        <w:rPr>
          <w:color w:val="134295"/>
          <w:spacing w:val="-2"/>
        </w:rPr>
        <w:t>Legislation</w:t>
      </w:r>
    </w:p>
    <w:p>
      <w:pPr>
        <w:pStyle w:val="BodyText"/>
        <w:spacing w:before="252"/>
        <w:ind w:left="1440" w:right="1435"/>
        <w:jc w:val="both"/>
      </w:pPr>
      <w:r>
        <w:rPr/>
        <w:t>The legislative framework set out in the Local Government Act 1989 determines council’s ability to develop a</w:t>
      </w:r>
      <w:r>
        <w:rPr>
          <w:spacing w:val="-1"/>
        </w:rPr>
        <w:t> </w:t>
      </w:r>
      <w:r>
        <w:rPr/>
        <w:t>rating system. The framework</w:t>
      </w:r>
      <w:r>
        <w:rPr>
          <w:spacing w:val="-1"/>
        </w:rPr>
        <w:t> </w:t>
      </w:r>
      <w:r>
        <w:rPr/>
        <w:t>provides significant flexibility for Council to tailor a system that suits its needs. The advantages and disadvantages of the respective valuation</w:t>
      </w:r>
      <w:r>
        <w:rPr>
          <w:spacing w:val="-14"/>
        </w:rPr>
        <w:t> </w:t>
      </w:r>
      <w:r>
        <w:rPr/>
        <w:t>basis</w:t>
      </w:r>
      <w:r>
        <w:rPr>
          <w:spacing w:val="-15"/>
        </w:rPr>
        <w:t> </w:t>
      </w:r>
      <w:r>
        <w:rPr/>
        <w:t>are</w:t>
      </w:r>
      <w:r>
        <w:rPr>
          <w:spacing w:val="-14"/>
        </w:rPr>
        <w:t> </w:t>
      </w:r>
      <w:r>
        <w:rPr/>
        <w:t>discussed</w:t>
      </w:r>
      <w:r>
        <w:rPr>
          <w:spacing w:val="-14"/>
        </w:rPr>
        <w:t> </w:t>
      </w:r>
      <w:r>
        <w:rPr/>
        <w:t>further</w:t>
      </w:r>
      <w:r>
        <w:rPr>
          <w:spacing w:val="-14"/>
        </w:rPr>
        <w:t> </w:t>
      </w:r>
      <w:r>
        <w:rPr/>
        <w:t>in</w:t>
      </w:r>
      <w:r>
        <w:rPr>
          <w:spacing w:val="-14"/>
        </w:rPr>
        <w:t> </w:t>
      </w:r>
      <w:r>
        <w:rPr/>
        <w:t>this</w:t>
      </w:r>
      <w:r>
        <w:rPr>
          <w:spacing w:val="-15"/>
        </w:rPr>
        <w:t> </w:t>
      </w:r>
      <w:r>
        <w:rPr/>
        <w:t>document.</w:t>
      </w:r>
      <w:r>
        <w:rPr>
          <w:spacing w:val="-13"/>
        </w:rPr>
        <w:t> </w:t>
      </w:r>
      <w:r>
        <w:rPr/>
        <w:t>Whilst</w:t>
      </w:r>
      <w:r>
        <w:rPr>
          <w:spacing w:val="-15"/>
        </w:rPr>
        <w:t> </w:t>
      </w:r>
      <w:r>
        <w:rPr/>
        <w:t>this</w:t>
      </w:r>
      <w:r>
        <w:rPr>
          <w:spacing w:val="-15"/>
        </w:rPr>
        <w:t> </w:t>
      </w:r>
      <w:r>
        <w:rPr/>
        <w:t>document</w:t>
      </w:r>
      <w:r>
        <w:rPr>
          <w:spacing w:val="-12"/>
        </w:rPr>
        <w:t> </w:t>
      </w:r>
      <w:r>
        <w:rPr/>
        <w:t>outlines</w:t>
      </w:r>
      <w:r>
        <w:rPr>
          <w:spacing w:val="-14"/>
        </w:rPr>
        <w:t> </w:t>
      </w:r>
      <w:r>
        <w:rPr/>
        <w:t>Council’s strategy</w:t>
      </w:r>
      <w:r>
        <w:rPr>
          <w:spacing w:val="-4"/>
        </w:rPr>
        <w:t> </w:t>
      </w:r>
      <w:r>
        <w:rPr/>
        <w:t>regarding</w:t>
      </w:r>
      <w:r>
        <w:rPr>
          <w:spacing w:val="-4"/>
        </w:rPr>
        <w:t> </w:t>
      </w:r>
      <w:r>
        <w:rPr/>
        <w:t>rates</w:t>
      </w:r>
      <w:r>
        <w:rPr>
          <w:spacing w:val="-2"/>
        </w:rPr>
        <w:t> </w:t>
      </w:r>
      <w:r>
        <w:rPr/>
        <w:t>revenue,</w:t>
      </w:r>
      <w:r>
        <w:rPr>
          <w:spacing w:val="-2"/>
        </w:rPr>
        <w:t> </w:t>
      </w:r>
      <w:r>
        <w:rPr/>
        <w:t>rates</w:t>
      </w:r>
      <w:r>
        <w:rPr>
          <w:spacing w:val="-2"/>
        </w:rPr>
        <w:t> </w:t>
      </w:r>
      <w:r>
        <w:rPr/>
        <w:t>data</w:t>
      </w:r>
      <w:r>
        <w:rPr>
          <w:spacing w:val="-4"/>
        </w:rPr>
        <w:t> </w:t>
      </w:r>
      <w:r>
        <w:rPr/>
        <w:t>will</w:t>
      </w:r>
      <w:r>
        <w:rPr>
          <w:spacing w:val="-2"/>
        </w:rPr>
        <w:t> </w:t>
      </w:r>
      <w:r>
        <w:rPr/>
        <w:t>be</w:t>
      </w:r>
      <w:r>
        <w:rPr>
          <w:spacing w:val="-2"/>
        </w:rPr>
        <w:t> </w:t>
      </w:r>
      <w:r>
        <w:rPr/>
        <w:t>contained in</w:t>
      </w:r>
      <w:r>
        <w:rPr>
          <w:spacing w:val="-4"/>
        </w:rPr>
        <w:t> </w:t>
      </w:r>
      <w:r>
        <w:rPr/>
        <w:t>the</w:t>
      </w:r>
      <w:r>
        <w:rPr>
          <w:spacing w:val="-4"/>
        </w:rPr>
        <w:t> </w:t>
      </w:r>
      <w:r>
        <w:rPr/>
        <w:t>Council’s</w:t>
      </w:r>
      <w:r>
        <w:rPr>
          <w:spacing w:val="-2"/>
        </w:rPr>
        <w:t> </w:t>
      </w:r>
      <w:r>
        <w:rPr/>
        <w:t>Annual</w:t>
      </w:r>
      <w:r>
        <w:rPr>
          <w:spacing w:val="-2"/>
        </w:rPr>
        <w:t> </w:t>
      </w:r>
      <w:r>
        <w:rPr/>
        <w:t>Budget as required by the Local Government Act 2020.</w:t>
      </w:r>
    </w:p>
    <w:p>
      <w:pPr>
        <w:pStyle w:val="BodyText"/>
      </w:pPr>
    </w:p>
    <w:p>
      <w:pPr>
        <w:pStyle w:val="BodyText"/>
        <w:ind w:left="1440" w:right="1342"/>
      </w:pPr>
      <w:r>
        <w:rPr/>
        <w:t>Section 94(2) of the Local Government Act 2020 states that Council must adopt a budget by 30 June each year (or at another time fixed by the Minister) to include:</w:t>
      </w:r>
    </w:p>
    <w:p>
      <w:pPr>
        <w:pStyle w:val="ListParagraph"/>
        <w:numPr>
          <w:ilvl w:val="0"/>
          <w:numId w:val="5"/>
        </w:numPr>
        <w:tabs>
          <w:tab w:pos="2159" w:val="left" w:leader="none"/>
          <w:tab w:pos="2160" w:val="left" w:leader="none"/>
        </w:tabs>
        <w:spacing w:line="252" w:lineRule="exact" w:before="1" w:after="0"/>
        <w:ind w:left="2159" w:right="0" w:hanging="720"/>
        <w:jc w:val="left"/>
        <w:rPr>
          <w:sz w:val="22"/>
        </w:rPr>
      </w:pPr>
      <w:r>
        <w:rPr>
          <w:sz w:val="22"/>
        </w:rPr>
        <w:t>the</w:t>
      </w:r>
      <w:r>
        <w:rPr>
          <w:spacing w:val="-5"/>
          <w:sz w:val="22"/>
        </w:rPr>
        <w:t> </w:t>
      </w:r>
      <w:r>
        <w:rPr>
          <w:sz w:val="22"/>
        </w:rPr>
        <w:t>total</w:t>
      </w:r>
      <w:r>
        <w:rPr>
          <w:spacing w:val="-2"/>
          <w:sz w:val="22"/>
        </w:rPr>
        <w:t> </w:t>
      </w:r>
      <w:r>
        <w:rPr>
          <w:sz w:val="22"/>
        </w:rPr>
        <w:t>amount</w:t>
      </w:r>
      <w:r>
        <w:rPr>
          <w:spacing w:val="-3"/>
          <w:sz w:val="22"/>
        </w:rPr>
        <w:t> </w:t>
      </w:r>
      <w:r>
        <w:rPr>
          <w:sz w:val="22"/>
        </w:rPr>
        <w:t>that</w:t>
      </w:r>
      <w:r>
        <w:rPr>
          <w:spacing w:val="-1"/>
          <w:sz w:val="22"/>
        </w:rPr>
        <w:t> </w:t>
      </w:r>
      <w:r>
        <w:rPr>
          <w:sz w:val="22"/>
        </w:rPr>
        <w:t>the</w:t>
      </w:r>
      <w:r>
        <w:rPr>
          <w:spacing w:val="-5"/>
          <w:sz w:val="22"/>
        </w:rPr>
        <w:t> </w:t>
      </w:r>
      <w:r>
        <w:rPr>
          <w:sz w:val="22"/>
        </w:rPr>
        <w:t>Council</w:t>
      </w:r>
      <w:r>
        <w:rPr>
          <w:spacing w:val="-3"/>
          <w:sz w:val="22"/>
        </w:rPr>
        <w:t> </w:t>
      </w:r>
      <w:r>
        <w:rPr>
          <w:sz w:val="22"/>
        </w:rPr>
        <w:t>intends</w:t>
      </w:r>
      <w:r>
        <w:rPr>
          <w:spacing w:val="-2"/>
          <w:sz w:val="22"/>
        </w:rPr>
        <w:t> </w:t>
      </w:r>
      <w:r>
        <w:rPr>
          <w:sz w:val="22"/>
        </w:rPr>
        <w:t>to</w:t>
      </w:r>
      <w:r>
        <w:rPr>
          <w:spacing w:val="-4"/>
          <w:sz w:val="22"/>
        </w:rPr>
        <w:t> </w:t>
      </w:r>
      <w:r>
        <w:rPr>
          <w:sz w:val="22"/>
        </w:rPr>
        <w:t>raise</w:t>
      </w:r>
      <w:r>
        <w:rPr>
          <w:spacing w:val="-7"/>
          <w:sz w:val="22"/>
        </w:rPr>
        <w:t> </w:t>
      </w:r>
      <w:r>
        <w:rPr>
          <w:sz w:val="22"/>
        </w:rPr>
        <w:t>by</w:t>
      </w:r>
      <w:r>
        <w:rPr>
          <w:spacing w:val="-1"/>
          <w:sz w:val="22"/>
        </w:rPr>
        <w:t> </w:t>
      </w:r>
      <w:r>
        <w:rPr>
          <w:sz w:val="22"/>
        </w:rPr>
        <w:t>rates</w:t>
      </w:r>
      <w:r>
        <w:rPr>
          <w:spacing w:val="-1"/>
          <w:sz w:val="22"/>
        </w:rPr>
        <w:t> </w:t>
      </w:r>
      <w:r>
        <w:rPr>
          <w:sz w:val="22"/>
        </w:rPr>
        <w:t>and</w:t>
      </w:r>
      <w:r>
        <w:rPr>
          <w:spacing w:val="-3"/>
          <w:sz w:val="22"/>
        </w:rPr>
        <w:t> </w:t>
      </w:r>
      <w:r>
        <w:rPr>
          <w:spacing w:val="-2"/>
          <w:sz w:val="22"/>
        </w:rPr>
        <w:t>charges;</w:t>
      </w:r>
    </w:p>
    <w:p>
      <w:pPr>
        <w:pStyle w:val="ListParagraph"/>
        <w:numPr>
          <w:ilvl w:val="0"/>
          <w:numId w:val="5"/>
        </w:numPr>
        <w:tabs>
          <w:tab w:pos="2159" w:val="left" w:leader="none"/>
          <w:tab w:pos="2160" w:val="left" w:leader="none"/>
        </w:tabs>
        <w:spacing w:line="240" w:lineRule="auto" w:before="0" w:after="0"/>
        <w:ind w:left="2160" w:right="1435" w:hanging="720"/>
        <w:jc w:val="left"/>
        <w:rPr>
          <w:sz w:val="22"/>
        </w:rPr>
      </w:pPr>
      <w:r>
        <w:rPr>
          <w:sz w:val="22"/>
        </w:rPr>
        <w:t>a statement as to whether the rates will be raised by the application of a uniform rate or a differential rate:</w:t>
      </w:r>
    </w:p>
    <w:p>
      <w:pPr>
        <w:pStyle w:val="ListParagraph"/>
        <w:numPr>
          <w:ilvl w:val="0"/>
          <w:numId w:val="5"/>
        </w:numPr>
        <w:tabs>
          <w:tab w:pos="2160" w:val="left" w:leader="none"/>
          <w:tab w:pos="2161" w:val="left" w:leader="none"/>
        </w:tabs>
        <w:spacing w:line="252" w:lineRule="exact" w:before="0" w:after="0"/>
        <w:ind w:left="2160" w:right="0" w:hanging="721"/>
        <w:jc w:val="left"/>
        <w:rPr>
          <w:sz w:val="22"/>
        </w:rPr>
      </w:pPr>
      <w:r>
        <w:rPr>
          <w:sz w:val="22"/>
        </w:rPr>
        <w:t>a</w:t>
      </w:r>
      <w:r>
        <w:rPr>
          <w:spacing w:val="-4"/>
          <w:sz w:val="22"/>
        </w:rPr>
        <w:t> </w:t>
      </w:r>
      <w:r>
        <w:rPr>
          <w:sz w:val="22"/>
        </w:rPr>
        <w:t>description</w:t>
      </w:r>
      <w:r>
        <w:rPr>
          <w:spacing w:val="-2"/>
          <w:sz w:val="22"/>
        </w:rPr>
        <w:t> </w:t>
      </w:r>
      <w:r>
        <w:rPr>
          <w:sz w:val="22"/>
        </w:rPr>
        <w:t>of</w:t>
      </w:r>
      <w:r>
        <w:rPr>
          <w:spacing w:val="-1"/>
          <w:sz w:val="22"/>
        </w:rPr>
        <w:t> </w:t>
      </w:r>
      <w:r>
        <w:rPr>
          <w:sz w:val="22"/>
        </w:rPr>
        <w:t>any</w:t>
      </w:r>
      <w:r>
        <w:rPr>
          <w:spacing w:val="-4"/>
          <w:sz w:val="22"/>
        </w:rPr>
        <w:t> </w:t>
      </w:r>
      <w:r>
        <w:rPr>
          <w:sz w:val="22"/>
        </w:rPr>
        <w:t>fixed</w:t>
      </w:r>
      <w:r>
        <w:rPr>
          <w:spacing w:val="-3"/>
          <w:sz w:val="22"/>
        </w:rPr>
        <w:t> </w:t>
      </w:r>
      <w:r>
        <w:rPr>
          <w:sz w:val="22"/>
        </w:rPr>
        <w:t>component</w:t>
      </w:r>
      <w:r>
        <w:rPr>
          <w:spacing w:val="-1"/>
          <w:sz w:val="22"/>
        </w:rPr>
        <w:t> </w:t>
      </w:r>
      <w:r>
        <w:rPr>
          <w:sz w:val="22"/>
        </w:rPr>
        <w:t>of</w:t>
      </w:r>
      <w:r>
        <w:rPr>
          <w:spacing w:val="-4"/>
          <w:sz w:val="22"/>
        </w:rPr>
        <w:t> </w:t>
      </w:r>
      <w:r>
        <w:rPr>
          <w:sz w:val="22"/>
        </w:rPr>
        <w:t>the</w:t>
      </w:r>
      <w:r>
        <w:rPr>
          <w:spacing w:val="-3"/>
          <w:sz w:val="22"/>
        </w:rPr>
        <w:t> </w:t>
      </w:r>
      <w:r>
        <w:rPr>
          <w:sz w:val="22"/>
        </w:rPr>
        <w:t>rates,</w:t>
      </w:r>
      <w:r>
        <w:rPr>
          <w:spacing w:val="-6"/>
          <w:sz w:val="22"/>
        </w:rPr>
        <w:t> </w:t>
      </w:r>
      <w:r>
        <w:rPr>
          <w:sz w:val="22"/>
        </w:rPr>
        <w:t>if</w:t>
      </w:r>
      <w:r>
        <w:rPr>
          <w:spacing w:val="-1"/>
          <w:sz w:val="22"/>
        </w:rPr>
        <w:t> </w:t>
      </w:r>
      <w:r>
        <w:rPr>
          <w:spacing w:val="-2"/>
          <w:sz w:val="22"/>
        </w:rPr>
        <w:t>applicable;</w:t>
      </w:r>
    </w:p>
    <w:p>
      <w:pPr>
        <w:pStyle w:val="ListParagraph"/>
        <w:numPr>
          <w:ilvl w:val="0"/>
          <w:numId w:val="5"/>
        </w:numPr>
        <w:tabs>
          <w:tab w:pos="2159" w:val="left" w:leader="none"/>
          <w:tab w:pos="2160" w:val="left" w:leader="none"/>
        </w:tabs>
        <w:spacing w:line="240" w:lineRule="auto" w:before="0" w:after="0"/>
        <w:ind w:left="2160" w:right="1435" w:hanging="720"/>
        <w:jc w:val="left"/>
        <w:rPr>
          <w:sz w:val="22"/>
        </w:rPr>
      </w:pPr>
      <w:r>
        <w:rPr>
          <w:sz w:val="22"/>
        </w:rPr>
        <w:t>if the Council proposes to declare</w:t>
      </w:r>
      <w:r>
        <w:rPr>
          <w:spacing w:val="-1"/>
          <w:sz w:val="22"/>
        </w:rPr>
        <w:t> </w:t>
      </w:r>
      <w:r>
        <w:rPr>
          <w:sz w:val="22"/>
        </w:rPr>
        <w:t>a uniform rate, the matters specified in</w:t>
      </w:r>
      <w:r>
        <w:rPr>
          <w:spacing w:val="-3"/>
          <w:sz w:val="22"/>
        </w:rPr>
        <w:t> </w:t>
      </w:r>
      <w:r>
        <w:rPr>
          <w:sz w:val="22"/>
        </w:rPr>
        <w:t>section 160 of the Local Government Act 1989;</w:t>
      </w:r>
    </w:p>
    <w:p>
      <w:pPr>
        <w:pStyle w:val="ListParagraph"/>
        <w:numPr>
          <w:ilvl w:val="0"/>
          <w:numId w:val="5"/>
        </w:numPr>
        <w:tabs>
          <w:tab w:pos="2159" w:val="left" w:leader="none"/>
          <w:tab w:pos="2160" w:val="left" w:leader="none"/>
        </w:tabs>
        <w:spacing w:line="240" w:lineRule="auto" w:before="0" w:after="0"/>
        <w:ind w:left="2160" w:right="1435" w:hanging="720"/>
        <w:jc w:val="left"/>
        <w:rPr>
          <w:sz w:val="22"/>
        </w:rPr>
      </w:pPr>
      <w:r>
        <w:rPr>
          <w:sz w:val="22"/>
        </w:rPr>
        <w:t>if</w:t>
      </w:r>
      <w:r>
        <w:rPr>
          <w:spacing w:val="-4"/>
          <w:sz w:val="22"/>
        </w:rPr>
        <w:t> </w:t>
      </w:r>
      <w:r>
        <w:rPr>
          <w:sz w:val="22"/>
        </w:rPr>
        <w:t>the</w:t>
      </w:r>
      <w:r>
        <w:rPr>
          <w:spacing w:val="-4"/>
          <w:sz w:val="22"/>
        </w:rPr>
        <w:t> </w:t>
      </w:r>
      <w:r>
        <w:rPr>
          <w:sz w:val="22"/>
        </w:rPr>
        <w:t>Council</w:t>
      </w:r>
      <w:r>
        <w:rPr>
          <w:spacing w:val="-7"/>
          <w:sz w:val="22"/>
        </w:rPr>
        <w:t> </w:t>
      </w:r>
      <w:r>
        <w:rPr>
          <w:sz w:val="22"/>
        </w:rPr>
        <w:t>proposes</w:t>
      </w:r>
      <w:r>
        <w:rPr>
          <w:spacing w:val="-6"/>
          <w:sz w:val="22"/>
        </w:rPr>
        <w:t> </w:t>
      </w:r>
      <w:r>
        <w:rPr>
          <w:sz w:val="22"/>
        </w:rPr>
        <w:t>to</w:t>
      </w:r>
      <w:r>
        <w:rPr>
          <w:spacing w:val="-5"/>
          <w:sz w:val="22"/>
        </w:rPr>
        <w:t> </w:t>
      </w:r>
      <w:r>
        <w:rPr>
          <w:sz w:val="22"/>
        </w:rPr>
        <w:t>declare</w:t>
      </w:r>
      <w:r>
        <w:rPr>
          <w:spacing w:val="-5"/>
          <w:sz w:val="22"/>
        </w:rPr>
        <w:t> </w:t>
      </w:r>
      <w:r>
        <w:rPr>
          <w:sz w:val="22"/>
        </w:rPr>
        <w:t>a</w:t>
      </w:r>
      <w:r>
        <w:rPr>
          <w:spacing w:val="-4"/>
          <w:sz w:val="22"/>
        </w:rPr>
        <w:t> </w:t>
      </w:r>
      <w:r>
        <w:rPr>
          <w:sz w:val="22"/>
        </w:rPr>
        <w:t>differential</w:t>
      </w:r>
      <w:r>
        <w:rPr>
          <w:spacing w:val="-4"/>
          <w:sz w:val="22"/>
        </w:rPr>
        <w:t> </w:t>
      </w:r>
      <w:r>
        <w:rPr>
          <w:sz w:val="22"/>
        </w:rPr>
        <w:t>rate</w:t>
      </w:r>
      <w:r>
        <w:rPr>
          <w:spacing w:val="-4"/>
          <w:sz w:val="22"/>
        </w:rPr>
        <w:t> </w:t>
      </w:r>
      <w:r>
        <w:rPr>
          <w:sz w:val="22"/>
        </w:rPr>
        <w:t>for</w:t>
      </w:r>
      <w:r>
        <w:rPr>
          <w:spacing w:val="-4"/>
          <w:sz w:val="22"/>
        </w:rPr>
        <w:t> </w:t>
      </w:r>
      <w:r>
        <w:rPr>
          <w:sz w:val="22"/>
        </w:rPr>
        <w:t>any</w:t>
      </w:r>
      <w:r>
        <w:rPr>
          <w:spacing w:val="-2"/>
          <w:sz w:val="22"/>
        </w:rPr>
        <w:t> </w:t>
      </w:r>
      <w:r>
        <w:rPr>
          <w:sz w:val="22"/>
        </w:rPr>
        <w:t>land,</w:t>
      </w:r>
      <w:r>
        <w:rPr>
          <w:spacing w:val="-4"/>
          <w:sz w:val="22"/>
        </w:rPr>
        <w:t> </w:t>
      </w:r>
      <w:r>
        <w:rPr>
          <w:sz w:val="22"/>
        </w:rPr>
        <w:t>the</w:t>
      </w:r>
      <w:r>
        <w:rPr>
          <w:spacing w:val="-8"/>
          <w:sz w:val="22"/>
        </w:rPr>
        <w:t> </w:t>
      </w:r>
      <w:r>
        <w:rPr>
          <w:sz w:val="22"/>
        </w:rPr>
        <w:t>matters</w:t>
      </w:r>
      <w:r>
        <w:rPr>
          <w:spacing w:val="-4"/>
          <w:sz w:val="22"/>
        </w:rPr>
        <w:t> </w:t>
      </w:r>
      <w:r>
        <w:rPr>
          <w:sz w:val="22"/>
        </w:rPr>
        <w:t>specified in section 161(2) of the Local Government Act 1989;</w:t>
      </w:r>
    </w:p>
    <w:p>
      <w:pPr>
        <w:pStyle w:val="BodyText"/>
        <w:spacing w:before="1"/>
      </w:pPr>
    </w:p>
    <w:p>
      <w:pPr>
        <w:pStyle w:val="BodyText"/>
        <w:ind w:left="1440" w:right="1342"/>
      </w:pPr>
      <w:r>
        <w:rPr/>
        <w:t>Section 94(3)</w:t>
      </w:r>
      <w:r>
        <w:rPr>
          <w:spacing w:val="-1"/>
        </w:rPr>
        <w:t> </w:t>
      </w:r>
      <w:r>
        <w:rPr/>
        <w:t>of the Local Government Act 2020</w:t>
      </w:r>
      <w:r>
        <w:rPr>
          <w:spacing w:val="-1"/>
        </w:rPr>
        <w:t> </w:t>
      </w:r>
      <w:r>
        <w:rPr/>
        <w:t>also</w:t>
      </w:r>
      <w:r>
        <w:rPr>
          <w:spacing w:val="-1"/>
        </w:rPr>
        <w:t> </w:t>
      </w:r>
      <w:r>
        <w:rPr/>
        <w:t>states that Council must ensure</w:t>
      </w:r>
      <w:r>
        <w:rPr>
          <w:spacing w:val="-1"/>
        </w:rPr>
        <w:t> </w:t>
      </w:r>
      <w:r>
        <w:rPr/>
        <w:t>that, if applicable, the budget also contains a statement –</w:t>
      </w:r>
    </w:p>
    <w:p>
      <w:pPr>
        <w:pStyle w:val="ListParagraph"/>
        <w:numPr>
          <w:ilvl w:val="0"/>
          <w:numId w:val="6"/>
        </w:numPr>
        <w:tabs>
          <w:tab w:pos="2159" w:val="left" w:leader="none"/>
          <w:tab w:pos="2160" w:val="left" w:leader="none"/>
        </w:tabs>
        <w:spacing w:line="240" w:lineRule="auto" w:before="0" w:after="0"/>
        <w:ind w:left="2160" w:right="1437" w:hanging="720"/>
        <w:jc w:val="left"/>
        <w:rPr>
          <w:sz w:val="22"/>
        </w:rPr>
      </w:pPr>
      <w:r>
        <w:rPr>
          <w:sz w:val="22"/>
        </w:rPr>
        <w:t>that the Council intends</w:t>
      </w:r>
      <w:r>
        <w:rPr>
          <w:spacing w:val="-2"/>
          <w:sz w:val="22"/>
        </w:rPr>
        <w:t> </w:t>
      </w:r>
      <w:r>
        <w:rPr>
          <w:sz w:val="22"/>
        </w:rPr>
        <w:t>to apply for a</w:t>
      </w:r>
      <w:r>
        <w:rPr>
          <w:spacing w:val="-1"/>
          <w:sz w:val="22"/>
        </w:rPr>
        <w:t> </w:t>
      </w:r>
      <w:r>
        <w:rPr>
          <w:sz w:val="22"/>
        </w:rPr>
        <w:t>special order to</w:t>
      </w:r>
      <w:r>
        <w:rPr>
          <w:spacing w:val="-1"/>
          <w:sz w:val="22"/>
        </w:rPr>
        <w:t> </w:t>
      </w:r>
      <w:r>
        <w:rPr>
          <w:sz w:val="22"/>
        </w:rPr>
        <w:t>increase</w:t>
      </w:r>
      <w:r>
        <w:rPr>
          <w:spacing w:val="-1"/>
          <w:sz w:val="22"/>
        </w:rPr>
        <w:t> </w:t>
      </w:r>
      <w:r>
        <w:rPr>
          <w:sz w:val="22"/>
        </w:rPr>
        <w:t>the</w:t>
      </w:r>
      <w:r>
        <w:rPr>
          <w:spacing w:val="-1"/>
          <w:sz w:val="22"/>
        </w:rPr>
        <w:t> </w:t>
      </w:r>
      <w:r>
        <w:rPr>
          <w:sz w:val="22"/>
        </w:rPr>
        <w:t>Council’s average rate cap for the financial year or any other financial year; or</w:t>
      </w:r>
    </w:p>
    <w:p>
      <w:pPr>
        <w:pStyle w:val="ListParagraph"/>
        <w:numPr>
          <w:ilvl w:val="0"/>
          <w:numId w:val="6"/>
        </w:numPr>
        <w:tabs>
          <w:tab w:pos="2159" w:val="left" w:leader="none"/>
          <w:tab w:pos="2160" w:val="left" w:leader="none"/>
        </w:tabs>
        <w:spacing w:line="240" w:lineRule="auto" w:before="0" w:after="0"/>
        <w:ind w:left="2160" w:right="1434" w:hanging="720"/>
        <w:jc w:val="left"/>
        <w:rPr>
          <w:sz w:val="22"/>
        </w:rPr>
      </w:pPr>
      <w:r>
        <w:rPr>
          <w:sz w:val="22"/>
        </w:rPr>
        <w:t>that</w:t>
      </w:r>
      <w:r>
        <w:rPr>
          <w:spacing w:val="-1"/>
          <w:sz w:val="22"/>
        </w:rPr>
        <w:t> </w:t>
      </w:r>
      <w:r>
        <w:rPr>
          <w:sz w:val="22"/>
        </w:rPr>
        <w:t>the</w:t>
      </w:r>
      <w:r>
        <w:rPr>
          <w:spacing w:val="-3"/>
          <w:sz w:val="22"/>
        </w:rPr>
        <w:t> </w:t>
      </w:r>
      <w:r>
        <w:rPr>
          <w:sz w:val="22"/>
        </w:rPr>
        <w:t>Council</w:t>
      </w:r>
      <w:r>
        <w:rPr>
          <w:spacing w:val="-2"/>
          <w:sz w:val="22"/>
        </w:rPr>
        <w:t> </w:t>
      </w:r>
      <w:r>
        <w:rPr>
          <w:sz w:val="22"/>
        </w:rPr>
        <w:t>has</w:t>
      </w:r>
      <w:r>
        <w:rPr>
          <w:spacing w:val="-6"/>
          <w:sz w:val="22"/>
        </w:rPr>
        <w:t> </w:t>
      </w:r>
      <w:r>
        <w:rPr>
          <w:sz w:val="22"/>
        </w:rPr>
        <w:t>made</w:t>
      </w:r>
      <w:r>
        <w:rPr>
          <w:spacing w:val="-4"/>
          <w:sz w:val="22"/>
        </w:rPr>
        <w:t> </w:t>
      </w:r>
      <w:r>
        <w:rPr>
          <w:sz w:val="22"/>
        </w:rPr>
        <w:t>an</w:t>
      </w:r>
      <w:r>
        <w:rPr>
          <w:spacing w:val="-4"/>
          <w:sz w:val="22"/>
        </w:rPr>
        <w:t> </w:t>
      </w:r>
      <w:r>
        <w:rPr>
          <w:sz w:val="22"/>
        </w:rPr>
        <w:t>application</w:t>
      </w:r>
      <w:r>
        <w:rPr>
          <w:spacing w:val="-4"/>
          <w:sz w:val="22"/>
        </w:rPr>
        <w:t> </w:t>
      </w:r>
      <w:r>
        <w:rPr>
          <w:sz w:val="22"/>
        </w:rPr>
        <w:t>to</w:t>
      </w:r>
      <w:r>
        <w:rPr>
          <w:spacing w:val="-4"/>
          <w:sz w:val="22"/>
        </w:rPr>
        <w:t> </w:t>
      </w:r>
      <w:r>
        <w:rPr>
          <w:sz w:val="22"/>
        </w:rPr>
        <w:t>the</w:t>
      </w:r>
      <w:r>
        <w:rPr>
          <w:spacing w:val="-3"/>
          <w:sz w:val="22"/>
        </w:rPr>
        <w:t> </w:t>
      </w:r>
      <w:r>
        <w:rPr>
          <w:sz w:val="22"/>
        </w:rPr>
        <w:t>ESC</w:t>
      </w:r>
      <w:r>
        <w:rPr>
          <w:spacing w:val="-2"/>
          <w:sz w:val="22"/>
        </w:rPr>
        <w:t> </w:t>
      </w:r>
      <w:r>
        <w:rPr>
          <w:sz w:val="22"/>
        </w:rPr>
        <w:t>for</w:t>
      </w:r>
      <w:r>
        <w:rPr>
          <w:spacing w:val="-2"/>
          <w:sz w:val="22"/>
        </w:rPr>
        <w:t> </w:t>
      </w:r>
      <w:r>
        <w:rPr>
          <w:sz w:val="22"/>
        </w:rPr>
        <w:t>a</w:t>
      </w:r>
      <w:r>
        <w:rPr>
          <w:spacing w:val="-4"/>
          <w:sz w:val="22"/>
        </w:rPr>
        <w:t> </w:t>
      </w:r>
      <w:r>
        <w:rPr>
          <w:sz w:val="22"/>
        </w:rPr>
        <w:t>special</w:t>
      </w:r>
      <w:r>
        <w:rPr>
          <w:spacing w:val="-2"/>
          <w:sz w:val="22"/>
        </w:rPr>
        <w:t> </w:t>
      </w:r>
      <w:r>
        <w:rPr>
          <w:sz w:val="22"/>
        </w:rPr>
        <w:t>order</w:t>
      </w:r>
      <w:r>
        <w:rPr>
          <w:spacing w:val="-2"/>
          <w:sz w:val="22"/>
        </w:rPr>
        <w:t> </w:t>
      </w:r>
      <w:r>
        <w:rPr>
          <w:sz w:val="22"/>
        </w:rPr>
        <w:t>and</w:t>
      </w:r>
      <w:r>
        <w:rPr>
          <w:spacing w:val="-4"/>
          <w:sz w:val="22"/>
        </w:rPr>
        <w:t> </w:t>
      </w:r>
      <w:r>
        <w:rPr>
          <w:sz w:val="22"/>
        </w:rPr>
        <w:t>is</w:t>
      </w:r>
      <w:r>
        <w:rPr>
          <w:spacing w:val="-2"/>
          <w:sz w:val="22"/>
        </w:rPr>
        <w:t> </w:t>
      </w:r>
      <w:r>
        <w:rPr>
          <w:sz w:val="22"/>
        </w:rPr>
        <w:t>waiting for the outcome of the application; or</w:t>
      </w:r>
    </w:p>
    <w:p>
      <w:pPr>
        <w:pStyle w:val="ListParagraph"/>
        <w:numPr>
          <w:ilvl w:val="0"/>
          <w:numId w:val="6"/>
        </w:numPr>
        <w:tabs>
          <w:tab w:pos="2160" w:val="left" w:leader="none"/>
          <w:tab w:pos="2161" w:val="left" w:leader="none"/>
        </w:tabs>
        <w:spacing w:line="240" w:lineRule="auto" w:before="0" w:after="0"/>
        <w:ind w:left="2160" w:right="1436" w:hanging="720"/>
        <w:jc w:val="left"/>
        <w:rPr>
          <w:sz w:val="22"/>
        </w:rPr>
      </w:pPr>
      <w:r>
        <w:rPr/>
        <w:drawing>
          <wp:anchor distT="0" distB="0" distL="0" distR="0" allowOverlap="1" layoutInCell="1" locked="0" behindDoc="0" simplePos="0" relativeHeight="15733248">
            <wp:simplePos x="0" y="0"/>
            <wp:positionH relativeFrom="page">
              <wp:posOffset>0</wp:posOffset>
            </wp:positionH>
            <wp:positionV relativeFrom="paragraph">
              <wp:posOffset>609573</wp:posOffset>
            </wp:positionV>
            <wp:extent cx="7560564" cy="101981"/>
            <wp:effectExtent l="0" t="0" r="0" b="0"/>
            <wp:wrapNone/>
            <wp:docPr id="17" name="image2.png"/>
            <wp:cNvGraphicFramePr>
              <a:graphicFrameLocks noChangeAspect="1"/>
            </wp:cNvGraphicFramePr>
            <a:graphic>
              <a:graphicData uri="http://schemas.openxmlformats.org/drawingml/2006/picture">
                <pic:pic>
                  <pic:nvPicPr>
                    <pic:cNvPr id="18" name="image2.png"/>
                    <pic:cNvPicPr/>
                  </pic:nvPicPr>
                  <pic:blipFill>
                    <a:blip r:embed="rId7" cstate="print"/>
                    <a:stretch>
                      <a:fillRect/>
                    </a:stretch>
                  </pic:blipFill>
                  <pic:spPr>
                    <a:xfrm>
                      <a:off x="0" y="0"/>
                      <a:ext cx="7560564" cy="101981"/>
                    </a:xfrm>
                    <a:prstGeom prst="rect">
                      <a:avLst/>
                    </a:prstGeom>
                  </pic:spPr>
                </pic:pic>
              </a:graphicData>
            </a:graphic>
          </wp:anchor>
        </w:drawing>
      </w:r>
      <w:r>
        <w:rPr>
          <w:sz w:val="22"/>
        </w:rPr>
        <w:t>that</w:t>
      </w:r>
      <w:r>
        <w:rPr>
          <w:spacing w:val="38"/>
          <w:sz w:val="22"/>
        </w:rPr>
        <w:t> </w:t>
      </w:r>
      <w:r>
        <w:rPr>
          <w:sz w:val="22"/>
        </w:rPr>
        <w:t>a</w:t>
      </w:r>
      <w:r>
        <w:rPr>
          <w:spacing w:val="36"/>
          <w:sz w:val="22"/>
        </w:rPr>
        <w:t> </w:t>
      </w:r>
      <w:r>
        <w:rPr>
          <w:sz w:val="22"/>
        </w:rPr>
        <w:t>special</w:t>
      </w:r>
      <w:r>
        <w:rPr>
          <w:spacing w:val="36"/>
          <w:sz w:val="22"/>
        </w:rPr>
        <w:t> </w:t>
      </w:r>
      <w:r>
        <w:rPr>
          <w:sz w:val="22"/>
        </w:rPr>
        <w:t>Order</w:t>
      </w:r>
      <w:r>
        <w:rPr>
          <w:spacing w:val="37"/>
          <w:sz w:val="22"/>
        </w:rPr>
        <w:t> </w:t>
      </w:r>
      <w:r>
        <w:rPr>
          <w:sz w:val="22"/>
        </w:rPr>
        <w:t>has</w:t>
      </w:r>
      <w:r>
        <w:rPr>
          <w:spacing w:val="38"/>
          <w:sz w:val="22"/>
        </w:rPr>
        <w:t> </w:t>
      </w:r>
      <w:r>
        <w:rPr>
          <w:sz w:val="22"/>
        </w:rPr>
        <w:t>been</w:t>
      </w:r>
      <w:r>
        <w:rPr>
          <w:spacing w:val="36"/>
          <w:sz w:val="22"/>
        </w:rPr>
        <w:t> </w:t>
      </w:r>
      <w:r>
        <w:rPr>
          <w:sz w:val="22"/>
        </w:rPr>
        <w:t>made</w:t>
      </w:r>
      <w:r>
        <w:rPr>
          <w:spacing w:val="38"/>
          <w:sz w:val="22"/>
        </w:rPr>
        <w:t> </w:t>
      </w:r>
      <w:r>
        <w:rPr>
          <w:sz w:val="22"/>
        </w:rPr>
        <w:t>in</w:t>
      </w:r>
      <w:r>
        <w:rPr>
          <w:spacing w:val="38"/>
          <w:sz w:val="22"/>
        </w:rPr>
        <w:t> </w:t>
      </w:r>
      <w:r>
        <w:rPr>
          <w:sz w:val="22"/>
        </w:rPr>
        <w:t>respect</w:t>
      </w:r>
      <w:r>
        <w:rPr>
          <w:spacing w:val="36"/>
          <w:sz w:val="22"/>
        </w:rPr>
        <w:t> </w:t>
      </w:r>
      <w:r>
        <w:rPr>
          <w:sz w:val="22"/>
        </w:rPr>
        <w:t>of</w:t>
      </w:r>
      <w:r>
        <w:rPr>
          <w:spacing w:val="38"/>
          <w:sz w:val="22"/>
        </w:rPr>
        <w:t> </w:t>
      </w:r>
      <w:r>
        <w:rPr>
          <w:sz w:val="22"/>
        </w:rPr>
        <w:t>the</w:t>
      </w:r>
      <w:r>
        <w:rPr>
          <w:spacing w:val="36"/>
          <w:sz w:val="22"/>
        </w:rPr>
        <w:t> </w:t>
      </w:r>
      <w:r>
        <w:rPr>
          <w:sz w:val="22"/>
        </w:rPr>
        <w:t>Council</w:t>
      </w:r>
      <w:r>
        <w:rPr>
          <w:spacing w:val="36"/>
          <w:sz w:val="22"/>
        </w:rPr>
        <w:t> </w:t>
      </w:r>
      <w:r>
        <w:rPr>
          <w:sz w:val="22"/>
        </w:rPr>
        <w:t>and</w:t>
      </w:r>
      <w:r>
        <w:rPr>
          <w:spacing w:val="38"/>
          <w:sz w:val="22"/>
        </w:rPr>
        <w:t> </w:t>
      </w:r>
      <w:r>
        <w:rPr>
          <w:sz w:val="22"/>
        </w:rPr>
        <w:t>specifying</w:t>
      </w:r>
      <w:r>
        <w:rPr>
          <w:spacing w:val="38"/>
          <w:sz w:val="22"/>
        </w:rPr>
        <w:t> </w:t>
      </w:r>
      <w:r>
        <w:rPr>
          <w:sz w:val="22"/>
        </w:rPr>
        <w:t>the average rate cap that applies for the financial year or any other financial year.</w:t>
      </w:r>
    </w:p>
    <w:p>
      <w:pPr>
        <w:spacing w:after="0" w:line="240" w:lineRule="auto"/>
        <w:jc w:val="left"/>
        <w:rPr>
          <w:sz w:val="22"/>
        </w:rPr>
        <w:sectPr>
          <w:pgSz w:w="11910" w:h="16840"/>
          <w:pgMar w:header="0" w:footer="662" w:top="580" w:bottom="860" w:left="0" w:right="0"/>
        </w:sectPr>
      </w:pPr>
    </w:p>
    <w:p>
      <w:pPr>
        <w:pStyle w:val="BodyText"/>
        <w:spacing w:before="81"/>
        <w:ind w:left="1440" w:right="1435"/>
        <w:jc w:val="both"/>
      </w:pPr>
      <w:r>
        <w:rPr/>
        <w:t>This</w:t>
      </w:r>
      <w:r>
        <w:rPr>
          <w:spacing w:val="-3"/>
        </w:rPr>
        <w:t> </w:t>
      </w:r>
      <w:r>
        <w:rPr/>
        <w:t>plan</w:t>
      </w:r>
      <w:r>
        <w:rPr>
          <w:spacing w:val="-2"/>
        </w:rPr>
        <w:t> </w:t>
      </w:r>
      <w:r>
        <w:rPr/>
        <w:t>outlines</w:t>
      </w:r>
      <w:r>
        <w:rPr>
          <w:spacing w:val="-1"/>
        </w:rPr>
        <w:t> </w:t>
      </w:r>
      <w:r>
        <w:rPr/>
        <w:t>the</w:t>
      </w:r>
      <w:r>
        <w:rPr>
          <w:spacing w:val="-3"/>
        </w:rPr>
        <w:t> </w:t>
      </w:r>
      <w:r>
        <w:rPr/>
        <w:t>principles</w:t>
      </w:r>
      <w:r>
        <w:rPr>
          <w:spacing w:val="-3"/>
        </w:rPr>
        <w:t> </w:t>
      </w:r>
      <w:r>
        <w:rPr/>
        <w:t>and</w:t>
      </w:r>
      <w:r>
        <w:rPr>
          <w:spacing w:val="-3"/>
        </w:rPr>
        <w:t> </w:t>
      </w:r>
      <w:r>
        <w:rPr/>
        <w:t>strategic</w:t>
      </w:r>
      <w:r>
        <w:rPr>
          <w:spacing w:val="-5"/>
        </w:rPr>
        <w:t> </w:t>
      </w:r>
      <w:r>
        <w:rPr/>
        <w:t>framework</w:t>
      </w:r>
      <w:r>
        <w:rPr>
          <w:spacing w:val="-5"/>
        </w:rPr>
        <w:t> </w:t>
      </w:r>
      <w:r>
        <w:rPr/>
        <w:t>that</w:t>
      </w:r>
      <w:r>
        <w:rPr>
          <w:spacing w:val="-1"/>
        </w:rPr>
        <w:t> </w:t>
      </w:r>
      <w:r>
        <w:rPr/>
        <w:t>Council</w:t>
      </w:r>
      <w:r>
        <w:rPr>
          <w:spacing w:val="-3"/>
        </w:rPr>
        <w:t> </w:t>
      </w:r>
      <w:r>
        <w:rPr/>
        <w:t>will</w:t>
      </w:r>
      <w:r>
        <w:rPr>
          <w:spacing w:val="-3"/>
        </w:rPr>
        <w:t> </w:t>
      </w:r>
      <w:r>
        <w:rPr/>
        <w:t>utilise</w:t>
      </w:r>
      <w:r>
        <w:rPr>
          <w:spacing w:val="-3"/>
        </w:rPr>
        <w:t> </w:t>
      </w:r>
      <w:r>
        <w:rPr/>
        <w:t>in</w:t>
      </w:r>
      <w:r>
        <w:rPr>
          <w:spacing w:val="-3"/>
        </w:rPr>
        <w:t> </w:t>
      </w:r>
      <w:r>
        <w:rPr/>
        <w:t>calculating and distributing the rating burden to property owners, however, the quantum of rate revenue and rating differential amounts will be determined in Maroondah City Council’s Budget </w:t>
      </w:r>
      <w:r>
        <w:rPr>
          <w:spacing w:val="-2"/>
        </w:rPr>
        <w:t>document.</w:t>
      </w:r>
    </w:p>
    <w:p>
      <w:pPr>
        <w:pStyle w:val="BodyText"/>
      </w:pPr>
    </w:p>
    <w:p>
      <w:pPr>
        <w:pStyle w:val="BodyText"/>
        <w:ind w:left="1440" w:right="1435"/>
        <w:jc w:val="both"/>
      </w:pPr>
      <w:r>
        <w:rPr/>
        <w:t>In December 2020, the Local Government Rating System Review made recommendations regarding ratepayers facing financial difficulties. The outcomes of the review and the introduction of the Local Government Legislative Amendment (Rating and Other Matters Act 2022) came into effect in 20 June 2023 and requires Councils to:</w:t>
      </w:r>
    </w:p>
    <w:p>
      <w:pPr>
        <w:pStyle w:val="BodyText"/>
        <w:spacing w:before="5"/>
        <w:rPr>
          <w:sz w:val="24"/>
        </w:rPr>
      </w:pPr>
    </w:p>
    <w:p>
      <w:pPr>
        <w:pStyle w:val="ListParagraph"/>
        <w:numPr>
          <w:ilvl w:val="0"/>
          <w:numId w:val="4"/>
        </w:numPr>
        <w:tabs>
          <w:tab w:pos="1799" w:val="left" w:leader="none"/>
          <w:tab w:pos="1800" w:val="left" w:leader="none"/>
        </w:tabs>
        <w:spacing w:line="269" w:lineRule="exact" w:before="1" w:after="0"/>
        <w:ind w:left="1799" w:right="0" w:hanging="360"/>
        <w:jc w:val="left"/>
        <w:rPr>
          <w:sz w:val="22"/>
        </w:rPr>
      </w:pPr>
      <w:r>
        <w:rPr>
          <w:sz w:val="22"/>
        </w:rPr>
        <w:t>offer</w:t>
      </w:r>
      <w:r>
        <w:rPr>
          <w:spacing w:val="-6"/>
          <w:sz w:val="22"/>
        </w:rPr>
        <w:t> </w:t>
      </w:r>
      <w:r>
        <w:rPr>
          <w:sz w:val="22"/>
        </w:rPr>
        <w:t>the</w:t>
      </w:r>
      <w:r>
        <w:rPr>
          <w:spacing w:val="-1"/>
          <w:sz w:val="22"/>
        </w:rPr>
        <w:t> </w:t>
      </w:r>
      <w:r>
        <w:rPr>
          <w:sz w:val="22"/>
        </w:rPr>
        <w:t>ability</w:t>
      </w:r>
      <w:r>
        <w:rPr>
          <w:spacing w:val="-3"/>
          <w:sz w:val="22"/>
        </w:rPr>
        <w:t> </w:t>
      </w:r>
      <w:r>
        <w:rPr>
          <w:sz w:val="22"/>
        </w:rPr>
        <w:t>for</w:t>
      </w:r>
      <w:r>
        <w:rPr>
          <w:spacing w:val="-3"/>
          <w:sz w:val="22"/>
        </w:rPr>
        <w:t> </w:t>
      </w:r>
      <w:r>
        <w:rPr>
          <w:sz w:val="22"/>
        </w:rPr>
        <w:t>ratepayers</w:t>
      </w:r>
      <w:r>
        <w:rPr>
          <w:spacing w:val="-5"/>
          <w:sz w:val="22"/>
        </w:rPr>
        <w:t> </w:t>
      </w:r>
      <w:r>
        <w:rPr>
          <w:sz w:val="22"/>
        </w:rPr>
        <w:t>to</w:t>
      </w:r>
      <w:r>
        <w:rPr>
          <w:spacing w:val="-1"/>
          <w:sz w:val="22"/>
        </w:rPr>
        <w:t> </w:t>
      </w:r>
      <w:r>
        <w:rPr>
          <w:sz w:val="22"/>
        </w:rPr>
        <w:t>enter</w:t>
      </w:r>
      <w:r>
        <w:rPr>
          <w:spacing w:val="-3"/>
          <w:sz w:val="22"/>
        </w:rPr>
        <w:t> </w:t>
      </w:r>
      <w:r>
        <w:rPr>
          <w:sz w:val="22"/>
        </w:rPr>
        <w:t>a</w:t>
      </w:r>
      <w:r>
        <w:rPr>
          <w:spacing w:val="-4"/>
          <w:sz w:val="22"/>
        </w:rPr>
        <w:t> </w:t>
      </w:r>
      <w:r>
        <w:rPr>
          <w:sz w:val="22"/>
        </w:rPr>
        <w:t>payment</w:t>
      </w:r>
      <w:r>
        <w:rPr>
          <w:spacing w:val="-2"/>
          <w:sz w:val="22"/>
        </w:rPr>
        <w:t> arrangement.</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Not</w:t>
      </w:r>
      <w:r>
        <w:rPr>
          <w:spacing w:val="-4"/>
          <w:sz w:val="22"/>
        </w:rPr>
        <w:t> </w:t>
      </w:r>
      <w:r>
        <w:rPr>
          <w:sz w:val="22"/>
        </w:rPr>
        <w:t>charge</w:t>
      </w:r>
      <w:r>
        <w:rPr>
          <w:spacing w:val="-4"/>
          <w:sz w:val="22"/>
        </w:rPr>
        <w:t> </w:t>
      </w:r>
      <w:r>
        <w:rPr>
          <w:sz w:val="22"/>
        </w:rPr>
        <w:t>interest</w:t>
      </w:r>
      <w:r>
        <w:rPr>
          <w:spacing w:val="-5"/>
          <w:sz w:val="22"/>
        </w:rPr>
        <w:t> </w:t>
      </w:r>
      <w:r>
        <w:rPr>
          <w:sz w:val="22"/>
        </w:rPr>
        <w:t>while</w:t>
      </w:r>
      <w:r>
        <w:rPr>
          <w:spacing w:val="-4"/>
          <w:sz w:val="22"/>
        </w:rPr>
        <w:t> </w:t>
      </w:r>
      <w:r>
        <w:rPr>
          <w:sz w:val="22"/>
        </w:rPr>
        <w:t>the</w:t>
      </w:r>
      <w:r>
        <w:rPr>
          <w:spacing w:val="-5"/>
          <w:sz w:val="22"/>
        </w:rPr>
        <w:t> </w:t>
      </w:r>
      <w:r>
        <w:rPr>
          <w:sz w:val="22"/>
        </w:rPr>
        <w:t>payment</w:t>
      </w:r>
      <w:r>
        <w:rPr>
          <w:spacing w:val="-6"/>
          <w:sz w:val="22"/>
        </w:rPr>
        <w:t> </w:t>
      </w:r>
      <w:r>
        <w:rPr>
          <w:sz w:val="22"/>
        </w:rPr>
        <w:t>arrangement</w:t>
      </w:r>
      <w:r>
        <w:rPr>
          <w:spacing w:val="-1"/>
          <w:sz w:val="22"/>
        </w:rPr>
        <w:t> </w:t>
      </w:r>
      <w:r>
        <w:rPr>
          <w:sz w:val="22"/>
        </w:rPr>
        <w:t>is</w:t>
      </w:r>
      <w:r>
        <w:rPr>
          <w:spacing w:val="-4"/>
          <w:sz w:val="22"/>
        </w:rPr>
        <w:t> </w:t>
      </w:r>
      <w:r>
        <w:rPr>
          <w:sz w:val="22"/>
        </w:rPr>
        <w:t>in</w:t>
      </w:r>
      <w:r>
        <w:rPr>
          <w:spacing w:val="-5"/>
          <w:sz w:val="22"/>
        </w:rPr>
        <w:t> </w:t>
      </w:r>
      <w:r>
        <w:rPr>
          <w:sz w:val="22"/>
        </w:rPr>
        <w:t>place</w:t>
      </w:r>
      <w:r>
        <w:rPr>
          <w:spacing w:val="-3"/>
          <w:sz w:val="22"/>
        </w:rPr>
        <w:t> </w:t>
      </w:r>
      <w:r>
        <w:rPr>
          <w:sz w:val="22"/>
        </w:rPr>
        <w:t>and</w:t>
      </w:r>
      <w:r>
        <w:rPr>
          <w:spacing w:val="-4"/>
          <w:sz w:val="22"/>
        </w:rPr>
        <w:t> </w:t>
      </w:r>
      <w:r>
        <w:rPr>
          <w:sz w:val="22"/>
        </w:rPr>
        <w:t>being</w:t>
      </w:r>
      <w:r>
        <w:rPr>
          <w:spacing w:val="-2"/>
          <w:sz w:val="22"/>
        </w:rPr>
        <w:t> </w:t>
      </w:r>
      <w:r>
        <w:rPr>
          <w:sz w:val="22"/>
        </w:rPr>
        <w:t>adhered</w:t>
      </w:r>
      <w:r>
        <w:rPr>
          <w:spacing w:val="-5"/>
          <w:sz w:val="22"/>
        </w:rPr>
        <w:t> to.</w:t>
      </w:r>
    </w:p>
    <w:p>
      <w:pPr>
        <w:pStyle w:val="ListParagraph"/>
        <w:numPr>
          <w:ilvl w:val="0"/>
          <w:numId w:val="4"/>
        </w:numPr>
        <w:tabs>
          <w:tab w:pos="1799" w:val="left" w:leader="none"/>
          <w:tab w:pos="1800" w:val="left" w:leader="none"/>
        </w:tabs>
        <w:spacing w:line="237" w:lineRule="auto" w:before="0" w:after="0"/>
        <w:ind w:left="1800" w:right="1436" w:hanging="360"/>
        <w:jc w:val="left"/>
        <w:rPr>
          <w:sz w:val="22"/>
        </w:rPr>
      </w:pPr>
      <w:r>
        <w:rPr>
          <w:sz w:val="22"/>
        </w:rPr>
        <w:t>Not instigate legal recovery actions for outstanding rates and charges for two years after default by ratepayers.</w:t>
      </w:r>
    </w:p>
    <w:p>
      <w:pPr>
        <w:pStyle w:val="BodyText"/>
        <w:spacing w:before="4"/>
        <w:rPr>
          <w:sz w:val="24"/>
        </w:rPr>
      </w:pPr>
    </w:p>
    <w:p>
      <w:pPr>
        <w:pStyle w:val="BodyText"/>
        <w:ind w:left="1440" w:right="1434"/>
        <w:jc w:val="both"/>
      </w:pPr>
      <w:r>
        <w:rPr/>
        <w:t>Council’s Rates Financial Hardship Policy has been reviewed to incorporate the legislative amendment.</w:t>
      </w:r>
      <w:r>
        <w:rPr>
          <w:spacing w:val="40"/>
        </w:rPr>
        <w:t> </w:t>
      </w:r>
      <w:r>
        <w:rPr/>
        <w:t>Further</w:t>
      </w:r>
      <w:r>
        <w:rPr>
          <w:spacing w:val="-7"/>
        </w:rPr>
        <w:t> </w:t>
      </w:r>
      <w:r>
        <w:rPr/>
        <w:t>information</w:t>
      </w:r>
      <w:r>
        <w:rPr>
          <w:spacing w:val="-10"/>
        </w:rPr>
        <w:t> </w:t>
      </w:r>
      <w:r>
        <w:rPr/>
        <w:t>is</w:t>
      </w:r>
      <w:r>
        <w:rPr>
          <w:spacing w:val="-8"/>
        </w:rPr>
        <w:t> </w:t>
      </w:r>
      <w:r>
        <w:rPr/>
        <w:t>available</w:t>
      </w:r>
      <w:r>
        <w:rPr>
          <w:spacing w:val="-10"/>
        </w:rPr>
        <w:t> </w:t>
      </w:r>
      <w:r>
        <w:rPr/>
        <w:t>on</w:t>
      </w:r>
      <w:r>
        <w:rPr>
          <w:spacing w:val="-8"/>
        </w:rPr>
        <w:t> </w:t>
      </w:r>
      <w:r>
        <w:rPr/>
        <w:t>Council’s</w:t>
      </w:r>
      <w:r>
        <w:rPr>
          <w:spacing w:val="-8"/>
        </w:rPr>
        <w:t> </w:t>
      </w:r>
      <w:r>
        <w:rPr/>
        <w:t>website</w:t>
      </w:r>
      <w:r>
        <w:rPr>
          <w:spacing w:val="-8"/>
        </w:rPr>
        <w:t> </w:t>
      </w:r>
      <w:r>
        <w:rPr/>
        <w:t>and</w:t>
      </w:r>
      <w:r>
        <w:rPr>
          <w:spacing w:val="-8"/>
        </w:rPr>
        <w:t> </w:t>
      </w:r>
      <w:r>
        <w:rPr/>
        <w:t>in</w:t>
      </w:r>
      <w:r>
        <w:rPr>
          <w:spacing w:val="-10"/>
        </w:rPr>
        <w:t> </w:t>
      </w:r>
      <w:r>
        <w:rPr/>
        <w:t>sections</w:t>
      </w:r>
      <w:r>
        <w:rPr>
          <w:spacing w:val="-8"/>
        </w:rPr>
        <w:t> </w:t>
      </w:r>
      <w:r>
        <w:rPr/>
        <w:t>4.8</w:t>
      </w:r>
      <w:r>
        <w:rPr>
          <w:spacing w:val="-8"/>
        </w:rPr>
        <w:t> </w:t>
      </w:r>
      <w:r>
        <w:rPr/>
        <w:t>and</w:t>
      </w:r>
      <w:r>
        <w:rPr>
          <w:spacing w:val="-8"/>
        </w:rPr>
        <w:t> </w:t>
      </w:r>
      <w:r>
        <w:rPr/>
        <w:t>4.9 </w:t>
      </w:r>
      <w:r>
        <w:rPr>
          <w:spacing w:val="-2"/>
        </w:rPr>
        <w:t>below.</w:t>
      </w:r>
    </w:p>
    <w:p>
      <w:pPr>
        <w:pStyle w:val="BodyText"/>
        <w:rPr>
          <w:sz w:val="24"/>
        </w:rPr>
      </w:pPr>
    </w:p>
    <w:p>
      <w:pPr>
        <w:pStyle w:val="Heading2"/>
        <w:numPr>
          <w:ilvl w:val="1"/>
          <w:numId w:val="3"/>
        </w:numPr>
        <w:tabs>
          <w:tab w:pos="2161" w:val="left" w:leader="none"/>
          <w:tab w:pos="2162" w:val="left" w:leader="none"/>
        </w:tabs>
        <w:spacing w:line="240" w:lineRule="auto" w:before="177" w:after="0"/>
        <w:ind w:left="2161" w:right="0" w:hanging="722"/>
        <w:jc w:val="left"/>
        <w:rPr>
          <w:color w:val="134295"/>
        </w:rPr>
      </w:pPr>
      <w:bookmarkStart w:name="_TOC_250016" w:id="6"/>
      <w:r>
        <w:rPr>
          <w:color w:val="134295"/>
        </w:rPr>
        <w:t>Rating</w:t>
      </w:r>
      <w:r>
        <w:rPr>
          <w:color w:val="134295"/>
          <w:spacing w:val="-13"/>
        </w:rPr>
        <w:t> </w:t>
      </w:r>
      <w:bookmarkEnd w:id="6"/>
      <w:r>
        <w:rPr>
          <w:color w:val="134295"/>
          <w:spacing w:val="-2"/>
        </w:rPr>
        <w:t>Principles</w:t>
      </w:r>
    </w:p>
    <w:p>
      <w:pPr>
        <w:pStyle w:val="Heading5"/>
        <w:spacing w:line="252" w:lineRule="exact" w:before="254"/>
      </w:pPr>
      <w:r>
        <w:rPr/>
        <w:t>Taxation</w:t>
      </w:r>
      <w:r>
        <w:rPr>
          <w:spacing w:val="-5"/>
        </w:rPr>
        <w:t> </w:t>
      </w:r>
      <w:r>
        <w:rPr>
          <w:spacing w:val="-2"/>
        </w:rPr>
        <w:t>Principles:</w:t>
      </w:r>
    </w:p>
    <w:p>
      <w:pPr>
        <w:pStyle w:val="BodyText"/>
        <w:ind w:left="1440" w:right="1436"/>
        <w:jc w:val="both"/>
      </w:pPr>
      <w:r>
        <w:rPr/>
        <w:t>When developing a rating strategy, with reference to differential rates, a Council should give consideration to the following good practice taxation principles:</w:t>
      </w:r>
    </w:p>
    <w:p>
      <w:pPr>
        <w:pStyle w:val="BodyText"/>
        <w:spacing w:before="4"/>
        <w:rPr>
          <w:sz w:val="24"/>
        </w:rPr>
      </w:pP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Wealth</w:t>
      </w:r>
      <w:r>
        <w:rPr>
          <w:spacing w:val="-1"/>
          <w:sz w:val="22"/>
        </w:rPr>
        <w:t> </w:t>
      </w:r>
      <w:r>
        <w:rPr>
          <w:spacing w:val="-5"/>
          <w:sz w:val="22"/>
        </w:rPr>
        <w:t>Tax</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pacing w:val="-2"/>
          <w:sz w:val="22"/>
        </w:rPr>
        <w:t>Equity</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pacing w:val="-2"/>
          <w:sz w:val="22"/>
        </w:rPr>
        <w:t>Efficiency</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pacing w:val="-2"/>
          <w:sz w:val="22"/>
        </w:rPr>
        <w:t>Simplicity</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pacing w:val="-2"/>
          <w:sz w:val="22"/>
        </w:rPr>
        <w:t>Benefit</w:t>
      </w:r>
    </w:p>
    <w:p>
      <w:pPr>
        <w:pStyle w:val="ListParagraph"/>
        <w:numPr>
          <w:ilvl w:val="0"/>
          <w:numId w:val="4"/>
        </w:numPr>
        <w:tabs>
          <w:tab w:pos="1799" w:val="left" w:leader="none"/>
          <w:tab w:pos="1800" w:val="left" w:leader="none"/>
        </w:tabs>
        <w:spacing w:line="266" w:lineRule="exact" w:before="0" w:after="0"/>
        <w:ind w:left="1799" w:right="0" w:hanging="360"/>
        <w:jc w:val="left"/>
        <w:rPr>
          <w:sz w:val="22"/>
        </w:rPr>
      </w:pPr>
      <w:r>
        <w:rPr>
          <w:sz w:val="22"/>
        </w:rPr>
        <w:t>Capacity to</w:t>
      </w:r>
      <w:r>
        <w:rPr>
          <w:spacing w:val="-4"/>
          <w:sz w:val="22"/>
        </w:rPr>
        <w:t> </w:t>
      </w:r>
      <w:r>
        <w:rPr>
          <w:spacing w:val="-5"/>
          <w:sz w:val="22"/>
        </w:rPr>
        <w:t>Pay</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pacing w:val="-2"/>
          <w:sz w:val="22"/>
        </w:rPr>
        <w:t>Diversity.</w:t>
      </w:r>
    </w:p>
    <w:p>
      <w:pPr>
        <w:pStyle w:val="BodyText"/>
        <w:spacing w:before="5"/>
        <w:rPr>
          <w:sz w:val="24"/>
        </w:rPr>
      </w:pPr>
    </w:p>
    <w:p>
      <w:pPr>
        <w:pStyle w:val="Heading5"/>
        <w:spacing w:line="252" w:lineRule="exact"/>
      </w:pPr>
      <w:r>
        <w:rPr/>
        <w:t>Wealth</w:t>
      </w:r>
      <w:r>
        <w:rPr>
          <w:spacing w:val="-5"/>
        </w:rPr>
        <w:t> Tax</w:t>
      </w:r>
    </w:p>
    <w:p>
      <w:pPr>
        <w:pStyle w:val="BodyText"/>
        <w:ind w:left="1440" w:right="1435"/>
        <w:jc w:val="both"/>
      </w:pPr>
      <w:r>
        <w:rPr/>
        <w:t>The “wealth tax” principle implies that the rates paid are dependent upon the value of a ratepayer’s</w:t>
      </w:r>
      <w:r>
        <w:rPr>
          <w:spacing w:val="-5"/>
        </w:rPr>
        <w:t> </w:t>
      </w:r>
      <w:r>
        <w:rPr/>
        <w:t>real</w:t>
      </w:r>
      <w:r>
        <w:rPr>
          <w:spacing w:val="-5"/>
        </w:rPr>
        <w:t> </w:t>
      </w:r>
      <w:r>
        <w:rPr/>
        <w:t>property</w:t>
      </w:r>
      <w:r>
        <w:rPr>
          <w:spacing w:val="-5"/>
        </w:rPr>
        <w:t> </w:t>
      </w:r>
      <w:r>
        <w:rPr/>
        <w:t>and</w:t>
      </w:r>
      <w:r>
        <w:rPr>
          <w:spacing w:val="-2"/>
        </w:rPr>
        <w:t> </w:t>
      </w:r>
      <w:r>
        <w:rPr/>
        <w:t>have</w:t>
      </w:r>
      <w:r>
        <w:rPr>
          <w:spacing w:val="-4"/>
        </w:rPr>
        <w:t> </w:t>
      </w:r>
      <w:r>
        <w:rPr/>
        <w:t>no</w:t>
      </w:r>
      <w:r>
        <w:rPr>
          <w:spacing w:val="-4"/>
        </w:rPr>
        <w:t> </w:t>
      </w:r>
      <w:r>
        <w:rPr/>
        <w:t>correlation</w:t>
      </w:r>
      <w:r>
        <w:rPr>
          <w:spacing w:val="-6"/>
        </w:rPr>
        <w:t> </w:t>
      </w:r>
      <w:r>
        <w:rPr/>
        <w:t>to</w:t>
      </w:r>
      <w:r>
        <w:rPr>
          <w:spacing w:val="-2"/>
        </w:rPr>
        <w:t> </w:t>
      </w:r>
      <w:r>
        <w:rPr/>
        <w:t>the</w:t>
      </w:r>
      <w:r>
        <w:rPr>
          <w:spacing w:val="-3"/>
        </w:rPr>
        <w:t> </w:t>
      </w:r>
      <w:r>
        <w:rPr/>
        <w:t>individual</w:t>
      </w:r>
      <w:r>
        <w:rPr>
          <w:spacing w:val="-5"/>
        </w:rPr>
        <w:t> </w:t>
      </w:r>
      <w:r>
        <w:rPr/>
        <w:t>ratepayer’s</w:t>
      </w:r>
      <w:r>
        <w:rPr>
          <w:spacing w:val="-1"/>
        </w:rPr>
        <w:t> </w:t>
      </w:r>
      <w:r>
        <w:rPr/>
        <w:t>consumption</w:t>
      </w:r>
      <w:r>
        <w:rPr>
          <w:spacing w:val="-5"/>
        </w:rPr>
        <w:t> </w:t>
      </w:r>
      <w:r>
        <w:rPr/>
        <w:t>of services or the perceived benefits derived by individual ratepayers from the expenditures funded from rates.</w:t>
      </w:r>
    </w:p>
    <w:p>
      <w:pPr>
        <w:pStyle w:val="BodyText"/>
        <w:spacing w:before="11"/>
        <w:rPr>
          <w:sz w:val="21"/>
        </w:rPr>
      </w:pPr>
    </w:p>
    <w:p>
      <w:pPr>
        <w:pStyle w:val="Heading5"/>
        <w:spacing w:line="252" w:lineRule="exact"/>
        <w:jc w:val="left"/>
      </w:pPr>
      <w:r>
        <w:rPr>
          <w:spacing w:val="-2"/>
        </w:rPr>
        <w:t>Efficiency</w:t>
      </w:r>
    </w:p>
    <w:p>
      <w:pPr>
        <w:pStyle w:val="BodyText"/>
        <w:ind w:left="1440" w:right="1342"/>
      </w:pPr>
      <w:r>
        <w:rPr/>
        <w:t>Economic</w:t>
      </w:r>
      <w:r>
        <w:rPr>
          <w:spacing w:val="-16"/>
        </w:rPr>
        <w:t> </w:t>
      </w:r>
      <w:r>
        <w:rPr/>
        <w:t>efficiency</w:t>
      </w:r>
      <w:r>
        <w:rPr>
          <w:spacing w:val="-15"/>
        </w:rPr>
        <w:t> </w:t>
      </w:r>
      <w:r>
        <w:rPr/>
        <w:t>is</w:t>
      </w:r>
      <w:r>
        <w:rPr>
          <w:spacing w:val="-17"/>
        </w:rPr>
        <w:t> </w:t>
      </w:r>
      <w:r>
        <w:rPr/>
        <w:t>measured</w:t>
      </w:r>
      <w:r>
        <w:rPr>
          <w:spacing w:val="-15"/>
        </w:rPr>
        <w:t> </w:t>
      </w:r>
      <w:r>
        <w:rPr/>
        <w:t>by</w:t>
      </w:r>
      <w:r>
        <w:rPr>
          <w:spacing w:val="-16"/>
        </w:rPr>
        <w:t> </w:t>
      </w:r>
      <w:r>
        <w:rPr/>
        <w:t>the</w:t>
      </w:r>
      <w:r>
        <w:rPr>
          <w:spacing w:val="-17"/>
        </w:rPr>
        <w:t> </w:t>
      </w:r>
      <w:r>
        <w:rPr/>
        <w:t>extent</w:t>
      </w:r>
      <w:r>
        <w:rPr>
          <w:spacing w:val="-15"/>
        </w:rPr>
        <w:t> </w:t>
      </w:r>
      <w:r>
        <w:rPr/>
        <w:t>to</w:t>
      </w:r>
      <w:r>
        <w:rPr>
          <w:spacing w:val="-15"/>
        </w:rPr>
        <w:t> </w:t>
      </w:r>
      <w:r>
        <w:rPr/>
        <w:t>which</w:t>
      </w:r>
      <w:r>
        <w:rPr>
          <w:spacing w:val="-15"/>
        </w:rPr>
        <w:t> </w:t>
      </w:r>
      <w:r>
        <w:rPr/>
        <w:t>production</w:t>
      </w:r>
      <w:r>
        <w:rPr>
          <w:spacing w:val="-16"/>
        </w:rPr>
        <w:t> </w:t>
      </w:r>
      <w:r>
        <w:rPr/>
        <w:t>and</w:t>
      </w:r>
      <w:r>
        <w:rPr>
          <w:spacing w:val="-17"/>
        </w:rPr>
        <w:t> </w:t>
      </w:r>
      <w:r>
        <w:rPr/>
        <w:t>consumption</w:t>
      </w:r>
      <w:r>
        <w:rPr>
          <w:spacing w:val="-15"/>
        </w:rPr>
        <w:t> </w:t>
      </w:r>
      <w:r>
        <w:rPr/>
        <w:t>decisions by people are affected by rates.</w:t>
      </w:r>
    </w:p>
    <w:p>
      <w:pPr>
        <w:pStyle w:val="BodyText"/>
        <w:spacing w:before="1"/>
      </w:pPr>
    </w:p>
    <w:p>
      <w:pPr>
        <w:pStyle w:val="Heading5"/>
        <w:jc w:val="left"/>
      </w:pPr>
      <w:r>
        <w:rPr>
          <w:spacing w:val="-2"/>
        </w:rPr>
        <w:t>Equity</w:t>
      </w:r>
    </w:p>
    <w:p>
      <w:pPr>
        <w:pStyle w:val="ListParagraph"/>
        <w:numPr>
          <w:ilvl w:val="1"/>
          <w:numId w:val="4"/>
        </w:numPr>
        <w:tabs>
          <w:tab w:pos="2160" w:val="left" w:leader="none"/>
        </w:tabs>
        <w:spacing w:line="237" w:lineRule="auto" w:before="3" w:after="0"/>
        <w:ind w:left="2160" w:right="1434" w:hanging="360"/>
        <w:jc w:val="both"/>
        <w:rPr>
          <w:sz w:val="22"/>
        </w:rPr>
      </w:pPr>
      <w:r>
        <w:rPr>
          <w:sz w:val="22"/>
        </w:rPr>
        <w:t>Horizontal</w:t>
      </w:r>
      <w:r>
        <w:rPr>
          <w:spacing w:val="-7"/>
          <w:sz w:val="22"/>
        </w:rPr>
        <w:t> </w:t>
      </w:r>
      <w:r>
        <w:rPr>
          <w:sz w:val="22"/>
        </w:rPr>
        <w:t>equity</w:t>
      </w:r>
      <w:r>
        <w:rPr>
          <w:spacing w:val="-9"/>
          <w:sz w:val="22"/>
        </w:rPr>
        <w:t> </w:t>
      </w:r>
      <w:r>
        <w:rPr>
          <w:sz w:val="22"/>
        </w:rPr>
        <w:t>–</w:t>
      </w:r>
      <w:r>
        <w:rPr>
          <w:spacing w:val="-9"/>
          <w:sz w:val="22"/>
        </w:rPr>
        <w:t> </w:t>
      </w:r>
      <w:r>
        <w:rPr>
          <w:sz w:val="22"/>
        </w:rPr>
        <w:t>ratepayers</w:t>
      </w:r>
      <w:r>
        <w:rPr>
          <w:spacing w:val="-7"/>
          <w:sz w:val="22"/>
        </w:rPr>
        <w:t> </w:t>
      </w:r>
      <w:r>
        <w:rPr>
          <w:sz w:val="22"/>
        </w:rPr>
        <w:t>in</w:t>
      </w:r>
      <w:r>
        <w:rPr>
          <w:spacing w:val="-11"/>
          <w:sz w:val="22"/>
        </w:rPr>
        <w:t> </w:t>
      </w:r>
      <w:r>
        <w:rPr>
          <w:sz w:val="22"/>
        </w:rPr>
        <w:t>similar</w:t>
      </w:r>
      <w:r>
        <w:rPr>
          <w:spacing w:val="-6"/>
          <w:sz w:val="22"/>
        </w:rPr>
        <w:t> </w:t>
      </w:r>
      <w:r>
        <w:rPr>
          <w:sz w:val="22"/>
        </w:rPr>
        <w:t>situations</w:t>
      </w:r>
      <w:r>
        <w:rPr>
          <w:spacing w:val="-9"/>
          <w:sz w:val="22"/>
        </w:rPr>
        <w:t> </w:t>
      </w:r>
      <w:r>
        <w:rPr>
          <w:sz w:val="22"/>
        </w:rPr>
        <w:t>should</w:t>
      </w:r>
      <w:r>
        <w:rPr>
          <w:spacing w:val="-9"/>
          <w:sz w:val="22"/>
        </w:rPr>
        <w:t> </w:t>
      </w:r>
      <w:r>
        <w:rPr>
          <w:sz w:val="22"/>
        </w:rPr>
        <w:t>pay</w:t>
      </w:r>
      <w:r>
        <w:rPr>
          <w:spacing w:val="-9"/>
          <w:sz w:val="22"/>
        </w:rPr>
        <w:t> </w:t>
      </w:r>
      <w:r>
        <w:rPr>
          <w:sz w:val="22"/>
        </w:rPr>
        <w:t>similar</w:t>
      </w:r>
      <w:r>
        <w:rPr>
          <w:spacing w:val="-6"/>
          <w:sz w:val="22"/>
        </w:rPr>
        <w:t> </w:t>
      </w:r>
      <w:r>
        <w:rPr>
          <w:sz w:val="22"/>
        </w:rPr>
        <w:t>amounts</w:t>
      </w:r>
      <w:r>
        <w:rPr>
          <w:spacing w:val="-5"/>
          <w:sz w:val="22"/>
        </w:rPr>
        <w:t> </w:t>
      </w:r>
      <w:r>
        <w:rPr>
          <w:sz w:val="22"/>
        </w:rPr>
        <w:t>of</w:t>
      </w:r>
      <w:r>
        <w:rPr>
          <w:spacing w:val="-9"/>
          <w:sz w:val="22"/>
        </w:rPr>
        <w:t> </w:t>
      </w:r>
      <w:r>
        <w:rPr>
          <w:sz w:val="22"/>
        </w:rPr>
        <w:t>rates (ensured mainly by accurate property valuations, undertaken in a consistent manner, their classification into homogenous property classes and the right of appeal against </w:t>
      </w:r>
      <w:r>
        <w:rPr>
          <w:spacing w:val="-2"/>
          <w:sz w:val="22"/>
        </w:rPr>
        <w:t>valuation).</w:t>
      </w:r>
    </w:p>
    <w:p>
      <w:pPr>
        <w:pStyle w:val="ListParagraph"/>
        <w:numPr>
          <w:ilvl w:val="1"/>
          <w:numId w:val="4"/>
        </w:numPr>
        <w:tabs>
          <w:tab w:pos="2160" w:val="left" w:leader="none"/>
        </w:tabs>
        <w:spacing w:line="240" w:lineRule="auto" w:before="5" w:after="0"/>
        <w:ind w:left="2160" w:right="1435" w:hanging="360"/>
        <w:jc w:val="both"/>
        <w:rPr>
          <w:sz w:val="22"/>
        </w:rPr>
      </w:pPr>
      <w:r>
        <w:rPr>
          <w:sz w:val="22"/>
        </w:rPr>
        <w:t>Vertical equity – those who are better off should pay more</w:t>
      </w:r>
      <w:r>
        <w:rPr>
          <w:spacing w:val="-1"/>
          <w:sz w:val="22"/>
        </w:rPr>
        <w:t> </w:t>
      </w:r>
      <w:r>
        <w:rPr>
          <w:sz w:val="22"/>
        </w:rPr>
        <w:t>rates than those worse off (the rationale applies for the use of progressive and proportional income taxation. It implies a “relativity” dimension to the fairness of the tax burden).</w:t>
      </w:r>
    </w:p>
    <w:p>
      <w:pPr>
        <w:pStyle w:val="BodyText"/>
        <w:rPr>
          <w:sz w:val="20"/>
        </w:rPr>
      </w:pPr>
    </w:p>
    <w:p>
      <w:pPr>
        <w:pStyle w:val="BodyText"/>
        <w:spacing w:before="5"/>
        <w:rPr>
          <w:sz w:val="24"/>
        </w:rPr>
      </w:pPr>
      <w:r>
        <w:rPr/>
        <w:drawing>
          <wp:anchor distT="0" distB="0" distL="0" distR="0" allowOverlap="1" layoutInCell="1" locked="0" behindDoc="0" simplePos="0" relativeHeight="10">
            <wp:simplePos x="0" y="0"/>
            <wp:positionH relativeFrom="page">
              <wp:posOffset>27432</wp:posOffset>
            </wp:positionH>
            <wp:positionV relativeFrom="paragraph">
              <wp:posOffset>193660</wp:posOffset>
            </wp:positionV>
            <wp:extent cx="7378567" cy="97440"/>
            <wp:effectExtent l="0" t="0" r="0" b="0"/>
            <wp:wrapTopAndBottom/>
            <wp:docPr id="19" name="image4.png"/>
            <wp:cNvGraphicFramePr>
              <a:graphicFrameLocks noChangeAspect="1"/>
            </wp:cNvGraphicFramePr>
            <a:graphic>
              <a:graphicData uri="http://schemas.openxmlformats.org/drawingml/2006/picture">
                <pic:pic>
                  <pic:nvPicPr>
                    <pic:cNvPr id="20"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24"/>
        </w:rPr>
        <w:sectPr>
          <w:pgSz w:w="11910" w:h="16840"/>
          <w:pgMar w:header="0" w:footer="662" w:top="1340" w:bottom="860" w:left="0" w:right="0"/>
        </w:sectPr>
      </w:pPr>
    </w:p>
    <w:p>
      <w:pPr>
        <w:pStyle w:val="BodyText"/>
        <w:rPr>
          <w:sz w:val="20"/>
        </w:rPr>
      </w:pPr>
    </w:p>
    <w:p>
      <w:pPr>
        <w:pStyle w:val="BodyText"/>
        <w:rPr>
          <w:sz w:val="20"/>
        </w:rPr>
      </w:pPr>
    </w:p>
    <w:p>
      <w:pPr>
        <w:pStyle w:val="BodyText"/>
        <w:rPr>
          <w:sz w:val="25"/>
        </w:rPr>
      </w:pPr>
    </w:p>
    <w:p>
      <w:pPr>
        <w:pStyle w:val="Heading5"/>
        <w:spacing w:line="252" w:lineRule="exact" w:before="94"/>
        <w:jc w:val="left"/>
      </w:pPr>
      <w:r>
        <w:rPr/>
        <w:drawing>
          <wp:anchor distT="0" distB="0" distL="0" distR="0" allowOverlap="1" layoutInCell="1" locked="0" behindDoc="0" simplePos="0" relativeHeight="15734272">
            <wp:simplePos x="0" y="0"/>
            <wp:positionH relativeFrom="page">
              <wp:posOffset>6461760</wp:posOffset>
            </wp:positionH>
            <wp:positionV relativeFrom="paragraph">
              <wp:posOffset>-479833</wp:posOffset>
            </wp:positionV>
            <wp:extent cx="545591" cy="637031"/>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8" cstate="print"/>
                    <a:stretch>
                      <a:fillRect/>
                    </a:stretch>
                  </pic:blipFill>
                  <pic:spPr>
                    <a:xfrm>
                      <a:off x="0" y="0"/>
                      <a:ext cx="545591" cy="637031"/>
                    </a:xfrm>
                    <a:prstGeom prst="rect">
                      <a:avLst/>
                    </a:prstGeom>
                  </pic:spPr>
                </pic:pic>
              </a:graphicData>
            </a:graphic>
          </wp:anchor>
        </w:drawing>
      </w:r>
      <w:r>
        <w:rPr>
          <w:spacing w:val="-2"/>
        </w:rPr>
        <w:t>Simplicity</w:t>
      </w:r>
    </w:p>
    <w:p>
      <w:pPr>
        <w:pStyle w:val="BodyText"/>
        <w:ind w:left="1440" w:right="1342"/>
      </w:pPr>
      <w:r>
        <w:rPr/>
        <w:t>How easily a rates system can be understood by ratepayers and the practicality and ease of </w:t>
      </w:r>
      <w:r>
        <w:rPr>
          <w:spacing w:val="-2"/>
        </w:rPr>
        <w:t>administration.</w:t>
      </w:r>
    </w:p>
    <w:p>
      <w:pPr>
        <w:pStyle w:val="BodyText"/>
        <w:spacing w:before="1"/>
      </w:pPr>
    </w:p>
    <w:p>
      <w:pPr>
        <w:pStyle w:val="Heading5"/>
        <w:spacing w:line="252" w:lineRule="exact"/>
        <w:jc w:val="left"/>
      </w:pPr>
      <w:r>
        <w:rPr>
          <w:spacing w:val="-2"/>
        </w:rPr>
        <w:t>Benefit</w:t>
      </w:r>
    </w:p>
    <w:p>
      <w:pPr>
        <w:pStyle w:val="BodyText"/>
        <w:spacing w:line="252" w:lineRule="exact"/>
        <w:ind w:left="1440"/>
      </w:pPr>
      <w:r>
        <w:rPr/>
        <w:t>The</w:t>
      </w:r>
      <w:r>
        <w:rPr>
          <w:spacing w:val="-3"/>
        </w:rPr>
        <w:t> </w:t>
      </w:r>
      <w:r>
        <w:rPr/>
        <w:t>extent</w:t>
      </w:r>
      <w:r>
        <w:rPr>
          <w:spacing w:val="-2"/>
        </w:rPr>
        <w:t> </w:t>
      </w:r>
      <w:r>
        <w:rPr/>
        <w:t>to</w:t>
      </w:r>
      <w:r>
        <w:rPr>
          <w:spacing w:val="-3"/>
        </w:rPr>
        <w:t> </w:t>
      </w:r>
      <w:r>
        <w:rPr/>
        <w:t>which</w:t>
      </w:r>
      <w:r>
        <w:rPr>
          <w:spacing w:val="-5"/>
        </w:rPr>
        <w:t> </w:t>
      </w:r>
      <w:r>
        <w:rPr/>
        <w:t>there</w:t>
      </w:r>
      <w:r>
        <w:rPr>
          <w:spacing w:val="-5"/>
        </w:rPr>
        <w:t> </w:t>
      </w:r>
      <w:r>
        <w:rPr/>
        <w:t>is</w:t>
      </w:r>
      <w:r>
        <w:rPr>
          <w:spacing w:val="-3"/>
        </w:rPr>
        <w:t> </w:t>
      </w:r>
      <w:r>
        <w:rPr/>
        <w:t>a</w:t>
      </w:r>
      <w:r>
        <w:rPr>
          <w:spacing w:val="-1"/>
        </w:rPr>
        <w:t> </w:t>
      </w:r>
      <w:r>
        <w:rPr/>
        <w:t>nexus</w:t>
      </w:r>
      <w:r>
        <w:rPr>
          <w:spacing w:val="-3"/>
        </w:rPr>
        <w:t> </w:t>
      </w:r>
      <w:r>
        <w:rPr/>
        <w:t>between</w:t>
      </w:r>
      <w:r>
        <w:rPr>
          <w:spacing w:val="-3"/>
        </w:rPr>
        <w:t> </w:t>
      </w:r>
      <w:r>
        <w:rPr/>
        <w:t>consumption/benefit</w:t>
      </w:r>
      <w:r>
        <w:rPr>
          <w:spacing w:val="-5"/>
        </w:rPr>
        <w:t> </w:t>
      </w:r>
      <w:r>
        <w:rPr/>
        <w:t>and</w:t>
      </w:r>
      <w:r>
        <w:rPr>
          <w:spacing w:val="-5"/>
        </w:rPr>
        <w:t> </w:t>
      </w:r>
      <w:r>
        <w:rPr/>
        <w:t>the</w:t>
      </w:r>
      <w:r>
        <w:rPr>
          <w:spacing w:val="-2"/>
        </w:rPr>
        <w:t> </w:t>
      </w:r>
      <w:r>
        <w:rPr/>
        <w:t>rate</w:t>
      </w:r>
      <w:r>
        <w:rPr>
          <w:spacing w:val="-4"/>
        </w:rPr>
        <w:t> </w:t>
      </w:r>
      <w:r>
        <w:rPr>
          <w:spacing w:val="-2"/>
        </w:rPr>
        <w:t>burden.</w:t>
      </w:r>
    </w:p>
    <w:p>
      <w:pPr>
        <w:pStyle w:val="BodyText"/>
        <w:spacing w:before="1"/>
      </w:pPr>
    </w:p>
    <w:p>
      <w:pPr>
        <w:pStyle w:val="Heading5"/>
        <w:spacing w:line="252" w:lineRule="exact"/>
        <w:jc w:val="left"/>
      </w:pPr>
      <w:r>
        <w:rPr/>
        <w:t>Capacity</w:t>
      </w:r>
      <w:r>
        <w:rPr>
          <w:spacing w:val="-5"/>
        </w:rPr>
        <w:t> </w:t>
      </w:r>
      <w:r>
        <w:rPr/>
        <w:t>to</w:t>
      </w:r>
      <w:r>
        <w:rPr>
          <w:spacing w:val="-1"/>
        </w:rPr>
        <w:t> </w:t>
      </w:r>
      <w:r>
        <w:rPr>
          <w:spacing w:val="-5"/>
        </w:rPr>
        <w:t>Pay</w:t>
      </w:r>
    </w:p>
    <w:p>
      <w:pPr>
        <w:pStyle w:val="BodyText"/>
        <w:spacing w:line="252" w:lineRule="exact"/>
        <w:ind w:left="1440"/>
      </w:pPr>
      <w:r>
        <w:rPr/>
        <w:t>The</w:t>
      </w:r>
      <w:r>
        <w:rPr>
          <w:spacing w:val="-3"/>
        </w:rPr>
        <w:t> </w:t>
      </w:r>
      <w:r>
        <w:rPr/>
        <w:t>capacity</w:t>
      </w:r>
      <w:r>
        <w:rPr>
          <w:spacing w:val="-5"/>
        </w:rPr>
        <w:t> </w:t>
      </w:r>
      <w:r>
        <w:rPr/>
        <w:t>of</w:t>
      </w:r>
      <w:r>
        <w:rPr>
          <w:spacing w:val="-2"/>
        </w:rPr>
        <w:t> </w:t>
      </w:r>
      <w:r>
        <w:rPr/>
        <w:t>ratepayers</w:t>
      </w:r>
      <w:r>
        <w:rPr>
          <w:spacing w:val="-3"/>
        </w:rPr>
        <w:t> </w:t>
      </w:r>
      <w:r>
        <w:rPr/>
        <w:t>or</w:t>
      </w:r>
      <w:r>
        <w:rPr>
          <w:spacing w:val="-2"/>
        </w:rPr>
        <w:t> </w:t>
      </w:r>
      <w:r>
        <w:rPr/>
        <w:t>groups</w:t>
      </w:r>
      <w:r>
        <w:rPr>
          <w:spacing w:val="-2"/>
        </w:rPr>
        <w:t> </w:t>
      </w:r>
      <w:r>
        <w:rPr/>
        <w:t>of</w:t>
      </w:r>
      <w:r>
        <w:rPr>
          <w:spacing w:val="-3"/>
        </w:rPr>
        <w:t> </w:t>
      </w:r>
      <w:r>
        <w:rPr/>
        <w:t>ratepayers</w:t>
      </w:r>
      <w:r>
        <w:rPr>
          <w:spacing w:val="-4"/>
        </w:rPr>
        <w:t> </w:t>
      </w:r>
      <w:r>
        <w:rPr/>
        <w:t>to</w:t>
      </w:r>
      <w:r>
        <w:rPr>
          <w:spacing w:val="-4"/>
        </w:rPr>
        <w:t> </w:t>
      </w:r>
      <w:r>
        <w:rPr/>
        <w:t>pay</w:t>
      </w:r>
      <w:r>
        <w:rPr>
          <w:spacing w:val="-2"/>
        </w:rPr>
        <w:t> rates.</w:t>
      </w:r>
    </w:p>
    <w:p>
      <w:pPr>
        <w:pStyle w:val="BodyText"/>
      </w:pPr>
    </w:p>
    <w:p>
      <w:pPr>
        <w:pStyle w:val="Heading5"/>
        <w:spacing w:line="252" w:lineRule="exact"/>
        <w:jc w:val="left"/>
      </w:pPr>
      <w:r>
        <w:rPr>
          <w:spacing w:val="-2"/>
        </w:rPr>
        <w:t>Diversity</w:t>
      </w:r>
    </w:p>
    <w:p>
      <w:pPr>
        <w:pStyle w:val="BodyText"/>
        <w:spacing w:line="252" w:lineRule="exact"/>
        <w:ind w:left="1440"/>
      </w:pPr>
      <w:r>
        <w:rPr/>
        <w:t>The</w:t>
      </w:r>
      <w:r>
        <w:rPr>
          <w:spacing w:val="-2"/>
        </w:rPr>
        <w:t> </w:t>
      </w:r>
      <w:r>
        <w:rPr/>
        <w:t>capacity</w:t>
      </w:r>
      <w:r>
        <w:rPr>
          <w:spacing w:val="-4"/>
        </w:rPr>
        <w:t> </w:t>
      </w:r>
      <w:r>
        <w:rPr/>
        <w:t>of</w:t>
      </w:r>
      <w:r>
        <w:rPr>
          <w:spacing w:val="-1"/>
        </w:rPr>
        <w:t> </w:t>
      </w:r>
      <w:r>
        <w:rPr/>
        <w:t>ratepayers</w:t>
      </w:r>
      <w:r>
        <w:rPr>
          <w:spacing w:val="-2"/>
        </w:rPr>
        <w:t> </w:t>
      </w:r>
      <w:r>
        <w:rPr/>
        <w:t>within a</w:t>
      </w:r>
      <w:r>
        <w:rPr>
          <w:spacing w:val="-6"/>
        </w:rPr>
        <w:t> </w:t>
      </w:r>
      <w:r>
        <w:rPr/>
        <w:t>group</w:t>
      </w:r>
      <w:r>
        <w:rPr>
          <w:spacing w:val="-3"/>
        </w:rPr>
        <w:t> </w:t>
      </w:r>
      <w:r>
        <w:rPr/>
        <w:t>to</w:t>
      </w:r>
      <w:r>
        <w:rPr>
          <w:spacing w:val="-4"/>
        </w:rPr>
        <w:t> </w:t>
      </w:r>
      <w:r>
        <w:rPr/>
        <w:t>pay</w:t>
      </w:r>
      <w:r>
        <w:rPr>
          <w:spacing w:val="-3"/>
        </w:rPr>
        <w:t> </w:t>
      </w:r>
      <w:r>
        <w:rPr>
          <w:spacing w:val="-2"/>
        </w:rPr>
        <w:t>rates.</w:t>
      </w:r>
    </w:p>
    <w:p>
      <w:pPr>
        <w:pStyle w:val="BodyText"/>
      </w:pPr>
    </w:p>
    <w:p>
      <w:pPr>
        <w:pStyle w:val="BodyText"/>
        <w:spacing w:before="1"/>
        <w:ind w:left="1440" w:right="1342"/>
      </w:pPr>
      <w:r>
        <w:rPr/>
        <w:t>The</w:t>
      </w:r>
      <w:r>
        <w:rPr>
          <w:spacing w:val="40"/>
        </w:rPr>
        <w:t> </w:t>
      </w:r>
      <w:r>
        <w:rPr/>
        <w:t>rating</w:t>
      </w:r>
      <w:r>
        <w:rPr>
          <w:spacing w:val="40"/>
        </w:rPr>
        <w:t> </w:t>
      </w:r>
      <w:r>
        <w:rPr/>
        <w:t>challenge</w:t>
      </w:r>
      <w:r>
        <w:rPr>
          <w:spacing w:val="40"/>
        </w:rPr>
        <w:t> </w:t>
      </w:r>
      <w:r>
        <w:rPr/>
        <w:t>for</w:t>
      </w:r>
      <w:r>
        <w:rPr>
          <w:spacing w:val="40"/>
        </w:rPr>
        <w:t> </w:t>
      </w:r>
      <w:r>
        <w:rPr/>
        <w:t>Council</w:t>
      </w:r>
      <w:r>
        <w:rPr>
          <w:spacing w:val="40"/>
        </w:rPr>
        <w:t> </w:t>
      </w:r>
      <w:r>
        <w:rPr/>
        <w:t>therefore</w:t>
      </w:r>
      <w:r>
        <w:rPr>
          <w:spacing w:val="40"/>
        </w:rPr>
        <w:t> </w:t>
      </w:r>
      <w:r>
        <w:rPr/>
        <w:t>is</w:t>
      </w:r>
      <w:r>
        <w:rPr>
          <w:spacing w:val="40"/>
        </w:rPr>
        <w:t> </w:t>
      </w:r>
      <w:r>
        <w:rPr/>
        <w:t>to</w:t>
      </w:r>
      <w:r>
        <w:rPr>
          <w:spacing w:val="40"/>
        </w:rPr>
        <w:t> </w:t>
      </w:r>
      <w:r>
        <w:rPr/>
        <w:t>determine</w:t>
      </w:r>
      <w:r>
        <w:rPr>
          <w:spacing w:val="40"/>
        </w:rPr>
        <w:t> </w:t>
      </w:r>
      <w:r>
        <w:rPr/>
        <w:t>the</w:t>
      </w:r>
      <w:r>
        <w:rPr>
          <w:spacing w:val="40"/>
        </w:rPr>
        <w:t> </w:t>
      </w:r>
      <w:r>
        <w:rPr/>
        <w:t>appropriate</w:t>
      </w:r>
      <w:r>
        <w:rPr>
          <w:spacing w:val="40"/>
        </w:rPr>
        <w:t> </w:t>
      </w:r>
      <w:r>
        <w:rPr/>
        <w:t>balancing</w:t>
      </w:r>
      <w:r>
        <w:rPr>
          <w:spacing w:val="40"/>
        </w:rPr>
        <w:t> </w:t>
      </w:r>
      <w:r>
        <w:rPr/>
        <w:t>of competing considerations.</w:t>
      </w:r>
    </w:p>
    <w:p>
      <w:pPr>
        <w:pStyle w:val="BodyText"/>
        <w:spacing w:before="1"/>
      </w:pPr>
    </w:p>
    <w:p>
      <w:pPr>
        <w:pStyle w:val="Heading5"/>
        <w:jc w:val="left"/>
      </w:pPr>
      <w:r>
        <w:rPr/>
        <w:t>Rates</w:t>
      </w:r>
      <w:r>
        <w:rPr>
          <w:spacing w:val="-4"/>
        </w:rPr>
        <w:t> </w:t>
      </w:r>
      <w:r>
        <w:rPr/>
        <w:t>and</w:t>
      </w:r>
      <w:r>
        <w:rPr>
          <w:spacing w:val="-3"/>
        </w:rPr>
        <w:t> </w:t>
      </w:r>
      <w:r>
        <w:rPr/>
        <w:t>Charges</w:t>
      </w:r>
      <w:r>
        <w:rPr>
          <w:spacing w:val="-3"/>
        </w:rPr>
        <w:t> </w:t>
      </w:r>
      <w:r>
        <w:rPr/>
        <w:t>Revenue</w:t>
      </w:r>
      <w:r>
        <w:rPr>
          <w:spacing w:val="-5"/>
        </w:rPr>
        <w:t> </w:t>
      </w:r>
      <w:r>
        <w:rPr>
          <w:spacing w:val="-2"/>
        </w:rPr>
        <w:t>Principles:</w:t>
      </w:r>
    </w:p>
    <w:p>
      <w:pPr>
        <w:pStyle w:val="BodyText"/>
        <w:spacing w:before="10"/>
        <w:rPr>
          <w:b/>
          <w:sz w:val="21"/>
        </w:rPr>
      </w:pPr>
    </w:p>
    <w:p>
      <w:pPr>
        <w:pStyle w:val="BodyText"/>
        <w:ind w:left="1440"/>
      </w:pPr>
      <w:r>
        <w:rPr/>
        <w:t>Property</w:t>
      </w:r>
      <w:r>
        <w:rPr>
          <w:spacing w:val="-7"/>
        </w:rPr>
        <w:t> </w:t>
      </w:r>
      <w:r>
        <w:rPr/>
        <w:t>rates</w:t>
      </w:r>
      <w:r>
        <w:rPr>
          <w:spacing w:val="-2"/>
        </w:rPr>
        <w:t> </w:t>
      </w:r>
      <w:r>
        <w:rPr>
          <w:spacing w:val="-4"/>
        </w:rPr>
        <w:t>will:</w:t>
      </w:r>
    </w:p>
    <w:p>
      <w:pPr>
        <w:pStyle w:val="ListParagraph"/>
        <w:numPr>
          <w:ilvl w:val="0"/>
          <w:numId w:val="4"/>
        </w:numPr>
        <w:tabs>
          <w:tab w:pos="1799" w:val="left" w:leader="none"/>
          <w:tab w:pos="1800" w:val="left" w:leader="none"/>
        </w:tabs>
        <w:spacing w:line="269" w:lineRule="exact" w:before="1" w:after="0"/>
        <w:ind w:left="1799" w:right="0" w:hanging="360"/>
        <w:jc w:val="left"/>
        <w:rPr>
          <w:sz w:val="22"/>
        </w:rPr>
      </w:pPr>
      <w:r>
        <w:rPr>
          <w:sz w:val="22"/>
        </w:rPr>
        <w:t>be</w:t>
      </w:r>
      <w:r>
        <w:rPr>
          <w:spacing w:val="-2"/>
          <w:sz w:val="22"/>
        </w:rPr>
        <w:t> </w:t>
      </w:r>
      <w:r>
        <w:rPr>
          <w:sz w:val="22"/>
        </w:rPr>
        <w:t>reviewed </w:t>
      </w:r>
      <w:r>
        <w:rPr>
          <w:spacing w:val="-2"/>
          <w:sz w:val="22"/>
        </w:rPr>
        <w:t>annually;</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not</w:t>
      </w:r>
      <w:r>
        <w:rPr>
          <w:spacing w:val="-2"/>
          <w:sz w:val="22"/>
        </w:rPr>
        <w:t> </w:t>
      </w:r>
      <w:r>
        <w:rPr>
          <w:sz w:val="22"/>
        </w:rPr>
        <w:t>change</w:t>
      </w:r>
      <w:r>
        <w:rPr>
          <w:spacing w:val="-5"/>
          <w:sz w:val="22"/>
        </w:rPr>
        <w:t> </w:t>
      </w:r>
      <w:r>
        <w:rPr>
          <w:sz w:val="22"/>
        </w:rPr>
        <w:t>dramatically</w:t>
      </w:r>
      <w:r>
        <w:rPr>
          <w:spacing w:val="-3"/>
          <w:sz w:val="22"/>
        </w:rPr>
        <w:t> </w:t>
      </w:r>
      <w:r>
        <w:rPr>
          <w:sz w:val="22"/>
        </w:rPr>
        <w:t>from</w:t>
      </w:r>
      <w:r>
        <w:rPr>
          <w:spacing w:val="-3"/>
          <w:sz w:val="22"/>
        </w:rPr>
        <w:t> </w:t>
      </w:r>
      <w:r>
        <w:rPr>
          <w:sz w:val="22"/>
        </w:rPr>
        <w:t>one</w:t>
      </w:r>
      <w:r>
        <w:rPr>
          <w:spacing w:val="-2"/>
          <w:sz w:val="22"/>
        </w:rPr>
        <w:t> </w:t>
      </w:r>
      <w:r>
        <w:rPr>
          <w:sz w:val="22"/>
        </w:rPr>
        <w:t>year</w:t>
      </w:r>
      <w:r>
        <w:rPr>
          <w:spacing w:val="-5"/>
          <w:sz w:val="22"/>
        </w:rPr>
        <w:t> </w:t>
      </w:r>
      <w:r>
        <w:rPr>
          <w:sz w:val="22"/>
        </w:rPr>
        <w:t>to</w:t>
      </w:r>
      <w:r>
        <w:rPr>
          <w:spacing w:val="-3"/>
          <w:sz w:val="22"/>
        </w:rPr>
        <w:t> </w:t>
      </w:r>
      <w:r>
        <w:rPr>
          <w:sz w:val="22"/>
        </w:rPr>
        <w:t>next;</w:t>
      </w:r>
      <w:r>
        <w:rPr>
          <w:spacing w:val="-1"/>
          <w:sz w:val="22"/>
        </w:rPr>
        <w:t> </w:t>
      </w:r>
      <w:r>
        <w:rPr>
          <w:spacing w:val="-5"/>
          <w:sz w:val="22"/>
        </w:rPr>
        <w:t>and</w:t>
      </w:r>
    </w:p>
    <w:p>
      <w:pPr>
        <w:pStyle w:val="ListParagraph"/>
        <w:numPr>
          <w:ilvl w:val="0"/>
          <w:numId w:val="4"/>
        </w:numPr>
        <w:tabs>
          <w:tab w:pos="1799" w:val="left" w:leader="none"/>
          <w:tab w:pos="1800" w:val="left" w:leader="none"/>
        </w:tabs>
        <w:spacing w:line="237" w:lineRule="auto" w:before="2" w:after="0"/>
        <w:ind w:left="1800" w:right="1435" w:hanging="360"/>
        <w:jc w:val="left"/>
        <w:rPr>
          <w:sz w:val="22"/>
        </w:rPr>
      </w:pPr>
      <w:r>
        <w:rPr>
          <w:sz w:val="22"/>
        </w:rPr>
        <w:t>be</w:t>
      </w:r>
      <w:r>
        <w:rPr>
          <w:spacing w:val="28"/>
          <w:sz w:val="22"/>
        </w:rPr>
        <w:t> </w:t>
      </w:r>
      <w:r>
        <w:rPr>
          <w:sz w:val="22"/>
        </w:rPr>
        <w:t>sufficient</w:t>
      </w:r>
      <w:r>
        <w:rPr>
          <w:spacing w:val="28"/>
          <w:sz w:val="22"/>
        </w:rPr>
        <w:t> </w:t>
      </w:r>
      <w:r>
        <w:rPr>
          <w:sz w:val="22"/>
        </w:rPr>
        <w:t>to fund</w:t>
      </w:r>
      <w:r>
        <w:rPr>
          <w:spacing w:val="29"/>
          <w:sz w:val="22"/>
        </w:rPr>
        <w:t> </w:t>
      </w:r>
      <w:r>
        <w:rPr>
          <w:sz w:val="22"/>
        </w:rPr>
        <w:t>current</w:t>
      </w:r>
      <w:r>
        <w:rPr>
          <w:spacing w:val="28"/>
          <w:sz w:val="22"/>
        </w:rPr>
        <w:t> </w:t>
      </w:r>
      <w:r>
        <w:rPr>
          <w:sz w:val="22"/>
        </w:rPr>
        <w:t>expenditure</w:t>
      </w:r>
      <w:r>
        <w:rPr>
          <w:spacing w:val="27"/>
          <w:sz w:val="22"/>
        </w:rPr>
        <w:t> </w:t>
      </w:r>
      <w:r>
        <w:rPr>
          <w:sz w:val="22"/>
        </w:rPr>
        <w:t>commitments</w:t>
      </w:r>
      <w:r>
        <w:rPr>
          <w:spacing w:val="26"/>
          <w:sz w:val="22"/>
        </w:rPr>
        <w:t> </w:t>
      </w:r>
      <w:r>
        <w:rPr>
          <w:sz w:val="22"/>
        </w:rPr>
        <w:t>and</w:t>
      </w:r>
      <w:r>
        <w:rPr>
          <w:spacing w:val="27"/>
          <w:sz w:val="22"/>
        </w:rPr>
        <w:t> </w:t>
      </w:r>
      <w:r>
        <w:rPr>
          <w:sz w:val="22"/>
        </w:rPr>
        <w:t>deliverables</w:t>
      </w:r>
      <w:r>
        <w:rPr>
          <w:spacing w:val="26"/>
          <w:sz w:val="22"/>
        </w:rPr>
        <w:t> </w:t>
      </w:r>
      <w:r>
        <w:rPr>
          <w:sz w:val="22"/>
        </w:rPr>
        <w:t>outlined</w:t>
      </w:r>
      <w:r>
        <w:rPr>
          <w:spacing w:val="30"/>
          <w:sz w:val="22"/>
        </w:rPr>
        <w:t> </w:t>
      </w:r>
      <w:r>
        <w:rPr>
          <w:sz w:val="22"/>
        </w:rPr>
        <w:t>in</w:t>
      </w:r>
      <w:r>
        <w:rPr>
          <w:spacing w:val="26"/>
          <w:sz w:val="22"/>
        </w:rPr>
        <w:t> </w:t>
      </w:r>
      <w:r>
        <w:rPr>
          <w:sz w:val="22"/>
        </w:rPr>
        <w:t>the Council Plan, Financial Plan and Asset Plan.</w:t>
      </w:r>
    </w:p>
    <w:p>
      <w:pPr>
        <w:pStyle w:val="BodyText"/>
        <w:spacing w:before="10"/>
        <w:rPr>
          <w:sz w:val="21"/>
        </w:rPr>
      </w:pPr>
    </w:p>
    <w:p>
      <w:pPr>
        <w:pStyle w:val="BodyText"/>
        <w:ind w:left="1440" w:right="1342"/>
      </w:pPr>
      <w:r>
        <w:rPr/>
        <w:t>Differential</w:t>
      </w:r>
      <w:r>
        <w:rPr>
          <w:spacing w:val="38"/>
        </w:rPr>
        <w:t> </w:t>
      </w:r>
      <w:r>
        <w:rPr/>
        <w:t>rating</w:t>
      </w:r>
      <w:r>
        <w:rPr>
          <w:spacing w:val="40"/>
        </w:rPr>
        <w:t> </w:t>
      </w:r>
      <w:r>
        <w:rPr/>
        <w:t>should</w:t>
      </w:r>
      <w:r>
        <w:rPr>
          <w:spacing w:val="36"/>
        </w:rPr>
        <w:t> </w:t>
      </w:r>
      <w:r>
        <w:rPr/>
        <w:t>be</w:t>
      </w:r>
      <w:r>
        <w:rPr>
          <w:spacing w:val="39"/>
        </w:rPr>
        <w:t> </w:t>
      </w:r>
      <w:r>
        <w:rPr/>
        <w:t>applied</w:t>
      </w:r>
      <w:r>
        <w:rPr>
          <w:spacing w:val="40"/>
        </w:rPr>
        <w:t> </w:t>
      </w:r>
      <w:r>
        <w:rPr/>
        <w:t>as</w:t>
      </w:r>
      <w:r>
        <w:rPr>
          <w:spacing w:val="40"/>
        </w:rPr>
        <w:t> </w:t>
      </w:r>
      <w:r>
        <w:rPr/>
        <w:t>equitably</w:t>
      </w:r>
      <w:r>
        <w:rPr>
          <w:spacing w:val="40"/>
        </w:rPr>
        <w:t> </w:t>
      </w:r>
      <w:r>
        <w:rPr/>
        <w:t>as</w:t>
      </w:r>
      <w:r>
        <w:rPr>
          <w:spacing w:val="40"/>
        </w:rPr>
        <w:t> </w:t>
      </w:r>
      <w:r>
        <w:rPr/>
        <w:t>is</w:t>
      </w:r>
      <w:r>
        <w:rPr>
          <w:spacing w:val="38"/>
        </w:rPr>
        <w:t> </w:t>
      </w:r>
      <w:r>
        <w:rPr/>
        <w:t>practical</w:t>
      </w:r>
      <w:r>
        <w:rPr>
          <w:spacing w:val="38"/>
        </w:rPr>
        <w:t> </w:t>
      </w:r>
      <w:r>
        <w:rPr/>
        <w:t>and</w:t>
      </w:r>
      <w:r>
        <w:rPr>
          <w:spacing w:val="36"/>
        </w:rPr>
        <w:t> </w:t>
      </w:r>
      <w:r>
        <w:rPr/>
        <w:t>will</w:t>
      </w:r>
      <w:r>
        <w:rPr>
          <w:spacing w:val="38"/>
        </w:rPr>
        <w:t> </w:t>
      </w:r>
      <w:r>
        <w:rPr/>
        <w:t>comply</w:t>
      </w:r>
      <w:r>
        <w:rPr>
          <w:spacing w:val="38"/>
        </w:rPr>
        <w:t> </w:t>
      </w:r>
      <w:r>
        <w:rPr/>
        <w:t>with</w:t>
      </w:r>
      <w:r>
        <w:rPr>
          <w:spacing w:val="36"/>
        </w:rPr>
        <w:t> </w:t>
      </w:r>
      <w:r>
        <w:rPr/>
        <w:t>the Ministerial Guidelines for Differential Rating 2013.</w:t>
      </w:r>
    </w:p>
    <w:p>
      <w:pPr>
        <w:pStyle w:val="BodyText"/>
        <w:rPr>
          <w:sz w:val="24"/>
        </w:rPr>
      </w:pPr>
    </w:p>
    <w:p>
      <w:pPr>
        <w:pStyle w:val="BodyText"/>
        <w:spacing w:before="10"/>
        <w:rPr>
          <w:sz w:val="18"/>
        </w:rPr>
      </w:pPr>
    </w:p>
    <w:p>
      <w:pPr>
        <w:pStyle w:val="Heading3"/>
        <w:numPr>
          <w:ilvl w:val="1"/>
          <w:numId w:val="3"/>
        </w:numPr>
        <w:tabs>
          <w:tab w:pos="2159" w:val="left" w:leader="none"/>
          <w:tab w:pos="2160" w:val="left" w:leader="none"/>
        </w:tabs>
        <w:spacing w:line="240" w:lineRule="auto" w:before="1" w:after="0"/>
        <w:ind w:left="2160" w:right="0" w:hanging="720"/>
        <w:jc w:val="left"/>
        <w:rPr>
          <w:color w:val="134295"/>
        </w:rPr>
      </w:pPr>
      <w:r>
        <w:rPr>
          <w:color w:val="134295"/>
        </w:rPr>
        <w:t>Determining</w:t>
      </w:r>
      <w:r>
        <w:rPr>
          <w:color w:val="134295"/>
          <w:spacing w:val="-4"/>
        </w:rPr>
        <w:t> </w:t>
      </w:r>
      <w:r>
        <w:rPr>
          <w:color w:val="134295"/>
        </w:rPr>
        <w:t>which</w:t>
      </w:r>
      <w:r>
        <w:rPr>
          <w:color w:val="134295"/>
          <w:spacing w:val="-1"/>
        </w:rPr>
        <w:t> </w:t>
      </w:r>
      <w:r>
        <w:rPr>
          <w:color w:val="134295"/>
        </w:rPr>
        <w:t>Valuation</w:t>
      </w:r>
      <w:r>
        <w:rPr>
          <w:color w:val="134295"/>
          <w:spacing w:val="-6"/>
        </w:rPr>
        <w:t> </w:t>
      </w:r>
      <w:r>
        <w:rPr>
          <w:color w:val="134295"/>
        </w:rPr>
        <w:t>Base</w:t>
      </w:r>
      <w:r>
        <w:rPr>
          <w:color w:val="134295"/>
          <w:spacing w:val="-6"/>
        </w:rPr>
        <w:t> </w:t>
      </w:r>
      <w:r>
        <w:rPr>
          <w:color w:val="134295"/>
        </w:rPr>
        <w:t>to</w:t>
      </w:r>
      <w:r>
        <w:rPr>
          <w:color w:val="134295"/>
          <w:spacing w:val="-5"/>
        </w:rPr>
        <w:t> Use</w:t>
      </w:r>
    </w:p>
    <w:p>
      <w:pPr>
        <w:pStyle w:val="BodyText"/>
        <w:spacing w:before="252"/>
        <w:ind w:left="1440" w:right="1342"/>
      </w:pPr>
      <w:r>
        <w:rPr/>
        <w:t>Under section 157(1) of the</w:t>
      </w:r>
      <w:r>
        <w:rPr>
          <w:spacing w:val="-2"/>
        </w:rPr>
        <w:t> </w:t>
      </w:r>
      <w:r>
        <w:rPr>
          <w:i/>
        </w:rPr>
        <w:t>Local</w:t>
      </w:r>
      <w:r>
        <w:rPr>
          <w:i/>
          <w:spacing w:val="-1"/>
        </w:rPr>
        <w:t> </w:t>
      </w:r>
      <w:r>
        <w:rPr>
          <w:i/>
        </w:rPr>
        <w:t>Government Act 1989</w:t>
      </w:r>
      <w:r>
        <w:rPr/>
        <w:t>, Council has</w:t>
      </w:r>
      <w:r>
        <w:rPr>
          <w:spacing w:val="-1"/>
        </w:rPr>
        <w:t> </w:t>
      </w:r>
      <w:r>
        <w:rPr/>
        <w:t>three options as to the valuation base it elects to use. They are:</w:t>
      </w:r>
    </w:p>
    <w:p>
      <w:pPr>
        <w:pStyle w:val="ListParagraph"/>
        <w:numPr>
          <w:ilvl w:val="0"/>
          <w:numId w:val="4"/>
        </w:numPr>
        <w:tabs>
          <w:tab w:pos="1799" w:val="left" w:leader="none"/>
          <w:tab w:pos="1800" w:val="left" w:leader="none"/>
        </w:tabs>
        <w:spacing w:line="268" w:lineRule="exact" w:before="3" w:after="0"/>
        <w:ind w:left="1800" w:right="0" w:hanging="360"/>
        <w:jc w:val="left"/>
        <w:rPr>
          <w:sz w:val="22"/>
        </w:rPr>
      </w:pPr>
      <w:r>
        <w:rPr>
          <w:b/>
          <w:sz w:val="22"/>
        </w:rPr>
        <w:t>Capital</w:t>
      </w:r>
      <w:r>
        <w:rPr>
          <w:b/>
          <w:spacing w:val="-5"/>
          <w:sz w:val="22"/>
        </w:rPr>
        <w:t> </w:t>
      </w:r>
      <w:r>
        <w:rPr>
          <w:b/>
          <w:sz w:val="22"/>
        </w:rPr>
        <w:t>Improved</w:t>
      </w:r>
      <w:r>
        <w:rPr>
          <w:b/>
          <w:spacing w:val="-6"/>
          <w:sz w:val="22"/>
        </w:rPr>
        <w:t> </w:t>
      </w:r>
      <w:r>
        <w:rPr>
          <w:b/>
          <w:sz w:val="22"/>
        </w:rPr>
        <w:t>Value</w:t>
      </w:r>
      <w:r>
        <w:rPr>
          <w:b/>
          <w:spacing w:val="-5"/>
          <w:sz w:val="22"/>
        </w:rPr>
        <w:t> </w:t>
      </w:r>
      <w:r>
        <w:rPr>
          <w:b/>
          <w:sz w:val="22"/>
        </w:rPr>
        <w:t>(CIV)</w:t>
      </w:r>
      <w:r>
        <w:rPr>
          <w:b/>
          <w:spacing w:val="-1"/>
          <w:sz w:val="22"/>
        </w:rPr>
        <w:t> </w:t>
      </w:r>
      <w:r>
        <w:rPr>
          <w:sz w:val="22"/>
        </w:rPr>
        <w:t>–</w:t>
      </w:r>
      <w:r>
        <w:rPr>
          <w:spacing w:val="-4"/>
          <w:sz w:val="22"/>
        </w:rPr>
        <w:t> </w:t>
      </w:r>
      <w:r>
        <w:rPr>
          <w:sz w:val="22"/>
        </w:rPr>
        <w:t>Value</w:t>
      </w:r>
      <w:r>
        <w:rPr>
          <w:spacing w:val="-3"/>
          <w:sz w:val="22"/>
        </w:rPr>
        <w:t> </w:t>
      </w:r>
      <w:r>
        <w:rPr>
          <w:sz w:val="22"/>
        </w:rPr>
        <w:t>of</w:t>
      </w:r>
      <w:r>
        <w:rPr>
          <w:spacing w:val="-3"/>
          <w:sz w:val="22"/>
        </w:rPr>
        <w:t> </w:t>
      </w:r>
      <w:r>
        <w:rPr>
          <w:sz w:val="22"/>
        </w:rPr>
        <w:t>land</w:t>
      </w:r>
      <w:r>
        <w:rPr>
          <w:spacing w:val="-2"/>
          <w:sz w:val="22"/>
        </w:rPr>
        <w:t> </w:t>
      </w:r>
      <w:r>
        <w:rPr>
          <w:sz w:val="22"/>
        </w:rPr>
        <w:t>and</w:t>
      </w:r>
      <w:r>
        <w:rPr>
          <w:spacing w:val="-5"/>
          <w:sz w:val="22"/>
        </w:rPr>
        <w:t> </w:t>
      </w:r>
      <w:r>
        <w:rPr>
          <w:sz w:val="22"/>
        </w:rPr>
        <w:t>improvements</w:t>
      </w:r>
      <w:r>
        <w:rPr>
          <w:spacing w:val="-3"/>
          <w:sz w:val="22"/>
        </w:rPr>
        <w:t> </w:t>
      </w:r>
      <w:r>
        <w:rPr>
          <w:sz w:val="22"/>
        </w:rPr>
        <w:t>upon</w:t>
      </w:r>
      <w:r>
        <w:rPr>
          <w:spacing w:val="-7"/>
          <w:sz w:val="22"/>
        </w:rPr>
        <w:t> </w:t>
      </w:r>
      <w:r>
        <w:rPr>
          <w:sz w:val="22"/>
        </w:rPr>
        <w:t>the</w:t>
      </w:r>
      <w:r>
        <w:rPr>
          <w:spacing w:val="-4"/>
          <w:sz w:val="22"/>
        </w:rPr>
        <w:t> </w:t>
      </w:r>
      <w:r>
        <w:rPr>
          <w:spacing w:val="-2"/>
          <w:sz w:val="22"/>
        </w:rPr>
        <w:t>land.</w:t>
      </w:r>
    </w:p>
    <w:p>
      <w:pPr>
        <w:pStyle w:val="ListParagraph"/>
        <w:numPr>
          <w:ilvl w:val="0"/>
          <w:numId w:val="4"/>
        </w:numPr>
        <w:tabs>
          <w:tab w:pos="1799" w:val="left" w:leader="none"/>
          <w:tab w:pos="1800" w:val="left" w:leader="none"/>
        </w:tabs>
        <w:spacing w:line="268" w:lineRule="exact" w:before="0" w:after="0"/>
        <w:ind w:left="1800" w:right="0" w:hanging="360"/>
        <w:jc w:val="left"/>
        <w:rPr>
          <w:sz w:val="22"/>
        </w:rPr>
      </w:pPr>
      <w:r>
        <w:rPr>
          <w:b/>
          <w:sz w:val="22"/>
        </w:rPr>
        <w:t>Site</w:t>
      </w:r>
      <w:r>
        <w:rPr>
          <w:b/>
          <w:spacing w:val="-2"/>
          <w:sz w:val="22"/>
        </w:rPr>
        <w:t> </w:t>
      </w:r>
      <w:r>
        <w:rPr>
          <w:b/>
          <w:sz w:val="22"/>
        </w:rPr>
        <w:t>Value</w:t>
      </w:r>
      <w:r>
        <w:rPr>
          <w:b/>
          <w:spacing w:val="-5"/>
          <w:sz w:val="22"/>
        </w:rPr>
        <w:t> </w:t>
      </w:r>
      <w:r>
        <w:rPr>
          <w:b/>
          <w:sz w:val="22"/>
        </w:rPr>
        <w:t>(SV)</w:t>
      </w:r>
      <w:r>
        <w:rPr>
          <w:b/>
          <w:spacing w:val="-3"/>
          <w:sz w:val="22"/>
        </w:rPr>
        <w:t> </w:t>
      </w:r>
      <w:r>
        <w:rPr>
          <w:sz w:val="22"/>
        </w:rPr>
        <w:t>–</w:t>
      </w:r>
      <w:r>
        <w:rPr>
          <w:spacing w:val="-2"/>
          <w:sz w:val="22"/>
        </w:rPr>
        <w:t> </w:t>
      </w:r>
      <w:r>
        <w:rPr>
          <w:sz w:val="22"/>
        </w:rPr>
        <w:t>Value</w:t>
      </w:r>
      <w:r>
        <w:rPr>
          <w:spacing w:val="-4"/>
          <w:sz w:val="22"/>
        </w:rPr>
        <w:t> </w:t>
      </w:r>
      <w:r>
        <w:rPr>
          <w:sz w:val="22"/>
        </w:rPr>
        <w:t>of</w:t>
      </w:r>
      <w:r>
        <w:rPr>
          <w:spacing w:val="-1"/>
          <w:sz w:val="22"/>
        </w:rPr>
        <w:t> </w:t>
      </w:r>
      <w:r>
        <w:rPr>
          <w:sz w:val="22"/>
        </w:rPr>
        <w:t>land</w:t>
      </w:r>
      <w:r>
        <w:rPr>
          <w:spacing w:val="-2"/>
          <w:sz w:val="22"/>
        </w:rPr>
        <w:t> only.</w:t>
      </w:r>
    </w:p>
    <w:p>
      <w:pPr>
        <w:pStyle w:val="ListParagraph"/>
        <w:numPr>
          <w:ilvl w:val="0"/>
          <w:numId w:val="4"/>
        </w:numPr>
        <w:tabs>
          <w:tab w:pos="1799" w:val="left" w:leader="none"/>
          <w:tab w:pos="1800" w:val="left" w:leader="none"/>
        </w:tabs>
        <w:spacing w:line="269" w:lineRule="exact" w:before="0" w:after="0"/>
        <w:ind w:left="1800" w:right="0" w:hanging="360"/>
        <w:jc w:val="left"/>
        <w:rPr>
          <w:sz w:val="22"/>
        </w:rPr>
      </w:pPr>
      <w:r>
        <w:rPr>
          <w:b/>
          <w:sz w:val="22"/>
        </w:rPr>
        <w:t>Net</w:t>
      </w:r>
      <w:r>
        <w:rPr>
          <w:b/>
          <w:spacing w:val="-3"/>
          <w:sz w:val="22"/>
        </w:rPr>
        <w:t> </w:t>
      </w:r>
      <w:r>
        <w:rPr>
          <w:b/>
          <w:sz w:val="22"/>
        </w:rPr>
        <w:t>Annual</w:t>
      </w:r>
      <w:r>
        <w:rPr>
          <w:b/>
          <w:spacing w:val="-5"/>
          <w:sz w:val="22"/>
        </w:rPr>
        <w:t> </w:t>
      </w:r>
      <w:r>
        <w:rPr>
          <w:b/>
          <w:sz w:val="22"/>
        </w:rPr>
        <w:t>Value</w:t>
      </w:r>
      <w:r>
        <w:rPr>
          <w:b/>
          <w:spacing w:val="-4"/>
          <w:sz w:val="22"/>
        </w:rPr>
        <w:t> </w:t>
      </w:r>
      <w:r>
        <w:rPr>
          <w:b/>
          <w:sz w:val="22"/>
        </w:rPr>
        <w:t>(NAV) </w:t>
      </w:r>
      <w:r>
        <w:rPr>
          <w:sz w:val="22"/>
        </w:rPr>
        <w:t>–</w:t>
      </w:r>
      <w:r>
        <w:rPr>
          <w:spacing w:val="-3"/>
          <w:sz w:val="22"/>
        </w:rPr>
        <w:t> </w:t>
      </w:r>
      <w:r>
        <w:rPr>
          <w:sz w:val="22"/>
        </w:rPr>
        <w:t>Rental</w:t>
      </w:r>
      <w:r>
        <w:rPr>
          <w:spacing w:val="-3"/>
          <w:sz w:val="22"/>
        </w:rPr>
        <w:t> </w:t>
      </w:r>
      <w:r>
        <w:rPr>
          <w:sz w:val="22"/>
        </w:rPr>
        <w:t>valuation</w:t>
      </w:r>
      <w:r>
        <w:rPr>
          <w:spacing w:val="-4"/>
          <w:sz w:val="22"/>
        </w:rPr>
        <w:t> </w:t>
      </w:r>
      <w:r>
        <w:rPr>
          <w:sz w:val="22"/>
        </w:rPr>
        <w:t>based</w:t>
      </w:r>
      <w:r>
        <w:rPr>
          <w:spacing w:val="-5"/>
          <w:sz w:val="22"/>
        </w:rPr>
        <w:t> </w:t>
      </w:r>
      <w:r>
        <w:rPr>
          <w:sz w:val="22"/>
        </w:rPr>
        <w:t>on </w:t>
      </w:r>
      <w:r>
        <w:rPr>
          <w:spacing w:val="-4"/>
          <w:sz w:val="22"/>
        </w:rPr>
        <w:t>CIV.</w:t>
      </w:r>
    </w:p>
    <w:p>
      <w:pPr>
        <w:pStyle w:val="BodyText"/>
        <w:spacing w:before="7"/>
        <w:rPr>
          <w:sz w:val="21"/>
        </w:rPr>
      </w:pPr>
    </w:p>
    <w:p>
      <w:pPr>
        <w:pStyle w:val="BodyText"/>
        <w:ind w:left="1440" w:right="1433"/>
        <w:jc w:val="both"/>
      </w:pPr>
      <w:r>
        <w:rPr/>
        <w:t>For residential properties, NAV is calculated at 5</w:t>
      </w:r>
      <w:r>
        <w:rPr>
          <w:spacing w:val="-4"/>
        </w:rPr>
        <w:t> </w:t>
      </w:r>
      <w:r>
        <w:rPr/>
        <w:t>per cent of the Capital Improved Value. For commercial</w:t>
      </w:r>
      <w:r>
        <w:rPr>
          <w:spacing w:val="-15"/>
        </w:rPr>
        <w:t> </w:t>
      </w:r>
      <w:r>
        <w:rPr/>
        <w:t>and</w:t>
      </w:r>
      <w:r>
        <w:rPr>
          <w:spacing w:val="-13"/>
        </w:rPr>
        <w:t> </w:t>
      </w:r>
      <w:r>
        <w:rPr/>
        <w:t>industrial</w:t>
      </w:r>
      <w:r>
        <w:rPr>
          <w:spacing w:val="-15"/>
        </w:rPr>
        <w:t> </w:t>
      </w:r>
      <w:r>
        <w:rPr/>
        <w:t>properties,</w:t>
      </w:r>
      <w:r>
        <w:rPr>
          <w:spacing w:val="-12"/>
        </w:rPr>
        <w:t> </w:t>
      </w:r>
      <w:r>
        <w:rPr/>
        <w:t>NAV</w:t>
      </w:r>
      <w:r>
        <w:rPr>
          <w:spacing w:val="-3"/>
        </w:rPr>
        <w:t> </w:t>
      </w:r>
      <w:r>
        <w:rPr/>
        <w:t>is</w:t>
      </w:r>
      <w:r>
        <w:rPr>
          <w:spacing w:val="-13"/>
        </w:rPr>
        <w:t> </w:t>
      </w:r>
      <w:r>
        <w:rPr/>
        <w:t>calculated</w:t>
      </w:r>
      <w:r>
        <w:rPr>
          <w:spacing w:val="-3"/>
        </w:rPr>
        <w:t> </w:t>
      </w:r>
      <w:r>
        <w:rPr/>
        <w:t>as</w:t>
      </w:r>
      <w:r>
        <w:rPr>
          <w:spacing w:val="-15"/>
        </w:rPr>
        <w:t> </w:t>
      </w:r>
      <w:r>
        <w:rPr/>
        <w:t>the</w:t>
      </w:r>
      <w:r>
        <w:rPr>
          <w:spacing w:val="-13"/>
        </w:rPr>
        <w:t> </w:t>
      </w:r>
      <w:r>
        <w:rPr/>
        <w:t>greater</w:t>
      </w:r>
      <w:r>
        <w:rPr>
          <w:spacing w:val="-11"/>
        </w:rPr>
        <w:t> </w:t>
      </w:r>
      <w:r>
        <w:rPr/>
        <w:t>of</w:t>
      </w:r>
      <w:r>
        <w:rPr>
          <w:spacing w:val="-15"/>
        </w:rPr>
        <w:t> </w:t>
      </w:r>
      <w:r>
        <w:rPr/>
        <w:t>the</w:t>
      </w:r>
      <w:r>
        <w:rPr>
          <w:spacing w:val="-14"/>
        </w:rPr>
        <w:t> </w:t>
      </w:r>
      <w:r>
        <w:rPr/>
        <w:t>estimated</w:t>
      </w:r>
      <w:r>
        <w:rPr>
          <w:spacing w:val="-13"/>
        </w:rPr>
        <w:t> </w:t>
      </w:r>
      <w:r>
        <w:rPr/>
        <w:t>annual rental value or 5 per cent of the CIV.</w:t>
      </w:r>
    </w:p>
    <w:p>
      <w:pPr>
        <w:pStyle w:val="BodyText"/>
        <w:spacing w:before="1"/>
      </w:pPr>
    </w:p>
    <w:p>
      <w:pPr>
        <w:pStyle w:val="Heading5"/>
      </w:pPr>
      <w:r>
        <w:rPr/>
        <w:t>Capital</w:t>
      </w:r>
      <w:r>
        <w:rPr>
          <w:spacing w:val="-4"/>
        </w:rPr>
        <w:t> </w:t>
      </w:r>
      <w:r>
        <w:rPr/>
        <w:t>Improved</w:t>
      </w:r>
      <w:r>
        <w:rPr>
          <w:spacing w:val="-6"/>
        </w:rPr>
        <w:t> </w:t>
      </w:r>
      <w:r>
        <w:rPr/>
        <w:t>Value</w:t>
      </w:r>
      <w:r>
        <w:rPr>
          <w:spacing w:val="-5"/>
        </w:rPr>
        <w:t> </w:t>
      </w:r>
      <w:r>
        <w:rPr>
          <w:spacing w:val="-4"/>
        </w:rPr>
        <w:t>(CIV)</w:t>
      </w:r>
    </w:p>
    <w:p>
      <w:pPr>
        <w:pStyle w:val="BodyText"/>
        <w:spacing w:before="1"/>
        <w:rPr>
          <w:b/>
        </w:rPr>
      </w:pPr>
    </w:p>
    <w:p>
      <w:pPr>
        <w:pStyle w:val="BodyText"/>
        <w:ind w:left="1440" w:right="1433"/>
        <w:jc w:val="both"/>
      </w:pPr>
      <w:r>
        <w:rPr/>
        <w:t>Capital Improved Value is</w:t>
      </w:r>
      <w:r>
        <w:rPr>
          <w:spacing w:val="-1"/>
        </w:rPr>
        <w:t> </w:t>
      </w:r>
      <w:r>
        <w:rPr/>
        <w:t>the most commonly</w:t>
      </w:r>
      <w:r>
        <w:rPr>
          <w:spacing w:val="-1"/>
        </w:rPr>
        <w:t> </w:t>
      </w:r>
      <w:r>
        <w:rPr/>
        <w:t>used valuation base by local government with over 90% of Victorian councils applying this methodology. Based on the value of both land and</w:t>
      </w:r>
      <w:r>
        <w:rPr>
          <w:spacing w:val="-8"/>
        </w:rPr>
        <w:t> </w:t>
      </w:r>
      <w:r>
        <w:rPr/>
        <w:t>all</w:t>
      </w:r>
      <w:r>
        <w:rPr>
          <w:spacing w:val="-11"/>
        </w:rPr>
        <w:t> </w:t>
      </w:r>
      <w:r>
        <w:rPr/>
        <w:t>improvements</w:t>
      </w:r>
      <w:r>
        <w:rPr>
          <w:spacing w:val="-11"/>
        </w:rPr>
        <w:t> </w:t>
      </w:r>
      <w:r>
        <w:rPr/>
        <w:t>on</w:t>
      </w:r>
      <w:r>
        <w:rPr>
          <w:spacing w:val="-14"/>
        </w:rPr>
        <w:t> </w:t>
      </w:r>
      <w:r>
        <w:rPr/>
        <w:t>the</w:t>
      </w:r>
      <w:r>
        <w:rPr>
          <w:spacing w:val="-10"/>
        </w:rPr>
        <w:t> </w:t>
      </w:r>
      <w:r>
        <w:rPr/>
        <w:t>land,</w:t>
      </w:r>
      <w:r>
        <w:rPr>
          <w:spacing w:val="-10"/>
        </w:rPr>
        <w:t> </w:t>
      </w:r>
      <w:r>
        <w:rPr/>
        <w:t>it</w:t>
      </w:r>
      <w:r>
        <w:rPr>
          <w:spacing w:val="-5"/>
        </w:rPr>
        <w:t> </w:t>
      </w:r>
      <w:r>
        <w:rPr/>
        <w:t>is</w:t>
      </w:r>
      <w:r>
        <w:rPr>
          <w:spacing w:val="-8"/>
        </w:rPr>
        <w:t> </w:t>
      </w:r>
      <w:r>
        <w:rPr/>
        <w:t>generally</w:t>
      </w:r>
      <w:r>
        <w:rPr>
          <w:spacing w:val="-8"/>
        </w:rPr>
        <w:t> </w:t>
      </w:r>
      <w:r>
        <w:rPr/>
        <w:t>easily</w:t>
      </w:r>
      <w:r>
        <w:rPr>
          <w:spacing w:val="-11"/>
        </w:rPr>
        <w:t> </w:t>
      </w:r>
      <w:r>
        <w:rPr/>
        <w:t>understood</w:t>
      </w:r>
      <w:r>
        <w:rPr>
          <w:spacing w:val="-2"/>
        </w:rPr>
        <w:t> </w:t>
      </w:r>
      <w:r>
        <w:rPr/>
        <w:t>by</w:t>
      </w:r>
      <w:r>
        <w:rPr>
          <w:spacing w:val="-11"/>
        </w:rPr>
        <w:t> </w:t>
      </w:r>
      <w:r>
        <w:rPr/>
        <w:t>ratepayers</w:t>
      </w:r>
      <w:r>
        <w:rPr>
          <w:spacing w:val="-11"/>
        </w:rPr>
        <w:t> </w:t>
      </w:r>
      <w:r>
        <w:rPr/>
        <w:t>as</w:t>
      </w:r>
      <w:r>
        <w:rPr>
          <w:spacing w:val="-11"/>
        </w:rPr>
        <w:t> </w:t>
      </w:r>
      <w:r>
        <w:rPr/>
        <w:t>it</w:t>
      </w:r>
      <w:r>
        <w:rPr>
          <w:spacing w:val="-10"/>
        </w:rPr>
        <w:t> </w:t>
      </w:r>
      <w:r>
        <w:rPr/>
        <w:t>equates to the market value of the property.</w:t>
      </w:r>
    </w:p>
    <w:p>
      <w:pPr>
        <w:pStyle w:val="BodyText"/>
      </w:pPr>
    </w:p>
    <w:p>
      <w:pPr>
        <w:pStyle w:val="BodyText"/>
        <w:ind w:left="1440" w:right="1342"/>
      </w:pPr>
      <w:r>
        <w:rPr/>
        <w:t>Section</w:t>
      </w:r>
      <w:r>
        <w:rPr>
          <w:spacing w:val="-9"/>
        </w:rPr>
        <w:t> </w:t>
      </w:r>
      <w:r>
        <w:rPr/>
        <w:t>161</w:t>
      </w:r>
      <w:r>
        <w:rPr>
          <w:spacing w:val="-7"/>
        </w:rPr>
        <w:t> </w:t>
      </w:r>
      <w:r>
        <w:rPr/>
        <w:t>of</w:t>
      </w:r>
      <w:r>
        <w:rPr>
          <w:spacing w:val="-7"/>
        </w:rPr>
        <w:t> </w:t>
      </w:r>
      <w:r>
        <w:rPr/>
        <w:t>the</w:t>
      </w:r>
      <w:r>
        <w:rPr>
          <w:spacing w:val="-3"/>
        </w:rPr>
        <w:t> </w:t>
      </w:r>
      <w:r>
        <w:rPr>
          <w:i/>
        </w:rPr>
        <w:t>Local</w:t>
      </w:r>
      <w:r>
        <w:rPr>
          <w:i/>
          <w:spacing w:val="-9"/>
        </w:rPr>
        <w:t> </w:t>
      </w:r>
      <w:r>
        <w:rPr>
          <w:i/>
        </w:rPr>
        <w:t>Government</w:t>
      </w:r>
      <w:r>
        <w:rPr>
          <w:i/>
          <w:spacing w:val="-7"/>
        </w:rPr>
        <w:t> </w:t>
      </w:r>
      <w:r>
        <w:rPr>
          <w:i/>
        </w:rPr>
        <w:t>Act</w:t>
      </w:r>
      <w:r>
        <w:rPr>
          <w:i/>
          <w:spacing w:val="-7"/>
        </w:rPr>
        <w:t> </w:t>
      </w:r>
      <w:r>
        <w:rPr>
          <w:i/>
        </w:rPr>
        <w:t>1989</w:t>
      </w:r>
      <w:r>
        <w:rPr>
          <w:i/>
          <w:spacing w:val="-4"/>
        </w:rPr>
        <w:t> </w:t>
      </w:r>
      <w:r>
        <w:rPr/>
        <w:t>provides</w:t>
      </w:r>
      <w:r>
        <w:rPr>
          <w:spacing w:val="-7"/>
        </w:rPr>
        <w:t> </w:t>
      </w:r>
      <w:r>
        <w:rPr/>
        <w:t>that</w:t>
      </w:r>
      <w:r>
        <w:rPr>
          <w:spacing w:val="-7"/>
        </w:rPr>
        <w:t> </w:t>
      </w:r>
      <w:r>
        <w:rPr/>
        <w:t>a</w:t>
      </w:r>
      <w:r>
        <w:rPr>
          <w:spacing w:val="-9"/>
        </w:rPr>
        <w:t> </w:t>
      </w:r>
      <w:r>
        <w:rPr/>
        <w:t>Council</w:t>
      </w:r>
      <w:r>
        <w:rPr>
          <w:spacing w:val="-7"/>
        </w:rPr>
        <w:t> </w:t>
      </w:r>
      <w:r>
        <w:rPr/>
        <w:t>may</w:t>
      </w:r>
      <w:r>
        <w:rPr>
          <w:spacing w:val="-7"/>
        </w:rPr>
        <w:t> </w:t>
      </w:r>
      <w:r>
        <w:rPr/>
        <w:t>raise</w:t>
      </w:r>
      <w:r>
        <w:rPr>
          <w:spacing w:val="-7"/>
        </w:rPr>
        <w:t> </w:t>
      </w:r>
      <w:r>
        <w:rPr/>
        <w:t>any</w:t>
      </w:r>
      <w:r>
        <w:rPr>
          <w:spacing w:val="-7"/>
        </w:rPr>
        <w:t> </w:t>
      </w:r>
      <w:r>
        <w:rPr/>
        <w:t>general rates by the application of a differential rate if –</w:t>
      </w:r>
    </w:p>
    <w:p>
      <w:pPr>
        <w:pStyle w:val="ListParagraph"/>
        <w:numPr>
          <w:ilvl w:val="2"/>
          <w:numId w:val="3"/>
        </w:numPr>
        <w:tabs>
          <w:tab w:pos="2417" w:val="left" w:leader="none"/>
        </w:tabs>
        <w:spacing w:line="251" w:lineRule="exact" w:before="0" w:after="0"/>
        <w:ind w:left="2416" w:right="0" w:hanging="257"/>
        <w:jc w:val="left"/>
        <w:rPr>
          <w:sz w:val="22"/>
        </w:rPr>
      </w:pPr>
      <w:r>
        <w:rPr>
          <w:sz w:val="22"/>
        </w:rPr>
        <w:t>It</w:t>
      </w:r>
      <w:r>
        <w:rPr>
          <w:spacing w:val="-5"/>
          <w:sz w:val="22"/>
        </w:rPr>
        <w:t> </w:t>
      </w:r>
      <w:r>
        <w:rPr>
          <w:sz w:val="22"/>
        </w:rPr>
        <w:t>uses</w:t>
      </w:r>
      <w:r>
        <w:rPr>
          <w:spacing w:val="-3"/>
          <w:sz w:val="22"/>
        </w:rPr>
        <w:t> </w:t>
      </w:r>
      <w:r>
        <w:rPr>
          <w:sz w:val="22"/>
        </w:rPr>
        <w:t>the</w:t>
      </w:r>
      <w:r>
        <w:rPr>
          <w:spacing w:val="-4"/>
          <w:sz w:val="22"/>
        </w:rPr>
        <w:t> </w:t>
      </w:r>
      <w:r>
        <w:rPr>
          <w:sz w:val="22"/>
        </w:rPr>
        <w:t>capital</w:t>
      </w:r>
      <w:r>
        <w:rPr>
          <w:spacing w:val="-3"/>
          <w:sz w:val="22"/>
        </w:rPr>
        <w:t> </w:t>
      </w:r>
      <w:r>
        <w:rPr>
          <w:sz w:val="22"/>
        </w:rPr>
        <w:t>improved</w:t>
      </w:r>
      <w:r>
        <w:rPr>
          <w:spacing w:val="-1"/>
          <w:sz w:val="22"/>
        </w:rPr>
        <w:t> </w:t>
      </w:r>
      <w:r>
        <w:rPr>
          <w:sz w:val="22"/>
        </w:rPr>
        <w:t>value</w:t>
      </w:r>
      <w:r>
        <w:rPr>
          <w:spacing w:val="-4"/>
          <w:sz w:val="22"/>
        </w:rPr>
        <w:t> </w:t>
      </w:r>
      <w:r>
        <w:rPr>
          <w:sz w:val="22"/>
        </w:rPr>
        <w:t>system</w:t>
      </w:r>
      <w:r>
        <w:rPr>
          <w:spacing w:val="-3"/>
          <w:sz w:val="22"/>
        </w:rPr>
        <w:t> </w:t>
      </w:r>
      <w:r>
        <w:rPr>
          <w:sz w:val="22"/>
        </w:rPr>
        <w:t>of</w:t>
      </w:r>
      <w:r>
        <w:rPr>
          <w:spacing w:val="-5"/>
          <w:sz w:val="22"/>
        </w:rPr>
        <w:t> </w:t>
      </w:r>
      <w:r>
        <w:rPr>
          <w:sz w:val="22"/>
        </w:rPr>
        <w:t>valuing</w:t>
      </w:r>
      <w:r>
        <w:rPr>
          <w:spacing w:val="-2"/>
          <w:sz w:val="22"/>
        </w:rPr>
        <w:t> </w:t>
      </w:r>
      <w:r>
        <w:rPr>
          <w:sz w:val="22"/>
        </w:rPr>
        <w:t>land; </w:t>
      </w:r>
      <w:r>
        <w:rPr>
          <w:spacing w:val="-5"/>
          <w:sz w:val="22"/>
        </w:rPr>
        <w:t>and</w:t>
      </w:r>
    </w:p>
    <w:p>
      <w:pPr>
        <w:pStyle w:val="ListParagraph"/>
        <w:numPr>
          <w:ilvl w:val="2"/>
          <w:numId w:val="3"/>
        </w:numPr>
        <w:tabs>
          <w:tab w:pos="2463" w:val="left" w:leader="none"/>
        </w:tabs>
        <w:spacing w:line="240" w:lineRule="auto" w:before="1" w:after="0"/>
        <w:ind w:left="2160" w:right="1436" w:firstLine="0"/>
        <w:jc w:val="left"/>
        <w:rPr>
          <w:sz w:val="22"/>
        </w:rPr>
      </w:pPr>
      <w:r>
        <w:rPr/>
        <w:drawing>
          <wp:anchor distT="0" distB="0" distL="0" distR="0" allowOverlap="1" layoutInCell="1" locked="0" behindDoc="0" simplePos="0" relativeHeight="15734784">
            <wp:simplePos x="0" y="0"/>
            <wp:positionH relativeFrom="page">
              <wp:posOffset>0</wp:posOffset>
            </wp:positionH>
            <wp:positionV relativeFrom="paragraph">
              <wp:posOffset>791564</wp:posOffset>
            </wp:positionV>
            <wp:extent cx="7560564" cy="101981"/>
            <wp:effectExtent l="0" t="0" r="0" b="0"/>
            <wp:wrapNone/>
            <wp:docPr id="23" name="image2.png"/>
            <wp:cNvGraphicFramePr>
              <a:graphicFrameLocks noChangeAspect="1"/>
            </wp:cNvGraphicFramePr>
            <a:graphic>
              <a:graphicData uri="http://schemas.openxmlformats.org/drawingml/2006/picture">
                <pic:pic>
                  <pic:nvPicPr>
                    <pic:cNvPr id="24" name="image2.png"/>
                    <pic:cNvPicPr/>
                  </pic:nvPicPr>
                  <pic:blipFill>
                    <a:blip r:embed="rId7" cstate="print"/>
                    <a:stretch>
                      <a:fillRect/>
                    </a:stretch>
                  </pic:blipFill>
                  <pic:spPr>
                    <a:xfrm>
                      <a:off x="0" y="0"/>
                      <a:ext cx="7560564" cy="101981"/>
                    </a:xfrm>
                    <a:prstGeom prst="rect">
                      <a:avLst/>
                    </a:prstGeom>
                  </pic:spPr>
                </pic:pic>
              </a:graphicData>
            </a:graphic>
          </wp:anchor>
        </w:drawing>
      </w:r>
      <w:r>
        <w:rPr>
          <w:sz w:val="22"/>
        </w:rPr>
        <w:t>It</w:t>
      </w:r>
      <w:r>
        <w:rPr>
          <w:spacing w:val="40"/>
          <w:sz w:val="22"/>
        </w:rPr>
        <w:t> </w:t>
      </w:r>
      <w:r>
        <w:rPr>
          <w:sz w:val="22"/>
        </w:rPr>
        <w:t>considers</w:t>
      </w:r>
      <w:r>
        <w:rPr>
          <w:spacing w:val="40"/>
          <w:sz w:val="22"/>
        </w:rPr>
        <w:t> </w:t>
      </w:r>
      <w:r>
        <w:rPr>
          <w:sz w:val="22"/>
        </w:rPr>
        <w:t>that</w:t>
      </w:r>
      <w:r>
        <w:rPr>
          <w:spacing w:val="40"/>
          <w:sz w:val="22"/>
        </w:rPr>
        <w:t> </w:t>
      </w:r>
      <w:r>
        <w:rPr>
          <w:sz w:val="22"/>
        </w:rPr>
        <w:t>a</w:t>
      </w:r>
      <w:r>
        <w:rPr>
          <w:spacing w:val="40"/>
          <w:sz w:val="22"/>
        </w:rPr>
        <w:t> </w:t>
      </w:r>
      <w:r>
        <w:rPr>
          <w:sz w:val="22"/>
        </w:rPr>
        <w:t>differential</w:t>
      </w:r>
      <w:r>
        <w:rPr>
          <w:spacing w:val="40"/>
          <w:sz w:val="22"/>
        </w:rPr>
        <w:t> </w:t>
      </w:r>
      <w:r>
        <w:rPr>
          <w:sz w:val="22"/>
        </w:rPr>
        <w:t>rate</w:t>
      </w:r>
      <w:r>
        <w:rPr>
          <w:spacing w:val="40"/>
          <w:sz w:val="22"/>
        </w:rPr>
        <w:t> </w:t>
      </w:r>
      <w:r>
        <w:rPr>
          <w:sz w:val="22"/>
        </w:rPr>
        <w:t>will</w:t>
      </w:r>
      <w:r>
        <w:rPr>
          <w:spacing w:val="40"/>
          <w:sz w:val="22"/>
        </w:rPr>
        <w:t> </w:t>
      </w:r>
      <w:r>
        <w:rPr>
          <w:sz w:val="22"/>
        </w:rPr>
        <w:t>contribute</w:t>
      </w:r>
      <w:r>
        <w:rPr>
          <w:spacing w:val="40"/>
          <w:sz w:val="22"/>
        </w:rPr>
        <w:t> </w:t>
      </w:r>
      <w:r>
        <w:rPr>
          <w:sz w:val="22"/>
        </w:rPr>
        <w:t>to</w:t>
      </w:r>
      <w:r>
        <w:rPr>
          <w:spacing w:val="40"/>
          <w:sz w:val="22"/>
        </w:rPr>
        <w:t> </w:t>
      </w:r>
      <w:r>
        <w:rPr>
          <w:sz w:val="22"/>
        </w:rPr>
        <w:t>the</w:t>
      </w:r>
      <w:r>
        <w:rPr>
          <w:spacing w:val="40"/>
          <w:sz w:val="22"/>
        </w:rPr>
        <w:t> </w:t>
      </w:r>
      <w:r>
        <w:rPr>
          <w:sz w:val="22"/>
        </w:rPr>
        <w:t>equitable</w:t>
      </w:r>
      <w:r>
        <w:rPr>
          <w:spacing w:val="40"/>
          <w:sz w:val="22"/>
        </w:rPr>
        <w:t> </w:t>
      </w:r>
      <w:r>
        <w:rPr>
          <w:sz w:val="22"/>
        </w:rPr>
        <w:t>and</w:t>
      </w:r>
      <w:r>
        <w:rPr>
          <w:spacing w:val="40"/>
          <w:sz w:val="22"/>
        </w:rPr>
        <w:t> </w:t>
      </w:r>
      <w:r>
        <w:rPr>
          <w:sz w:val="22"/>
        </w:rPr>
        <w:t>efficient carrying out of its functions.</w:t>
      </w:r>
    </w:p>
    <w:p>
      <w:pPr>
        <w:spacing w:after="0" w:line="240" w:lineRule="auto"/>
        <w:jc w:val="left"/>
        <w:rPr>
          <w:sz w:val="22"/>
        </w:rPr>
        <w:sectPr>
          <w:footerReference w:type="default" r:id="rId14"/>
          <w:pgSz w:w="11910" w:h="16840"/>
          <w:pgMar w:footer="662" w:header="0" w:top="580" w:bottom="860" w:left="0" w:right="0"/>
        </w:sectPr>
      </w:pPr>
    </w:p>
    <w:p>
      <w:pPr>
        <w:pStyle w:val="BodyText"/>
        <w:spacing w:before="81"/>
        <w:ind w:left="1440" w:right="1435"/>
        <w:jc w:val="both"/>
      </w:pPr>
      <w:r>
        <w:rPr/>
        <w:t>Where</w:t>
      </w:r>
      <w:r>
        <w:rPr>
          <w:spacing w:val="23"/>
        </w:rPr>
        <w:t> </w:t>
      </w:r>
      <w:r>
        <w:rPr/>
        <w:t>a</w:t>
      </w:r>
      <w:r>
        <w:rPr>
          <w:spacing w:val="23"/>
        </w:rPr>
        <w:t> </w:t>
      </w:r>
      <w:r>
        <w:rPr/>
        <w:t>council</w:t>
      </w:r>
      <w:r>
        <w:rPr>
          <w:spacing w:val="25"/>
        </w:rPr>
        <w:t> </w:t>
      </w:r>
      <w:r>
        <w:rPr/>
        <w:t>does</w:t>
      </w:r>
      <w:r>
        <w:rPr>
          <w:spacing w:val="25"/>
        </w:rPr>
        <w:t> </w:t>
      </w:r>
      <w:r>
        <w:rPr/>
        <w:t>not</w:t>
      </w:r>
      <w:r>
        <w:rPr>
          <w:spacing w:val="27"/>
        </w:rPr>
        <w:t> </w:t>
      </w:r>
      <w:r>
        <w:rPr/>
        <w:t>utilise</w:t>
      </w:r>
      <w:r>
        <w:rPr>
          <w:spacing w:val="25"/>
        </w:rPr>
        <w:t> </w:t>
      </w:r>
      <w:r>
        <w:rPr/>
        <w:t>CIV,</w:t>
      </w:r>
      <w:r>
        <w:rPr>
          <w:spacing w:val="23"/>
        </w:rPr>
        <w:t> </w:t>
      </w:r>
      <w:r>
        <w:rPr/>
        <w:t>it</w:t>
      </w:r>
      <w:r>
        <w:rPr>
          <w:spacing w:val="23"/>
        </w:rPr>
        <w:t> </w:t>
      </w:r>
      <w:r>
        <w:rPr/>
        <w:t>may</w:t>
      </w:r>
      <w:r>
        <w:rPr>
          <w:spacing w:val="23"/>
        </w:rPr>
        <w:t> </w:t>
      </w:r>
      <w:r>
        <w:rPr/>
        <w:t>only</w:t>
      </w:r>
      <w:r>
        <w:rPr>
          <w:spacing w:val="25"/>
        </w:rPr>
        <w:t> </w:t>
      </w:r>
      <w:r>
        <w:rPr/>
        <w:t>apply</w:t>
      </w:r>
      <w:r>
        <w:rPr>
          <w:spacing w:val="25"/>
        </w:rPr>
        <w:t> </w:t>
      </w:r>
      <w:r>
        <w:rPr/>
        <w:t>limited</w:t>
      </w:r>
      <w:r>
        <w:rPr>
          <w:spacing w:val="23"/>
        </w:rPr>
        <w:t> </w:t>
      </w:r>
      <w:r>
        <w:rPr/>
        <w:t>differential</w:t>
      </w:r>
      <w:r>
        <w:rPr>
          <w:spacing w:val="25"/>
        </w:rPr>
        <w:t> </w:t>
      </w:r>
      <w:r>
        <w:rPr/>
        <w:t>rates</w:t>
      </w:r>
      <w:r>
        <w:rPr>
          <w:spacing w:val="23"/>
        </w:rPr>
        <w:t> </w:t>
      </w:r>
      <w:r>
        <w:rPr/>
        <w:t>in</w:t>
      </w:r>
      <w:r>
        <w:rPr>
          <w:spacing w:val="21"/>
        </w:rPr>
        <w:t> </w:t>
      </w:r>
      <w:r>
        <w:rPr/>
        <w:t>relation to</w:t>
      </w:r>
      <w:r>
        <w:rPr>
          <w:spacing w:val="40"/>
        </w:rPr>
        <w:t> </w:t>
      </w:r>
      <w:r>
        <w:rPr/>
        <w:t>residential use land.</w:t>
      </w:r>
    </w:p>
    <w:p>
      <w:pPr>
        <w:pStyle w:val="BodyText"/>
      </w:pPr>
    </w:p>
    <w:p>
      <w:pPr>
        <w:spacing w:before="0"/>
        <w:ind w:left="1440" w:right="0" w:firstLine="0"/>
        <w:jc w:val="both"/>
        <w:rPr>
          <w:b/>
          <w:i/>
          <w:sz w:val="22"/>
        </w:rPr>
      </w:pPr>
      <w:r>
        <w:rPr>
          <w:b/>
          <w:sz w:val="22"/>
        </w:rPr>
        <w:t>Advantages</w:t>
      </w:r>
      <w:r>
        <w:rPr>
          <w:b/>
          <w:spacing w:val="-5"/>
          <w:sz w:val="22"/>
        </w:rPr>
        <w:t> </w:t>
      </w:r>
      <w:r>
        <w:rPr>
          <w:b/>
          <w:sz w:val="22"/>
        </w:rPr>
        <w:t>of</w:t>
      </w:r>
      <w:r>
        <w:rPr>
          <w:b/>
          <w:spacing w:val="-4"/>
          <w:sz w:val="22"/>
        </w:rPr>
        <w:t> </w:t>
      </w:r>
      <w:r>
        <w:rPr>
          <w:b/>
          <w:sz w:val="22"/>
        </w:rPr>
        <w:t>using</w:t>
      </w:r>
      <w:r>
        <w:rPr>
          <w:b/>
          <w:spacing w:val="-5"/>
          <w:sz w:val="22"/>
        </w:rPr>
        <w:t> </w:t>
      </w:r>
      <w:r>
        <w:rPr>
          <w:b/>
          <w:sz w:val="22"/>
        </w:rPr>
        <w:t>Capital</w:t>
      </w:r>
      <w:r>
        <w:rPr>
          <w:b/>
          <w:spacing w:val="-3"/>
          <w:sz w:val="22"/>
        </w:rPr>
        <w:t> </w:t>
      </w:r>
      <w:r>
        <w:rPr>
          <w:b/>
          <w:sz w:val="22"/>
        </w:rPr>
        <w:t>Improved</w:t>
      </w:r>
      <w:r>
        <w:rPr>
          <w:b/>
          <w:spacing w:val="-3"/>
          <w:sz w:val="22"/>
        </w:rPr>
        <w:t> </w:t>
      </w:r>
      <w:r>
        <w:rPr>
          <w:b/>
          <w:sz w:val="22"/>
        </w:rPr>
        <w:t>Value</w:t>
      </w:r>
      <w:r>
        <w:rPr>
          <w:b/>
          <w:spacing w:val="-6"/>
          <w:sz w:val="22"/>
        </w:rPr>
        <w:t> </w:t>
      </w:r>
      <w:r>
        <w:rPr>
          <w:b/>
          <w:sz w:val="22"/>
        </w:rPr>
        <w:t>(CIV)</w:t>
      </w:r>
      <w:r>
        <w:rPr>
          <w:b/>
          <w:spacing w:val="-5"/>
          <w:sz w:val="22"/>
        </w:rPr>
        <w:t> </w:t>
      </w:r>
      <w:r>
        <w:rPr>
          <w:b/>
          <w:i/>
          <w:sz w:val="22"/>
        </w:rPr>
        <w:t>-</w:t>
      </w:r>
      <w:r>
        <w:rPr>
          <w:b/>
          <w:i/>
          <w:spacing w:val="-2"/>
          <w:sz w:val="22"/>
        </w:rPr>
        <w:t> </w:t>
      </w:r>
      <w:r>
        <w:rPr>
          <w:b/>
          <w:i/>
          <w:sz w:val="22"/>
        </w:rPr>
        <w:t>Council’s</w:t>
      </w:r>
      <w:r>
        <w:rPr>
          <w:b/>
          <w:i/>
          <w:spacing w:val="-4"/>
          <w:sz w:val="22"/>
        </w:rPr>
        <w:t> </w:t>
      </w:r>
      <w:r>
        <w:rPr>
          <w:b/>
          <w:i/>
          <w:sz w:val="22"/>
        </w:rPr>
        <w:t>Adopted</w:t>
      </w:r>
      <w:r>
        <w:rPr>
          <w:b/>
          <w:i/>
          <w:spacing w:val="-3"/>
          <w:sz w:val="22"/>
        </w:rPr>
        <w:t> </w:t>
      </w:r>
      <w:r>
        <w:rPr>
          <w:b/>
          <w:i/>
          <w:spacing w:val="-2"/>
          <w:sz w:val="22"/>
        </w:rPr>
        <w:t>Method</w:t>
      </w:r>
    </w:p>
    <w:p>
      <w:pPr>
        <w:pStyle w:val="BodyText"/>
        <w:spacing w:before="4"/>
        <w:rPr>
          <w:b/>
          <w:i/>
        </w:rPr>
      </w:pPr>
    </w:p>
    <w:p>
      <w:pPr>
        <w:pStyle w:val="ListParagraph"/>
        <w:numPr>
          <w:ilvl w:val="0"/>
          <w:numId w:val="4"/>
        </w:numPr>
        <w:tabs>
          <w:tab w:pos="1800" w:val="left" w:leader="none"/>
        </w:tabs>
        <w:spacing w:line="237" w:lineRule="auto" w:before="0" w:after="0"/>
        <w:ind w:left="1800" w:right="1433" w:hanging="360"/>
        <w:jc w:val="both"/>
        <w:rPr>
          <w:sz w:val="22"/>
        </w:rPr>
      </w:pPr>
      <w:r>
        <w:rPr>
          <w:sz w:val="22"/>
        </w:rPr>
        <w:t>CIV includes all property improvements, and hence</w:t>
      </w:r>
      <w:r>
        <w:rPr>
          <w:spacing w:val="-2"/>
          <w:sz w:val="22"/>
        </w:rPr>
        <w:t> </w:t>
      </w:r>
      <w:r>
        <w:rPr>
          <w:sz w:val="22"/>
        </w:rPr>
        <w:t>is often</w:t>
      </w:r>
      <w:r>
        <w:rPr>
          <w:spacing w:val="-2"/>
          <w:sz w:val="22"/>
        </w:rPr>
        <w:t> </w:t>
      </w:r>
      <w:r>
        <w:rPr>
          <w:sz w:val="22"/>
        </w:rPr>
        <w:t>supported on</w:t>
      </w:r>
      <w:r>
        <w:rPr>
          <w:spacing w:val="-3"/>
          <w:sz w:val="22"/>
        </w:rPr>
        <w:t> </w:t>
      </w:r>
      <w:r>
        <w:rPr>
          <w:sz w:val="22"/>
        </w:rPr>
        <w:t>the basis</w:t>
      </w:r>
      <w:r>
        <w:rPr>
          <w:spacing w:val="-2"/>
          <w:sz w:val="22"/>
        </w:rPr>
        <w:t> </w:t>
      </w:r>
      <w:r>
        <w:rPr>
          <w:sz w:val="22"/>
        </w:rPr>
        <w:t>that it more closely reflects “capacity to pay”. The CIV rating method considers the full development</w:t>
      </w:r>
      <w:r>
        <w:rPr>
          <w:spacing w:val="40"/>
          <w:sz w:val="22"/>
        </w:rPr>
        <w:t> </w:t>
      </w:r>
      <w:r>
        <w:rPr>
          <w:sz w:val="22"/>
        </w:rPr>
        <w:t>value</w:t>
      </w:r>
      <w:r>
        <w:rPr>
          <w:spacing w:val="40"/>
          <w:sz w:val="22"/>
        </w:rPr>
        <w:t> </w:t>
      </w:r>
      <w:r>
        <w:rPr>
          <w:sz w:val="22"/>
        </w:rPr>
        <w:t>of</w:t>
      </w:r>
      <w:r>
        <w:rPr>
          <w:spacing w:val="40"/>
          <w:sz w:val="22"/>
        </w:rPr>
        <w:t> </w:t>
      </w:r>
      <w:r>
        <w:rPr>
          <w:sz w:val="22"/>
        </w:rPr>
        <w:t>the</w:t>
      </w:r>
      <w:r>
        <w:rPr>
          <w:spacing w:val="40"/>
          <w:sz w:val="22"/>
        </w:rPr>
        <w:t> </w:t>
      </w:r>
      <w:r>
        <w:rPr>
          <w:sz w:val="22"/>
        </w:rPr>
        <w:t>property,</w:t>
      </w:r>
      <w:r>
        <w:rPr>
          <w:spacing w:val="40"/>
          <w:sz w:val="22"/>
        </w:rPr>
        <w:t> </w:t>
      </w:r>
      <w:r>
        <w:rPr>
          <w:sz w:val="22"/>
        </w:rPr>
        <w:t>and</w:t>
      </w:r>
      <w:r>
        <w:rPr>
          <w:spacing w:val="40"/>
          <w:sz w:val="22"/>
        </w:rPr>
        <w:t> </w:t>
      </w:r>
      <w:r>
        <w:rPr>
          <w:sz w:val="22"/>
        </w:rPr>
        <w:t>hence</w:t>
      </w:r>
      <w:r>
        <w:rPr>
          <w:spacing w:val="40"/>
          <w:sz w:val="22"/>
        </w:rPr>
        <w:t> </w:t>
      </w:r>
      <w:r>
        <w:rPr>
          <w:sz w:val="22"/>
        </w:rPr>
        <w:t>better</w:t>
      </w:r>
      <w:r>
        <w:rPr>
          <w:spacing w:val="40"/>
          <w:sz w:val="22"/>
        </w:rPr>
        <w:t> </w:t>
      </w:r>
      <w:r>
        <w:rPr>
          <w:sz w:val="22"/>
        </w:rPr>
        <w:t>meets</w:t>
      </w:r>
      <w:r>
        <w:rPr>
          <w:spacing w:val="40"/>
          <w:sz w:val="22"/>
        </w:rPr>
        <w:t> </w:t>
      </w:r>
      <w:r>
        <w:rPr>
          <w:sz w:val="22"/>
        </w:rPr>
        <w:t>the</w:t>
      </w:r>
      <w:r>
        <w:rPr>
          <w:spacing w:val="40"/>
          <w:sz w:val="22"/>
        </w:rPr>
        <w:t> </w:t>
      </w:r>
      <w:r>
        <w:rPr>
          <w:sz w:val="22"/>
        </w:rPr>
        <w:t>equity</w:t>
      </w:r>
      <w:r>
        <w:rPr>
          <w:spacing w:val="40"/>
          <w:sz w:val="22"/>
        </w:rPr>
        <w:t> </w:t>
      </w:r>
      <w:r>
        <w:rPr>
          <w:sz w:val="22"/>
        </w:rPr>
        <w:t>criteria</w:t>
      </w:r>
      <w:r>
        <w:rPr>
          <w:spacing w:val="40"/>
          <w:sz w:val="22"/>
        </w:rPr>
        <w:t> </w:t>
      </w:r>
      <w:r>
        <w:rPr>
          <w:sz w:val="22"/>
        </w:rPr>
        <w:t>than Site Value and NAV.</w:t>
      </w:r>
    </w:p>
    <w:p>
      <w:pPr>
        <w:pStyle w:val="ListParagraph"/>
        <w:numPr>
          <w:ilvl w:val="0"/>
          <w:numId w:val="4"/>
        </w:numPr>
        <w:tabs>
          <w:tab w:pos="1800" w:val="left" w:leader="none"/>
        </w:tabs>
        <w:spacing w:line="240" w:lineRule="auto" w:before="5" w:after="0"/>
        <w:ind w:left="1800" w:right="1436" w:hanging="360"/>
        <w:jc w:val="both"/>
        <w:rPr>
          <w:sz w:val="22"/>
        </w:rPr>
      </w:pPr>
      <w:r>
        <w:rPr>
          <w:sz w:val="22"/>
        </w:rPr>
        <w:t>With the increased frequency of valuations (previously</w:t>
      </w:r>
      <w:r>
        <w:rPr>
          <w:spacing w:val="-2"/>
          <w:sz w:val="22"/>
        </w:rPr>
        <w:t> </w:t>
      </w:r>
      <w:r>
        <w:rPr>
          <w:sz w:val="22"/>
        </w:rPr>
        <w:t>two year</w:t>
      </w:r>
      <w:r>
        <w:rPr>
          <w:spacing w:val="-2"/>
          <w:sz w:val="22"/>
        </w:rPr>
        <w:t> </w:t>
      </w:r>
      <w:r>
        <w:rPr>
          <w:sz w:val="22"/>
        </w:rPr>
        <w:t>intervals, now annual intervals)</w:t>
      </w:r>
      <w:r>
        <w:rPr>
          <w:spacing w:val="-5"/>
          <w:sz w:val="22"/>
        </w:rPr>
        <w:t> </w:t>
      </w:r>
      <w:r>
        <w:rPr>
          <w:sz w:val="22"/>
        </w:rPr>
        <w:t>the</w:t>
      </w:r>
      <w:r>
        <w:rPr>
          <w:spacing w:val="-3"/>
          <w:sz w:val="22"/>
        </w:rPr>
        <w:t> </w:t>
      </w:r>
      <w:r>
        <w:rPr>
          <w:sz w:val="22"/>
        </w:rPr>
        <w:t>market values are</w:t>
      </w:r>
      <w:r>
        <w:rPr>
          <w:spacing w:val="-2"/>
          <w:sz w:val="22"/>
        </w:rPr>
        <w:t> </w:t>
      </w:r>
      <w:r>
        <w:rPr>
          <w:sz w:val="22"/>
        </w:rPr>
        <w:t>more</w:t>
      </w:r>
      <w:r>
        <w:rPr>
          <w:spacing w:val="-2"/>
          <w:sz w:val="22"/>
        </w:rPr>
        <w:t> </w:t>
      </w:r>
      <w:r>
        <w:rPr>
          <w:sz w:val="22"/>
        </w:rPr>
        <w:t>predictable</w:t>
      </w:r>
      <w:r>
        <w:rPr>
          <w:spacing w:val="-2"/>
          <w:sz w:val="22"/>
        </w:rPr>
        <w:t> </w:t>
      </w:r>
      <w:r>
        <w:rPr>
          <w:sz w:val="22"/>
        </w:rPr>
        <w:t>and</w:t>
      </w:r>
      <w:r>
        <w:rPr>
          <w:spacing w:val="-2"/>
          <w:sz w:val="22"/>
        </w:rPr>
        <w:t> </w:t>
      </w:r>
      <w:r>
        <w:rPr>
          <w:sz w:val="22"/>
        </w:rPr>
        <w:t>has</w:t>
      </w:r>
      <w:r>
        <w:rPr>
          <w:spacing w:val="-1"/>
          <w:sz w:val="22"/>
        </w:rPr>
        <w:t> </w:t>
      </w:r>
      <w:r>
        <w:rPr>
          <w:sz w:val="22"/>
        </w:rPr>
        <w:t>reduced</w:t>
      </w:r>
      <w:r>
        <w:rPr>
          <w:spacing w:val="-2"/>
          <w:sz w:val="22"/>
        </w:rPr>
        <w:t> </w:t>
      </w:r>
      <w:r>
        <w:rPr>
          <w:sz w:val="22"/>
        </w:rPr>
        <w:t>the</w:t>
      </w:r>
      <w:r>
        <w:rPr>
          <w:spacing w:val="-2"/>
          <w:sz w:val="22"/>
        </w:rPr>
        <w:t> </w:t>
      </w:r>
      <w:r>
        <w:rPr>
          <w:sz w:val="22"/>
        </w:rPr>
        <w:t>level</w:t>
      </w:r>
      <w:r>
        <w:rPr>
          <w:spacing w:val="-1"/>
          <w:sz w:val="22"/>
        </w:rPr>
        <w:t> </w:t>
      </w:r>
      <w:r>
        <w:rPr>
          <w:sz w:val="22"/>
        </w:rPr>
        <w:t>of objections resulting from valuations.</w:t>
      </w:r>
    </w:p>
    <w:p>
      <w:pPr>
        <w:pStyle w:val="ListParagraph"/>
        <w:numPr>
          <w:ilvl w:val="0"/>
          <w:numId w:val="4"/>
        </w:numPr>
        <w:tabs>
          <w:tab w:pos="1800" w:val="left" w:leader="none"/>
        </w:tabs>
        <w:spacing w:line="237" w:lineRule="auto" w:before="2" w:after="0"/>
        <w:ind w:left="1800" w:right="1435" w:hanging="360"/>
        <w:jc w:val="both"/>
        <w:rPr>
          <w:sz w:val="22"/>
        </w:rPr>
      </w:pPr>
      <w:r>
        <w:rPr>
          <w:sz w:val="22"/>
        </w:rPr>
        <w:t>The</w:t>
      </w:r>
      <w:r>
        <w:rPr>
          <w:spacing w:val="-16"/>
          <w:sz w:val="22"/>
        </w:rPr>
        <w:t> </w:t>
      </w:r>
      <w:r>
        <w:rPr>
          <w:sz w:val="22"/>
        </w:rPr>
        <w:t>concept</w:t>
      </w:r>
      <w:r>
        <w:rPr>
          <w:spacing w:val="-15"/>
          <w:sz w:val="22"/>
        </w:rPr>
        <w:t> </w:t>
      </w:r>
      <w:r>
        <w:rPr>
          <w:sz w:val="22"/>
        </w:rPr>
        <w:t>of</w:t>
      </w:r>
      <w:r>
        <w:rPr>
          <w:spacing w:val="-15"/>
          <w:sz w:val="22"/>
        </w:rPr>
        <w:t> </w:t>
      </w:r>
      <w:r>
        <w:rPr>
          <w:sz w:val="22"/>
        </w:rPr>
        <w:t>the</w:t>
      </w:r>
      <w:r>
        <w:rPr>
          <w:spacing w:val="-16"/>
          <w:sz w:val="22"/>
        </w:rPr>
        <w:t> </w:t>
      </w:r>
      <w:r>
        <w:rPr>
          <w:sz w:val="22"/>
        </w:rPr>
        <w:t>market</w:t>
      </w:r>
      <w:r>
        <w:rPr>
          <w:spacing w:val="-11"/>
          <w:sz w:val="22"/>
        </w:rPr>
        <w:t> </w:t>
      </w:r>
      <w:r>
        <w:rPr>
          <w:sz w:val="22"/>
        </w:rPr>
        <w:t>value</w:t>
      </w:r>
      <w:r>
        <w:rPr>
          <w:spacing w:val="-16"/>
          <w:sz w:val="22"/>
        </w:rPr>
        <w:t> </w:t>
      </w:r>
      <w:r>
        <w:rPr>
          <w:sz w:val="22"/>
        </w:rPr>
        <w:t>of</w:t>
      </w:r>
      <w:r>
        <w:rPr>
          <w:spacing w:val="-14"/>
          <w:sz w:val="22"/>
        </w:rPr>
        <w:t> </w:t>
      </w:r>
      <w:r>
        <w:rPr>
          <w:sz w:val="22"/>
        </w:rPr>
        <w:t>property</w:t>
      </w:r>
      <w:r>
        <w:rPr>
          <w:spacing w:val="-2"/>
          <w:sz w:val="22"/>
        </w:rPr>
        <w:t> </w:t>
      </w:r>
      <w:r>
        <w:rPr>
          <w:sz w:val="22"/>
        </w:rPr>
        <w:t>is</w:t>
      </w:r>
      <w:r>
        <w:rPr>
          <w:spacing w:val="-16"/>
          <w:sz w:val="22"/>
        </w:rPr>
        <w:t> </w:t>
      </w:r>
      <w:r>
        <w:rPr>
          <w:sz w:val="22"/>
        </w:rPr>
        <w:t>more</w:t>
      </w:r>
      <w:r>
        <w:rPr>
          <w:spacing w:val="-13"/>
          <w:sz w:val="22"/>
        </w:rPr>
        <w:t> </w:t>
      </w:r>
      <w:r>
        <w:rPr>
          <w:sz w:val="22"/>
        </w:rPr>
        <w:t>easily</w:t>
      </w:r>
      <w:r>
        <w:rPr>
          <w:spacing w:val="-15"/>
          <w:sz w:val="22"/>
        </w:rPr>
        <w:t> </w:t>
      </w:r>
      <w:r>
        <w:rPr>
          <w:sz w:val="22"/>
        </w:rPr>
        <w:t>understood</w:t>
      </w:r>
      <w:r>
        <w:rPr>
          <w:spacing w:val="-3"/>
          <w:sz w:val="22"/>
        </w:rPr>
        <w:t> </w:t>
      </w:r>
      <w:r>
        <w:rPr>
          <w:sz w:val="22"/>
        </w:rPr>
        <w:t>with</w:t>
      </w:r>
      <w:r>
        <w:rPr>
          <w:spacing w:val="-16"/>
          <w:sz w:val="22"/>
        </w:rPr>
        <w:t> </w:t>
      </w:r>
      <w:r>
        <w:rPr>
          <w:sz w:val="22"/>
        </w:rPr>
        <w:t>CIV</w:t>
      </w:r>
      <w:r>
        <w:rPr>
          <w:spacing w:val="-13"/>
          <w:sz w:val="22"/>
        </w:rPr>
        <w:t> </w:t>
      </w:r>
      <w:r>
        <w:rPr>
          <w:sz w:val="22"/>
        </w:rPr>
        <w:t>rather</w:t>
      </w:r>
      <w:r>
        <w:rPr>
          <w:spacing w:val="-16"/>
          <w:sz w:val="22"/>
        </w:rPr>
        <w:t> </w:t>
      </w:r>
      <w:r>
        <w:rPr>
          <w:sz w:val="22"/>
        </w:rPr>
        <w:t>than NAV or SV.</w:t>
      </w:r>
    </w:p>
    <w:p>
      <w:pPr>
        <w:pStyle w:val="ListParagraph"/>
        <w:numPr>
          <w:ilvl w:val="0"/>
          <w:numId w:val="4"/>
        </w:numPr>
        <w:tabs>
          <w:tab w:pos="1800" w:val="left" w:leader="none"/>
        </w:tabs>
        <w:spacing w:line="237" w:lineRule="auto" w:before="3" w:after="0"/>
        <w:ind w:left="1800" w:right="1434" w:hanging="360"/>
        <w:jc w:val="both"/>
        <w:rPr>
          <w:sz w:val="22"/>
        </w:rPr>
      </w:pPr>
      <w:r>
        <w:rPr>
          <w:sz w:val="22"/>
        </w:rPr>
        <w:t>Most</w:t>
      </w:r>
      <w:r>
        <w:rPr>
          <w:spacing w:val="-9"/>
          <w:sz w:val="22"/>
        </w:rPr>
        <w:t> </w:t>
      </w:r>
      <w:r>
        <w:rPr>
          <w:sz w:val="22"/>
        </w:rPr>
        <w:t>councils</w:t>
      </w:r>
      <w:r>
        <w:rPr>
          <w:spacing w:val="-7"/>
          <w:sz w:val="22"/>
        </w:rPr>
        <w:t> </w:t>
      </w:r>
      <w:r>
        <w:rPr>
          <w:sz w:val="22"/>
        </w:rPr>
        <w:t>in</w:t>
      </w:r>
      <w:r>
        <w:rPr>
          <w:spacing w:val="-9"/>
          <w:sz w:val="22"/>
        </w:rPr>
        <w:t> </w:t>
      </w:r>
      <w:r>
        <w:rPr>
          <w:sz w:val="22"/>
        </w:rPr>
        <w:t>Victoria</w:t>
      </w:r>
      <w:r>
        <w:rPr>
          <w:spacing w:val="-11"/>
          <w:sz w:val="22"/>
        </w:rPr>
        <w:t> </w:t>
      </w:r>
      <w:r>
        <w:rPr>
          <w:sz w:val="22"/>
        </w:rPr>
        <w:t>have</w:t>
      </w:r>
      <w:r>
        <w:rPr>
          <w:spacing w:val="-9"/>
          <w:sz w:val="22"/>
        </w:rPr>
        <w:t> </w:t>
      </w:r>
      <w:r>
        <w:rPr>
          <w:sz w:val="22"/>
        </w:rPr>
        <w:t>now</w:t>
      </w:r>
      <w:r>
        <w:rPr>
          <w:spacing w:val="-7"/>
          <w:sz w:val="22"/>
        </w:rPr>
        <w:t> </w:t>
      </w:r>
      <w:r>
        <w:rPr>
          <w:sz w:val="22"/>
        </w:rPr>
        <w:t>adopted</w:t>
      </w:r>
      <w:r>
        <w:rPr>
          <w:spacing w:val="-4"/>
          <w:sz w:val="22"/>
        </w:rPr>
        <w:t> </w:t>
      </w:r>
      <w:r>
        <w:rPr>
          <w:sz w:val="22"/>
        </w:rPr>
        <w:t>CIV</w:t>
      </w:r>
      <w:r>
        <w:rPr>
          <w:spacing w:val="-7"/>
          <w:sz w:val="22"/>
        </w:rPr>
        <w:t> </w:t>
      </w:r>
      <w:r>
        <w:rPr>
          <w:sz w:val="22"/>
        </w:rPr>
        <w:t>which</w:t>
      </w:r>
      <w:r>
        <w:rPr>
          <w:spacing w:val="-4"/>
          <w:sz w:val="22"/>
        </w:rPr>
        <w:t> </w:t>
      </w:r>
      <w:r>
        <w:rPr>
          <w:sz w:val="22"/>
        </w:rPr>
        <w:t>makes</w:t>
      </w:r>
      <w:r>
        <w:rPr>
          <w:spacing w:val="-10"/>
          <w:sz w:val="22"/>
        </w:rPr>
        <w:t> </w:t>
      </w:r>
      <w:r>
        <w:rPr>
          <w:sz w:val="22"/>
        </w:rPr>
        <w:t>it</w:t>
      </w:r>
      <w:r>
        <w:rPr>
          <w:spacing w:val="-7"/>
          <w:sz w:val="22"/>
        </w:rPr>
        <w:t> </w:t>
      </w:r>
      <w:r>
        <w:rPr>
          <w:sz w:val="22"/>
        </w:rPr>
        <w:t>easier</w:t>
      </w:r>
      <w:r>
        <w:rPr>
          <w:spacing w:val="-8"/>
          <w:sz w:val="22"/>
        </w:rPr>
        <w:t> </w:t>
      </w:r>
      <w:r>
        <w:rPr>
          <w:sz w:val="22"/>
        </w:rPr>
        <w:t>to</w:t>
      </w:r>
      <w:r>
        <w:rPr>
          <w:spacing w:val="-7"/>
          <w:sz w:val="22"/>
        </w:rPr>
        <w:t> </w:t>
      </w:r>
      <w:r>
        <w:rPr>
          <w:sz w:val="22"/>
        </w:rPr>
        <w:t>compare</w:t>
      </w:r>
      <w:r>
        <w:rPr>
          <w:spacing w:val="-11"/>
          <w:sz w:val="22"/>
        </w:rPr>
        <w:t> </w:t>
      </w:r>
      <w:r>
        <w:rPr>
          <w:sz w:val="22"/>
        </w:rPr>
        <w:t>relative movements in rates and valuations across councils.</w:t>
      </w:r>
    </w:p>
    <w:p>
      <w:pPr>
        <w:pStyle w:val="ListParagraph"/>
        <w:numPr>
          <w:ilvl w:val="0"/>
          <w:numId w:val="4"/>
        </w:numPr>
        <w:tabs>
          <w:tab w:pos="1800" w:val="left" w:leader="none"/>
        </w:tabs>
        <w:spacing w:line="240" w:lineRule="auto" w:before="2" w:after="0"/>
        <w:ind w:left="1800" w:right="1433" w:hanging="360"/>
        <w:jc w:val="both"/>
        <w:rPr>
          <w:sz w:val="22"/>
        </w:rPr>
      </w:pPr>
      <w:r>
        <w:rPr>
          <w:sz w:val="22"/>
        </w:rPr>
        <w:t>The use of CIV allows council to apply differential</w:t>
      </w:r>
      <w:r>
        <w:rPr>
          <w:spacing w:val="-2"/>
          <w:sz w:val="22"/>
        </w:rPr>
        <w:t> </w:t>
      </w:r>
      <w:r>
        <w:rPr>
          <w:sz w:val="22"/>
        </w:rPr>
        <w:t>rates which</w:t>
      </w:r>
      <w:r>
        <w:rPr>
          <w:spacing w:val="-4"/>
          <w:sz w:val="22"/>
        </w:rPr>
        <w:t> </w:t>
      </w:r>
      <w:r>
        <w:rPr>
          <w:sz w:val="22"/>
        </w:rPr>
        <w:t>greatly adds to council’s ability to</w:t>
      </w:r>
      <w:r>
        <w:rPr>
          <w:spacing w:val="-4"/>
          <w:sz w:val="22"/>
        </w:rPr>
        <w:t> </w:t>
      </w:r>
      <w:r>
        <w:rPr>
          <w:sz w:val="22"/>
        </w:rPr>
        <w:t>equitably</w:t>
      </w:r>
      <w:r>
        <w:rPr>
          <w:spacing w:val="-2"/>
          <w:sz w:val="22"/>
        </w:rPr>
        <w:t> </w:t>
      </w:r>
      <w:r>
        <w:rPr>
          <w:sz w:val="22"/>
        </w:rPr>
        <w:t>distribute</w:t>
      </w:r>
      <w:r>
        <w:rPr>
          <w:spacing w:val="-5"/>
          <w:sz w:val="22"/>
        </w:rPr>
        <w:t> </w:t>
      </w:r>
      <w:r>
        <w:rPr>
          <w:sz w:val="22"/>
        </w:rPr>
        <w:t>the</w:t>
      </w:r>
      <w:r>
        <w:rPr>
          <w:spacing w:val="-4"/>
          <w:sz w:val="22"/>
        </w:rPr>
        <w:t> </w:t>
      </w:r>
      <w:r>
        <w:rPr>
          <w:sz w:val="22"/>
        </w:rPr>
        <w:t>rating</w:t>
      </w:r>
      <w:r>
        <w:rPr>
          <w:spacing w:val="-4"/>
          <w:sz w:val="22"/>
        </w:rPr>
        <w:t> </w:t>
      </w:r>
      <w:r>
        <w:rPr>
          <w:sz w:val="22"/>
        </w:rPr>
        <w:t>burden</w:t>
      </w:r>
      <w:r>
        <w:rPr>
          <w:spacing w:val="-4"/>
          <w:sz w:val="22"/>
        </w:rPr>
        <w:t> </w:t>
      </w:r>
      <w:r>
        <w:rPr>
          <w:sz w:val="22"/>
        </w:rPr>
        <w:t>based</w:t>
      </w:r>
      <w:r>
        <w:rPr>
          <w:spacing w:val="-2"/>
          <w:sz w:val="22"/>
        </w:rPr>
        <w:t> </w:t>
      </w:r>
      <w:r>
        <w:rPr>
          <w:sz w:val="22"/>
        </w:rPr>
        <w:t>on</w:t>
      </w:r>
      <w:r>
        <w:rPr>
          <w:spacing w:val="-2"/>
          <w:sz w:val="22"/>
        </w:rPr>
        <w:t> </w:t>
      </w:r>
      <w:r>
        <w:rPr>
          <w:sz w:val="22"/>
        </w:rPr>
        <w:t>ability</w:t>
      </w:r>
      <w:r>
        <w:rPr>
          <w:spacing w:val="-2"/>
          <w:sz w:val="22"/>
        </w:rPr>
        <w:t> </w:t>
      </w:r>
      <w:r>
        <w:rPr>
          <w:sz w:val="22"/>
        </w:rPr>
        <w:t>to</w:t>
      </w:r>
      <w:r>
        <w:rPr>
          <w:spacing w:val="-4"/>
          <w:sz w:val="22"/>
        </w:rPr>
        <w:t> </w:t>
      </w:r>
      <w:r>
        <w:rPr>
          <w:sz w:val="22"/>
        </w:rPr>
        <w:t>afford</w:t>
      </w:r>
      <w:r>
        <w:rPr>
          <w:spacing w:val="-6"/>
          <w:sz w:val="22"/>
        </w:rPr>
        <w:t> </w:t>
      </w:r>
      <w:r>
        <w:rPr>
          <w:sz w:val="22"/>
        </w:rPr>
        <w:t>council</w:t>
      </w:r>
      <w:r>
        <w:rPr>
          <w:spacing w:val="-2"/>
          <w:sz w:val="22"/>
        </w:rPr>
        <w:t> </w:t>
      </w:r>
      <w:r>
        <w:rPr>
          <w:sz w:val="22"/>
        </w:rPr>
        <w:t>rates.</w:t>
      </w:r>
      <w:r>
        <w:rPr>
          <w:spacing w:val="-1"/>
          <w:sz w:val="22"/>
        </w:rPr>
        <w:t> </w:t>
      </w:r>
      <w:r>
        <w:rPr>
          <w:sz w:val="22"/>
        </w:rPr>
        <w:t>CIV allows council to apply higher rating differentials to the commercial and industrial sector that offset residential rates.</w:t>
      </w:r>
    </w:p>
    <w:p>
      <w:pPr>
        <w:pStyle w:val="BodyText"/>
        <w:spacing w:before="7"/>
        <w:rPr>
          <w:sz w:val="21"/>
        </w:rPr>
      </w:pPr>
    </w:p>
    <w:p>
      <w:pPr>
        <w:pStyle w:val="Heading5"/>
      </w:pPr>
      <w:r>
        <w:rPr/>
        <w:t>Disadvantages</w:t>
      </w:r>
      <w:r>
        <w:rPr>
          <w:spacing w:val="-4"/>
        </w:rPr>
        <w:t> </w:t>
      </w:r>
      <w:r>
        <w:rPr/>
        <w:t>of</w:t>
      </w:r>
      <w:r>
        <w:rPr>
          <w:spacing w:val="-5"/>
        </w:rPr>
        <w:t> </w:t>
      </w:r>
      <w:r>
        <w:rPr/>
        <w:t>using</w:t>
      </w:r>
      <w:r>
        <w:rPr>
          <w:spacing w:val="-5"/>
        </w:rPr>
        <w:t> CIV</w:t>
      </w:r>
    </w:p>
    <w:p>
      <w:pPr>
        <w:pStyle w:val="BodyText"/>
        <w:spacing w:before="4"/>
        <w:rPr>
          <w:b/>
        </w:rPr>
      </w:pPr>
    </w:p>
    <w:p>
      <w:pPr>
        <w:pStyle w:val="ListParagraph"/>
        <w:numPr>
          <w:ilvl w:val="0"/>
          <w:numId w:val="4"/>
        </w:numPr>
        <w:tabs>
          <w:tab w:pos="1800" w:val="left" w:leader="none"/>
        </w:tabs>
        <w:spacing w:line="237" w:lineRule="auto" w:before="1" w:after="0"/>
        <w:ind w:left="1800" w:right="1434" w:hanging="360"/>
        <w:jc w:val="both"/>
        <w:rPr>
          <w:sz w:val="22"/>
        </w:rPr>
      </w:pPr>
      <w:r>
        <w:rPr>
          <w:sz w:val="22"/>
        </w:rPr>
        <w:t>The</w:t>
      </w:r>
      <w:r>
        <w:rPr>
          <w:spacing w:val="-11"/>
          <w:sz w:val="22"/>
        </w:rPr>
        <w:t> </w:t>
      </w:r>
      <w:r>
        <w:rPr>
          <w:sz w:val="22"/>
        </w:rPr>
        <w:t>main</w:t>
      </w:r>
      <w:r>
        <w:rPr>
          <w:spacing w:val="-11"/>
          <w:sz w:val="22"/>
        </w:rPr>
        <w:t> </w:t>
      </w:r>
      <w:r>
        <w:rPr>
          <w:sz w:val="22"/>
        </w:rPr>
        <w:t>disadvantage</w:t>
      </w:r>
      <w:r>
        <w:rPr>
          <w:spacing w:val="-12"/>
          <w:sz w:val="22"/>
        </w:rPr>
        <w:t> </w:t>
      </w:r>
      <w:r>
        <w:rPr>
          <w:sz w:val="22"/>
        </w:rPr>
        <w:t>with</w:t>
      </w:r>
      <w:r>
        <w:rPr>
          <w:spacing w:val="-11"/>
          <w:sz w:val="22"/>
        </w:rPr>
        <w:t> </w:t>
      </w:r>
      <w:r>
        <w:rPr>
          <w:sz w:val="22"/>
        </w:rPr>
        <w:t>CIV</w:t>
      </w:r>
      <w:r>
        <w:rPr>
          <w:spacing w:val="-11"/>
          <w:sz w:val="22"/>
        </w:rPr>
        <w:t> </w:t>
      </w:r>
      <w:r>
        <w:rPr>
          <w:sz w:val="22"/>
        </w:rPr>
        <w:t>is</w:t>
      </w:r>
      <w:r>
        <w:rPr>
          <w:spacing w:val="-10"/>
          <w:sz w:val="22"/>
        </w:rPr>
        <w:t> </w:t>
      </w:r>
      <w:r>
        <w:rPr>
          <w:sz w:val="22"/>
        </w:rPr>
        <w:t>the</w:t>
      </w:r>
      <w:r>
        <w:rPr>
          <w:spacing w:val="-11"/>
          <w:sz w:val="22"/>
        </w:rPr>
        <w:t> </w:t>
      </w:r>
      <w:r>
        <w:rPr>
          <w:sz w:val="22"/>
        </w:rPr>
        <w:t>fact</w:t>
      </w:r>
      <w:r>
        <w:rPr>
          <w:spacing w:val="-12"/>
          <w:sz w:val="22"/>
        </w:rPr>
        <w:t> </w:t>
      </w:r>
      <w:r>
        <w:rPr>
          <w:sz w:val="22"/>
        </w:rPr>
        <w:t>that</w:t>
      </w:r>
      <w:r>
        <w:rPr>
          <w:spacing w:val="-10"/>
          <w:sz w:val="22"/>
        </w:rPr>
        <w:t> </w:t>
      </w:r>
      <w:r>
        <w:rPr>
          <w:sz w:val="22"/>
        </w:rPr>
        <w:t>rates</w:t>
      </w:r>
      <w:r>
        <w:rPr>
          <w:spacing w:val="-1"/>
          <w:sz w:val="22"/>
        </w:rPr>
        <w:t> </w:t>
      </w:r>
      <w:r>
        <w:rPr>
          <w:sz w:val="22"/>
        </w:rPr>
        <w:t>are</w:t>
      </w:r>
      <w:r>
        <w:rPr>
          <w:spacing w:val="-11"/>
          <w:sz w:val="22"/>
        </w:rPr>
        <w:t> </w:t>
      </w:r>
      <w:r>
        <w:rPr>
          <w:sz w:val="22"/>
        </w:rPr>
        <w:t>based</w:t>
      </w:r>
      <w:r>
        <w:rPr>
          <w:spacing w:val="-13"/>
          <w:sz w:val="22"/>
        </w:rPr>
        <w:t> </w:t>
      </w:r>
      <w:r>
        <w:rPr>
          <w:sz w:val="22"/>
        </w:rPr>
        <w:t>on</w:t>
      </w:r>
      <w:r>
        <w:rPr>
          <w:spacing w:val="-10"/>
          <w:sz w:val="22"/>
        </w:rPr>
        <w:t> </w:t>
      </w:r>
      <w:r>
        <w:rPr>
          <w:sz w:val="22"/>
        </w:rPr>
        <w:t>the</w:t>
      </w:r>
      <w:r>
        <w:rPr>
          <w:spacing w:val="-13"/>
          <w:sz w:val="22"/>
        </w:rPr>
        <w:t> </w:t>
      </w:r>
      <w:r>
        <w:rPr>
          <w:sz w:val="22"/>
        </w:rPr>
        <w:t>total</w:t>
      </w:r>
      <w:r>
        <w:rPr>
          <w:spacing w:val="-10"/>
          <w:sz w:val="22"/>
        </w:rPr>
        <w:t> </w:t>
      </w:r>
      <w:r>
        <w:rPr>
          <w:sz w:val="22"/>
        </w:rPr>
        <w:t>property</w:t>
      </w:r>
      <w:r>
        <w:rPr>
          <w:spacing w:val="-3"/>
          <w:sz w:val="22"/>
        </w:rPr>
        <w:t> </w:t>
      </w:r>
      <w:r>
        <w:rPr>
          <w:sz w:val="22"/>
        </w:rPr>
        <w:t>value which may not</w:t>
      </w:r>
      <w:r>
        <w:rPr>
          <w:spacing w:val="-1"/>
          <w:sz w:val="22"/>
        </w:rPr>
        <w:t> </w:t>
      </w:r>
      <w:r>
        <w:rPr>
          <w:sz w:val="22"/>
        </w:rPr>
        <w:t>necessarily reflect the income level of the property</w:t>
      </w:r>
      <w:r>
        <w:rPr>
          <w:spacing w:val="-4"/>
          <w:sz w:val="22"/>
        </w:rPr>
        <w:t> </w:t>
      </w:r>
      <w:r>
        <w:rPr>
          <w:sz w:val="22"/>
        </w:rPr>
        <w:t>owner as with pensioners and low-income earners.</w:t>
      </w:r>
    </w:p>
    <w:p>
      <w:pPr>
        <w:pStyle w:val="BodyText"/>
        <w:spacing w:before="2"/>
      </w:pPr>
    </w:p>
    <w:p>
      <w:pPr>
        <w:pStyle w:val="Heading5"/>
      </w:pPr>
      <w:r>
        <w:rPr/>
        <w:t>Site</w:t>
      </w:r>
      <w:r>
        <w:rPr>
          <w:spacing w:val="-2"/>
        </w:rPr>
        <w:t> </w:t>
      </w:r>
      <w:r>
        <w:rPr/>
        <w:t>value</w:t>
      </w:r>
      <w:r>
        <w:rPr>
          <w:spacing w:val="-5"/>
        </w:rPr>
        <w:t> </w:t>
      </w:r>
      <w:r>
        <w:rPr>
          <w:spacing w:val="-4"/>
        </w:rPr>
        <w:t>(SV)</w:t>
      </w:r>
    </w:p>
    <w:p>
      <w:pPr>
        <w:pStyle w:val="BodyText"/>
        <w:rPr>
          <w:b/>
        </w:rPr>
      </w:pPr>
    </w:p>
    <w:p>
      <w:pPr>
        <w:pStyle w:val="BodyText"/>
        <w:ind w:left="1440" w:right="1434"/>
        <w:jc w:val="both"/>
      </w:pPr>
      <w:r>
        <w:rPr/>
        <w:t>There are currently no Victorian councils that use this</w:t>
      </w:r>
      <w:r>
        <w:rPr>
          <w:spacing w:val="-2"/>
        </w:rPr>
        <w:t> </w:t>
      </w:r>
      <w:r>
        <w:rPr/>
        <w:t>valuation base.</w:t>
      </w:r>
      <w:r>
        <w:rPr>
          <w:spacing w:val="-4"/>
        </w:rPr>
        <w:t> </w:t>
      </w:r>
      <w:r>
        <w:rPr/>
        <w:t>With valuations based simply on the</w:t>
      </w:r>
      <w:r>
        <w:rPr>
          <w:spacing w:val="-3"/>
        </w:rPr>
        <w:t> </w:t>
      </w:r>
      <w:r>
        <w:rPr/>
        <w:t>valuation of land and with</w:t>
      </w:r>
      <w:r>
        <w:rPr>
          <w:spacing w:val="-4"/>
        </w:rPr>
        <w:t> </w:t>
      </w:r>
      <w:r>
        <w:rPr/>
        <w:t>only very</w:t>
      </w:r>
      <w:r>
        <w:rPr>
          <w:spacing w:val="-2"/>
        </w:rPr>
        <w:t> </w:t>
      </w:r>
      <w:r>
        <w:rPr/>
        <w:t>limited ability to</w:t>
      </w:r>
      <w:r>
        <w:rPr>
          <w:spacing w:val="-2"/>
        </w:rPr>
        <w:t> </w:t>
      </w:r>
      <w:r>
        <w:rPr/>
        <w:t>apply differential rates, the implementation of Site Value</w:t>
      </w:r>
      <w:r>
        <w:rPr>
          <w:spacing w:val="-2"/>
        </w:rPr>
        <w:t> </w:t>
      </w:r>
      <w:r>
        <w:rPr/>
        <w:t>in a</w:t>
      </w:r>
      <w:r>
        <w:rPr>
          <w:spacing w:val="-2"/>
        </w:rPr>
        <w:t> </w:t>
      </w:r>
      <w:r>
        <w:rPr/>
        <w:t>Victorian City</w:t>
      </w:r>
      <w:r>
        <w:rPr>
          <w:spacing w:val="-4"/>
        </w:rPr>
        <w:t> </w:t>
      </w:r>
      <w:r>
        <w:rPr/>
        <w:t>Council context would cause a shift in rate burden from the industrial/commercial sectors</w:t>
      </w:r>
      <w:r>
        <w:rPr>
          <w:spacing w:val="-2"/>
        </w:rPr>
        <w:t> </w:t>
      </w:r>
      <w:r>
        <w:rPr/>
        <w:t>onto the residential sector and would hinder council’s objective of a fair and equitable rating system.</w:t>
      </w:r>
    </w:p>
    <w:p>
      <w:pPr>
        <w:pStyle w:val="BodyText"/>
        <w:spacing w:before="11"/>
        <w:rPr>
          <w:sz w:val="21"/>
        </w:rPr>
      </w:pPr>
    </w:p>
    <w:p>
      <w:pPr>
        <w:pStyle w:val="BodyText"/>
        <w:ind w:left="1440" w:right="1433"/>
        <w:jc w:val="both"/>
      </w:pPr>
      <w:r>
        <w:rPr/>
        <w:t>There would be further rating movements away from</w:t>
      </w:r>
      <w:r>
        <w:rPr>
          <w:spacing w:val="-2"/>
        </w:rPr>
        <w:t> </w:t>
      </w:r>
      <w:r>
        <w:rPr/>
        <w:t>modern townhouse style developments on relatively</w:t>
      </w:r>
      <w:r>
        <w:rPr>
          <w:spacing w:val="-4"/>
        </w:rPr>
        <w:t> </w:t>
      </w:r>
      <w:r>
        <w:rPr/>
        <w:t>small</w:t>
      </w:r>
      <w:r>
        <w:rPr>
          <w:spacing w:val="-7"/>
        </w:rPr>
        <w:t> </w:t>
      </w:r>
      <w:r>
        <w:rPr/>
        <w:t>land</w:t>
      </w:r>
      <w:r>
        <w:rPr>
          <w:spacing w:val="-4"/>
        </w:rPr>
        <w:t> </w:t>
      </w:r>
      <w:r>
        <w:rPr/>
        <w:t>parcels</w:t>
      </w:r>
      <w:r>
        <w:rPr>
          <w:spacing w:val="-4"/>
        </w:rPr>
        <w:t> </w:t>
      </w:r>
      <w:r>
        <w:rPr/>
        <w:t>to</w:t>
      </w:r>
      <w:r>
        <w:rPr>
          <w:spacing w:val="-5"/>
        </w:rPr>
        <w:t> </w:t>
      </w:r>
      <w:r>
        <w:rPr/>
        <w:t>older</w:t>
      </w:r>
      <w:r>
        <w:rPr>
          <w:spacing w:val="-4"/>
        </w:rPr>
        <w:t> </w:t>
      </w:r>
      <w:r>
        <w:rPr/>
        <w:t>established</w:t>
      </w:r>
      <w:r>
        <w:rPr>
          <w:spacing w:val="-4"/>
        </w:rPr>
        <w:t> </w:t>
      </w:r>
      <w:r>
        <w:rPr/>
        <w:t>homes</w:t>
      </w:r>
      <w:r>
        <w:rPr>
          <w:spacing w:val="-6"/>
        </w:rPr>
        <w:t> </w:t>
      </w:r>
      <w:r>
        <w:rPr/>
        <w:t>on</w:t>
      </w:r>
      <w:r>
        <w:rPr>
          <w:spacing w:val="-2"/>
        </w:rPr>
        <w:t> </w:t>
      </w:r>
      <w:r>
        <w:rPr/>
        <w:t>quarter</w:t>
      </w:r>
      <w:r>
        <w:rPr>
          <w:spacing w:val="-2"/>
        </w:rPr>
        <w:t> </w:t>
      </w:r>
      <w:r>
        <w:rPr/>
        <w:t>acre</w:t>
      </w:r>
      <w:r>
        <w:rPr>
          <w:spacing w:val="-10"/>
        </w:rPr>
        <w:t> </w:t>
      </w:r>
      <w:r>
        <w:rPr/>
        <w:t>residential</w:t>
      </w:r>
      <w:r>
        <w:rPr>
          <w:spacing w:val="-4"/>
        </w:rPr>
        <w:t> </w:t>
      </w:r>
      <w:r>
        <w:rPr/>
        <w:t>blocks. In many ways,</w:t>
      </w:r>
      <w:r>
        <w:rPr>
          <w:spacing w:val="-4"/>
        </w:rPr>
        <w:t> </w:t>
      </w:r>
      <w:r>
        <w:rPr/>
        <w:t>it is difficult to see an equity argument</w:t>
      </w:r>
      <w:r>
        <w:rPr>
          <w:spacing w:val="-2"/>
        </w:rPr>
        <w:t> </w:t>
      </w:r>
      <w:r>
        <w:rPr/>
        <w:t>being served</w:t>
      </w:r>
      <w:r>
        <w:rPr>
          <w:spacing w:val="-4"/>
        </w:rPr>
        <w:t> </w:t>
      </w:r>
      <w:r>
        <w:rPr/>
        <w:t>by</w:t>
      </w:r>
      <w:r>
        <w:rPr>
          <w:spacing w:val="-4"/>
        </w:rPr>
        <w:t> </w:t>
      </w:r>
      <w:r>
        <w:rPr/>
        <w:t>the implementation of site valuation in the Victorian City Council.</w:t>
      </w:r>
    </w:p>
    <w:p>
      <w:pPr>
        <w:pStyle w:val="BodyText"/>
        <w:spacing w:before="11"/>
        <w:rPr>
          <w:sz w:val="21"/>
        </w:rPr>
      </w:pPr>
    </w:p>
    <w:p>
      <w:pPr>
        <w:pStyle w:val="Heading5"/>
      </w:pPr>
      <w:r>
        <w:rPr/>
        <w:t>Advantages</w:t>
      </w:r>
      <w:r>
        <w:rPr>
          <w:spacing w:val="-4"/>
        </w:rPr>
        <w:t> </w:t>
      </w:r>
      <w:r>
        <w:rPr/>
        <w:t>of</w:t>
      </w:r>
      <w:r>
        <w:rPr>
          <w:spacing w:val="-3"/>
        </w:rPr>
        <w:t> </w:t>
      </w:r>
      <w:r>
        <w:rPr/>
        <w:t>Site</w:t>
      </w:r>
      <w:r>
        <w:rPr>
          <w:spacing w:val="-4"/>
        </w:rPr>
        <w:t> </w:t>
      </w:r>
      <w:r>
        <w:rPr>
          <w:spacing w:val="-2"/>
        </w:rPr>
        <w:t>Value</w:t>
      </w:r>
    </w:p>
    <w:p>
      <w:pPr>
        <w:pStyle w:val="BodyText"/>
        <w:spacing w:before="5"/>
        <w:rPr>
          <w:b/>
        </w:rPr>
      </w:pPr>
    </w:p>
    <w:p>
      <w:pPr>
        <w:pStyle w:val="ListParagraph"/>
        <w:numPr>
          <w:ilvl w:val="0"/>
          <w:numId w:val="4"/>
        </w:numPr>
        <w:tabs>
          <w:tab w:pos="1800" w:val="left" w:leader="none"/>
        </w:tabs>
        <w:spacing w:line="237" w:lineRule="auto" w:before="0" w:after="0"/>
        <w:ind w:left="1800" w:right="1434" w:hanging="360"/>
        <w:jc w:val="both"/>
        <w:rPr>
          <w:sz w:val="22"/>
        </w:rPr>
      </w:pPr>
      <w:r>
        <w:rPr>
          <w:sz w:val="22"/>
        </w:rPr>
        <w:t>There</w:t>
      </w:r>
      <w:r>
        <w:rPr>
          <w:spacing w:val="-2"/>
          <w:sz w:val="22"/>
        </w:rPr>
        <w:t> </w:t>
      </w:r>
      <w:r>
        <w:rPr>
          <w:sz w:val="22"/>
        </w:rPr>
        <w:t>is</w:t>
      </w:r>
      <w:r>
        <w:rPr>
          <w:spacing w:val="-2"/>
          <w:sz w:val="22"/>
        </w:rPr>
        <w:t> </w:t>
      </w:r>
      <w:r>
        <w:rPr>
          <w:sz w:val="22"/>
        </w:rPr>
        <w:t>a</w:t>
      </w:r>
      <w:r>
        <w:rPr>
          <w:spacing w:val="-2"/>
          <w:sz w:val="22"/>
        </w:rPr>
        <w:t> </w:t>
      </w:r>
      <w:r>
        <w:rPr>
          <w:sz w:val="22"/>
        </w:rPr>
        <w:t>perception</w:t>
      </w:r>
      <w:r>
        <w:rPr>
          <w:spacing w:val="-4"/>
          <w:sz w:val="22"/>
        </w:rPr>
        <w:t> </w:t>
      </w:r>
      <w:r>
        <w:rPr>
          <w:sz w:val="22"/>
        </w:rPr>
        <w:t>that under</w:t>
      </w:r>
      <w:r>
        <w:rPr>
          <w:spacing w:val="-4"/>
          <w:sz w:val="22"/>
        </w:rPr>
        <w:t> </w:t>
      </w:r>
      <w:r>
        <w:rPr>
          <w:sz w:val="22"/>
        </w:rPr>
        <w:t>site value, a</w:t>
      </w:r>
      <w:r>
        <w:rPr>
          <w:spacing w:val="-1"/>
          <w:sz w:val="22"/>
        </w:rPr>
        <w:t> </w:t>
      </w:r>
      <w:r>
        <w:rPr>
          <w:sz w:val="22"/>
        </w:rPr>
        <w:t>uniform</w:t>
      </w:r>
      <w:r>
        <w:rPr>
          <w:spacing w:val="-2"/>
          <w:sz w:val="22"/>
        </w:rPr>
        <w:t> </w:t>
      </w:r>
      <w:r>
        <w:rPr>
          <w:sz w:val="22"/>
        </w:rPr>
        <w:t>rate</w:t>
      </w:r>
      <w:r>
        <w:rPr>
          <w:spacing w:val="-4"/>
          <w:sz w:val="22"/>
        </w:rPr>
        <w:t> </w:t>
      </w:r>
      <w:r>
        <w:rPr>
          <w:sz w:val="22"/>
        </w:rPr>
        <w:t>would</w:t>
      </w:r>
      <w:r>
        <w:rPr>
          <w:spacing w:val="-4"/>
          <w:sz w:val="22"/>
        </w:rPr>
        <w:t> </w:t>
      </w:r>
      <w:r>
        <w:rPr>
          <w:sz w:val="22"/>
        </w:rPr>
        <w:t>promote</w:t>
      </w:r>
      <w:r>
        <w:rPr>
          <w:spacing w:val="-4"/>
          <w:sz w:val="22"/>
        </w:rPr>
        <w:t> </w:t>
      </w:r>
      <w:r>
        <w:rPr>
          <w:sz w:val="22"/>
        </w:rPr>
        <w:t>development of land, particularly commercial and industrial developments. There is, however, little evidence to prove that this is the case.</w:t>
      </w:r>
    </w:p>
    <w:p>
      <w:pPr>
        <w:pStyle w:val="ListParagraph"/>
        <w:numPr>
          <w:ilvl w:val="0"/>
          <w:numId w:val="4"/>
        </w:numPr>
        <w:tabs>
          <w:tab w:pos="1800" w:val="left" w:leader="none"/>
        </w:tabs>
        <w:spacing w:line="240" w:lineRule="auto" w:before="3" w:after="0"/>
        <w:ind w:left="1799" w:right="0" w:hanging="360"/>
        <w:jc w:val="both"/>
        <w:rPr>
          <w:sz w:val="22"/>
        </w:rPr>
      </w:pPr>
      <w:r>
        <w:rPr>
          <w:sz w:val="22"/>
        </w:rPr>
        <w:t>Scope</w:t>
      </w:r>
      <w:r>
        <w:rPr>
          <w:spacing w:val="-6"/>
          <w:sz w:val="22"/>
        </w:rPr>
        <w:t> </w:t>
      </w:r>
      <w:r>
        <w:rPr>
          <w:sz w:val="22"/>
        </w:rPr>
        <w:t>for</w:t>
      </w:r>
      <w:r>
        <w:rPr>
          <w:spacing w:val="-3"/>
          <w:sz w:val="22"/>
        </w:rPr>
        <w:t> </w:t>
      </w:r>
      <w:r>
        <w:rPr>
          <w:sz w:val="22"/>
        </w:rPr>
        <w:t>possible</w:t>
      </w:r>
      <w:r>
        <w:rPr>
          <w:spacing w:val="-6"/>
          <w:sz w:val="22"/>
        </w:rPr>
        <w:t> </w:t>
      </w:r>
      <w:r>
        <w:rPr>
          <w:sz w:val="22"/>
        </w:rPr>
        <w:t>concessions</w:t>
      </w:r>
      <w:r>
        <w:rPr>
          <w:spacing w:val="-4"/>
          <w:sz w:val="22"/>
        </w:rPr>
        <w:t> </w:t>
      </w:r>
      <w:r>
        <w:rPr>
          <w:sz w:val="22"/>
        </w:rPr>
        <w:t>for</w:t>
      </w:r>
      <w:r>
        <w:rPr>
          <w:spacing w:val="-4"/>
          <w:sz w:val="22"/>
        </w:rPr>
        <w:t> </w:t>
      </w:r>
      <w:r>
        <w:rPr>
          <w:sz w:val="22"/>
        </w:rPr>
        <w:t>residential</w:t>
      </w:r>
      <w:r>
        <w:rPr>
          <w:spacing w:val="-4"/>
          <w:sz w:val="22"/>
        </w:rPr>
        <w:t> </w:t>
      </w:r>
      <w:r>
        <w:rPr>
          <w:sz w:val="22"/>
        </w:rPr>
        <w:t>use</w:t>
      </w:r>
      <w:r>
        <w:rPr>
          <w:spacing w:val="-2"/>
          <w:sz w:val="22"/>
        </w:rPr>
        <w:t> land.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drawing>
          <wp:anchor distT="0" distB="0" distL="0" distR="0" allowOverlap="1" layoutInCell="1" locked="0" behindDoc="0" simplePos="0" relativeHeight="13">
            <wp:simplePos x="0" y="0"/>
            <wp:positionH relativeFrom="page">
              <wp:posOffset>27432</wp:posOffset>
            </wp:positionH>
            <wp:positionV relativeFrom="paragraph">
              <wp:posOffset>134722</wp:posOffset>
            </wp:positionV>
            <wp:extent cx="7378567" cy="97440"/>
            <wp:effectExtent l="0" t="0" r="0" b="0"/>
            <wp:wrapTopAndBottom/>
            <wp:docPr id="25" name="image4.png"/>
            <wp:cNvGraphicFramePr>
              <a:graphicFrameLocks noChangeAspect="1"/>
            </wp:cNvGraphicFramePr>
            <a:graphic>
              <a:graphicData uri="http://schemas.openxmlformats.org/drawingml/2006/picture">
                <pic:pic>
                  <pic:nvPicPr>
                    <pic:cNvPr id="26"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6"/>
        </w:rPr>
        <w:sectPr>
          <w:footerReference w:type="default" r:id="rId15"/>
          <w:pgSz w:w="11910" w:h="16840"/>
          <w:pgMar w:footer="662" w:header="0" w:top="1340" w:bottom="860" w:left="0" w:right="0"/>
          <w:pgNumType w:start="1"/>
        </w:sectPr>
      </w:pPr>
    </w:p>
    <w:p>
      <w:pPr>
        <w:pStyle w:val="BodyText"/>
        <w:rPr>
          <w:sz w:val="20"/>
        </w:rPr>
      </w:pPr>
    </w:p>
    <w:p>
      <w:pPr>
        <w:pStyle w:val="BodyText"/>
        <w:rPr>
          <w:sz w:val="20"/>
        </w:rPr>
      </w:pPr>
    </w:p>
    <w:p>
      <w:pPr>
        <w:pStyle w:val="BodyText"/>
        <w:rPr>
          <w:sz w:val="25"/>
        </w:rPr>
      </w:pPr>
    </w:p>
    <w:p>
      <w:pPr>
        <w:pStyle w:val="Heading5"/>
        <w:spacing w:before="94"/>
        <w:jc w:val="left"/>
      </w:pPr>
      <w:r>
        <w:rPr/>
        <w:drawing>
          <wp:anchor distT="0" distB="0" distL="0" distR="0" allowOverlap="1" layoutInCell="1" locked="0" behindDoc="0" simplePos="0" relativeHeight="15735808">
            <wp:simplePos x="0" y="0"/>
            <wp:positionH relativeFrom="page">
              <wp:posOffset>6461760</wp:posOffset>
            </wp:positionH>
            <wp:positionV relativeFrom="paragraph">
              <wp:posOffset>-479833</wp:posOffset>
            </wp:positionV>
            <wp:extent cx="545591" cy="637031"/>
            <wp:effectExtent l="0" t="0" r="0" b="0"/>
            <wp:wrapNone/>
            <wp:docPr id="27" name="image3.png"/>
            <wp:cNvGraphicFramePr>
              <a:graphicFrameLocks noChangeAspect="1"/>
            </wp:cNvGraphicFramePr>
            <a:graphic>
              <a:graphicData uri="http://schemas.openxmlformats.org/drawingml/2006/picture">
                <pic:pic>
                  <pic:nvPicPr>
                    <pic:cNvPr id="28" name="image3.png"/>
                    <pic:cNvPicPr/>
                  </pic:nvPicPr>
                  <pic:blipFill>
                    <a:blip r:embed="rId8" cstate="print"/>
                    <a:stretch>
                      <a:fillRect/>
                    </a:stretch>
                  </pic:blipFill>
                  <pic:spPr>
                    <a:xfrm>
                      <a:off x="0" y="0"/>
                      <a:ext cx="545591" cy="637031"/>
                    </a:xfrm>
                    <a:prstGeom prst="rect">
                      <a:avLst/>
                    </a:prstGeom>
                  </pic:spPr>
                </pic:pic>
              </a:graphicData>
            </a:graphic>
          </wp:anchor>
        </w:drawing>
      </w:r>
      <w:r>
        <w:rPr/>
        <w:t>Disadvantages</w:t>
      </w:r>
      <w:r>
        <w:rPr>
          <w:spacing w:val="-5"/>
        </w:rPr>
        <w:t> </w:t>
      </w:r>
      <w:r>
        <w:rPr/>
        <w:t>of</w:t>
      </w:r>
      <w:r>
        <w:rPr>
          <w:spacing w:val="-3"/>
        </w:rPr>
        <w:t> </w:t>
      </w:r>
      <w:r>
        <w:rPr/>
        <w:t>using</w:t>
      </w:r>
      <w:r>
        <w:rPr>
          <w:spacing w:val="-4"/>
        </w:rPr>
        <w:t> </w:t>
      </w:r>
      <w:r>
        <w:rPr/>
        <w:t>Site</w:t>
      </w:r>
      <w:r>
        <w:rPr>
          <w:spacing w:val="-5"/>
        </w:rPr>
        <w:t> </w:t>
      </w:r>
      <w:r>
        <w:rPr>
          <w:spacing w:val="-4"/>
        </w:rPr>
        <w:t>Value</w:t>
      </w:r>
    </w:p>
    <w:p>
      <w:pPr>
        <w:pStyle w:val="BodyText"/>
        <w:rPr>
          <w:b/>
        </w:rPr>
      </w:pPr>
    </w:p>
    <w:p>
      <w:pPr>
        <w:pStyle w:val="ListParagraph"/>
        <w:numPr>
          <w:ilvl w:val="0"/>
          <w:numId w:val="4"/>
        </w:numPr>
        <w:tabs>
          <w:tab w:pos="1800" w:val="left" w:leader="none"/>
        </w:tabs>
        <w:spacing w:line="240" w:lineRule="auto" w:before="0" w:after="0"/>
        <w:ind w:left="1800" w:right="1433" w:hanging="360"/>
        <w:jc w:val="both"/>
        <w:rPr>
          <w:sz w:val="22"/>
        </w:rPr>
      </w:pPr>
      <w:r>
        <w:rPr>
          <w:sz w:val="22"/>
        </w:rPr>
        <w:t>Under SV, there will be a significant shift from the</w:t>
      </w:r>
      <w:r>
        <w:rPr>
          <w:spacing w:val="-1"/>
          <w:sz w:val="22"/>
        </w:rPr>
        <w:t> </w:t>
      </w:r>
      <w:r>
        <w:rPr>
          <w:sz w:val="22"/>
        </w:rPr>
        <w:t>industrial/commercial sector onto the residential</w:t>
      </w:r>
      <w:r>
        <w:rPr>
          <w:spacing w:val="-2"/>
          <w:sz w:val="22"/>
        </w:rPr>
        <w:t> </w:t>
      </w:r>
      <w:r>
        <w:rPr>
          <w:sz w:val="22"/>
        </w:rPr>
        <w:t>sector of council. The percentage increases in many cases would be in the extreme range.</w:t>
      </w:r>
    </w:p>
    <w:p>
      <w:pPr>
        <w:pStyle w:val="ListParagraph"/>
        <w:numPr>
          <w:ilvl w:val="0"/>
          <w:numId w:val="4"/>
        </w:numPr>
        <w:tabs>
          <w:tab w:pos="1800" w:val="left" w:leader="none"/>
        </w:tabs>
        <w:spacing w:line="240" w:lineRule="auto" w:before="0" w:after="0"/>
        <w:ind w:left="1800" w:right="1434" w:hanging="360"/>
        <w:jc w:val="both"/>
        <w:rPr>
          <w:sz w:val="22"/>
        </w:rPr>
      </w:pPr>
      <w:r>
        <w:rPr>
          <w:sz w:val="22"/>
        </w:rPr>
        <w:t>SV is a major burden on property owners that have</w:t>
      </w:r>
      <w:r>
        <w:rPr>
          <w:spacing w:val="-4"/>
          <w:sz w:val="22"/>
        </w:rPr>
        <w:t> </w:t>
      </w:r>
      <w:r>
        <w:rPr>
          <w:sz w:val="22"/>
        </w:rPr>
        <w:t>large areas of land. Some of these owners</w:t>
      </w:r>
      <w:r>
        <w:rPr>
          <w:spacing w:val="-11"/>
          <w:sz w:val="22"/>
        </w:rPr>
        <w:t> </w:t>
      </w:r>
      <w:r>
        <w:rPr>
          <w:sz w:val="22"/>
        </w:rPr>
        <w:t>may</w:t>
      </w:r>
      <w:r>
        <w:rPr>
          <w:spacing w:val="-11"/>
          <w:sz w:val="22"/>
        </w:rPr>
        <w:t> </w:t>
      </w:r>
      <w:r>
        <w:rPr>
          <w:sz w:val="22"/>
        </w:rPr>
        <w:t>have</w:t>
      </w:r>
      <w:r>
        <w:rPr>
          <w:spacing w:val="-4"/>
          <w:sz w:val="22"/>
        </w:rPr>
        <w:t> </w:t>
      </w:r>
      <w:r>
        <w:rPr>
          <w:sz w:val="22"/>
        </w:rPr>
        <w:t>much</w:t>
      </w:r>
      <w:r>
        <w:rPr>
          <w:spacing w:val="-14"/>
          <w:sz w:val="22"/>
        </w:rPr>
        <w:t> </w:t>
      </w:r>
      <w:r>
        <w:rPr>
          <w:sz w:val="22"/>
        </w:rPr>
        <w:t>smaller/older</w:t>
      </w:r>
      <w:r>
        <w:rPr>
          <w:spacing w:val="-8"/>
          <w:sz w:val="22"/>
        </w:rPr>
        <w:t> </w:t>
      </w:r>
      <w:r>
        <w:rPr>
          <w:sz w:val="22"/>
        </w:rPr>
        <w:t>dwellings</w:t>
      </w:r>
      <w:r>
        <w:rPr>
          <w:spacing w:val="-8"/>
          <w:sz w:val="22"/>
        </w:rPr>
        <w:t> </w:t>
      </w:r>
      <w:r>
        <w:rPr>
          <w:sz w:val="22"/>
        </w:rPr>
        <w:t>compared</w:t>
      </w:r>
      <w:r>
        <w:rPr>
          <w:spacing w:val="-10"/>
          <w:sz w:val="22"/>
        </w:rPr>
        <w:t> </w:t>
      </w:r>
      <w:r>
        <w:rPr>
          <w:sz w:val="22"/>
        </w:rPr>
        <w:t>to</w:t>
      </w:r>
      <w:r>
        <w:rPr>
          <w:spacing w:val="-14"/>
          <w:sz w:val="22"/>
        </w:rPr>
        <w:t> </w:t>
      </w:r>
      <w:r>
        <w:rPr>
          <w:sz w:val="22"/>
        </w:rPr>
        <w:t>those</w:t>
      </w:r>
      <w:r>
        <w:rPr>
          <w:spacing w:val="-12"/>
          <w:sz w:val="22"/>
        </w:rPr>
        <w:t> </w:t>
      </w:r>
      <w:r>
        <w:rPr>
          <w:sz w:val="22"/>
        </w:rPr>
        <w:t>who</w:t>
      </w:r>
      <w:r>
        <w:rPr>
          <w:spacing w:val="-3"/>
          <w:sz w:val="22"/>
        </w:rPr>
        <w:t> </w:t>
      </w:r>
      <w:r>
        <w:rPr>
          <w:sz w:val="22"/>
        </w:rPr>
        <w:t>have</w:t>
      </w:r>
      <w:r>
        <w:rPr>
          <w:spacing w:val="-8"/>
          <w:sz w:val="22"/>
        </w:rPr>
        <w:t> </w:t>
      </w:r>
      <w:r>
        <w:rPr>
          <w:sz w:val="22"/>
        </w:rPr>
        <w:t>smaller</w:t>
      </w:r>
      <w:r>
        <w:rPr>
          <w:spacing w:val="-8"/>
          <w:sz w:val="22"/>
        </w:rPr>
        <w:t> </w:t>
      </w:r>
      <w:r>
        <w:rPr>
          <w:sz w:val="22"/>
        </w:rPr>
        <w:t>land areas</w:t>
      </w:r>
      <w:r>
        <w:rPr>
          <w:spacing w:val="40"/>
          <w:sz w:val="22"/>
        </w:rPr>
        <w:t> </w:t>
      </w:r>
      <w:r>
        <w:rPr>
          <w:sz w:val="22"/>
        </w:rPr>
        <w:t>but</w:t>
      </w:r>
      <w:r>
        <w:rPr>
          <w:spacing w:val="-2"/>
          <w:sz w:val="22"/>
        </w:rPr>
        <w:t> </w:t>
      </w:r>
      <w:r>
        <w:rPr>
          <w:sz w:val="22"/>
        </w:rPr>
        <w:t>well</w:t>
      </w:r>
      <w:r>
        <w:rPr>
          <w:spacing w:val="40"/>
          <w:sz w:val="22"/>
        </w:rPr>
        <w:t> </w:t>
      </w:r>
      <w:r>
        <w:rPr>
          <w:sz w:val="22"/>
        </w:rPr>
        <w:t>developed</w:t>
      </w:r>
      <w:r>
        <w:rPr>
          <w:spacing w:val="-3"/>
          <w:sz w:val="22"/>
        </w:rPr>
        <w:t> </w:t>
      </w:r>
      <w:r>
        <w:rPr>
          <w:sz w:val="22"/>
        </w:rPr>
        <w:t>dwellings -</w:t>
      </w:r>
      <w:r>
        <w:rPr>
          <w:spacing w:val="40"/>
          <w:sz w:val="22"/>
        </w:rPr>
        <w:t> </w:t>
      </w:r>
      <w:r>
        <w:rPr>
          <w:sz w:val="22"/>
        </w:rPr>
        <w:t>but</w:t>
      </w:r>
      <w:r>
        <w:rPr>
          <w:spacing w:val="40"/>
          <w:sz w:val="22"/>
        </w:rPr>
        <w:t> </w:t>
      </w:r>
      <w:r>
        <w:rPr>
          <w:sz w:val="22"/>
        </w:rPr>
        <w:t>will</w:t>
      </w:r>
      <w:r>
        <w:rPr>
          <w:spacing w:val="40"/>
          <w:sz w:val="22"/>
        </w:rPr>
        <w:t> </w:t>
      </w:r>
      <w:r>
        <w:rPr>
          <w:sz w:val="22"/>
        </w:rPr>
        <w:t>pay</w:t>
      </w:r>
      <w:r>
        <w:rPr>
          <w:spacing w:val="40"/>
          <w:sz w:val="22"/>
        </w:rPr>
        <w:t> </w:t>
      </w:r>
      <w:r>
        <w:rPr>
          <w:sz w:val="22"/>
        </w:rPr>
        <w:t>more</w:t>
      </w:r>
      <w:r>
        <w:rPr>
          <w:spacing w:val="40"/>
          <w:sz w:val="22"/>
        </w:rPr>
        <w:t> </w:t>
      </w:r>
      <w:r>
        <w:rPr>
          <w:sz w:val="22"/>
        </w:rPr>
        <w:t>in</w:t>
      </w:r>
      <w:r>
        <w:rPr>
          <w:spacing w:val="40"/>
          <w:sz w:val="22"/>
        </w:rPr>
        <w:t> </w:t>
      </w:r>
      <w:r>
        <w:rPr>
          <w:sz w:val="22"/>
        </w:rPr>
        <w:t>rates.</w:t>
      </w:r>
      <w:r>
        <w:rPr>
          <w:spacing w:val="40"/>
          <w:sz w:val="22"/>
        </w:rPr>
        <w:t> </w:t>
      </w:r>
      <w:r>
        <w:rPr>
          <w:sz w:val="22"/>
        </w:rPr>
        <w:t>A</w:t>
      </w:r>
      <w:r>
        <w:rPr>
          <w:spacing w:val="40"/>
          <w:sz w:val="22"/>
        </w:rPr>
        <w:t> </w:t>
      </w:r>
      <w:r>
        <w:rPr>
          <w:sz w:val="22"/>
        </w:rPr>
        <w:t>typical</w:t>
      </w:r>
      <w:r>
        <w:rPr>
          <w:spacing w:val="40"/>
          <w:sz w:val="22"/>
        </w:rPr>
        <w:t> </w:t>
      </w:r>
      <w:r>
        <w:rPr>
          <w:sz w:val="22"/>
        </w:rPr>
        <w:t>example</w:t>
      </w:r>
      <w:r>
        <w:rPr>
          <w:spacing w:val="40"/>
          <w:sz w:val="22"/>
        </w:rPr>
        <w:t> </w:t>
      </w:r>
      <w:r>
        <w:rPr>
          <w:sz w:val="22"/>
        </w:rPr>
        <w:t>is flats,</w:t>
      </w:r>
      <w:r>
        <w:rPr>
          <w:spacing w:val="-4"/>
          <w:sz w:val="22"/>
        </w:rPr>
        <w:t> </w:t>
      </w:r>
      <w:r>
        <w:rPr>
          <w:sz w:val="22"/>
        </w:rPr>
        <w:t>units, or</w:t>
      </w:r>
      <w:r>
        <w:rPr>
          <w:spacing w:val="-2"/>
          <w:sz w:val="22"/>
        </w:rPr>
        <w:t> </w:t>
      </w:r>
      <w:r>
        <w:rPr>
          <w:sz w:val="22"/>
        </w:rPr>
        <w:t>townhouses which will all pay low rates</w:t>
      </w:r>
      <w:r>
        <w:rPr>
          <w:spacing w:val="-2"/>
          <w:sz w:val="22"/>
        </w:rPr>
        <w:t> </w:t>
      </w:r>
      <w:r>
        <w:rPr>
          <w:sz w:val="22"/>
        </w:rPr>
        <w:t>compared to traditional housing </w:t>
      </w:r>
      <w:r>
        <w:rPr>
          <w:spacing w:val="-2"/>
          <w:sz w:val="22"/>
        </w:rPr>
        <w:t>styles.</w:t>
      </w:r>
    </w:p>
    <w:p>
      <w:pPr>
        <w:pStyle w:val="ListParagraph"/>
        <w:numPr>
          <w:ilvl w:val="0"/>
          <w:numId w:val="4"/>
        </w:numPr>
        <w:tabs>
          <w:tab w:pos="1800" w:val="left" w:leader="none"/>
        </w:tabs>
        <w:spacing w:line="237" w:lineRule="auto" w:before="0" w:after="0"/>
        <w:ind w:left="1800" w:right="1434" w:hanging="360"/>
        <w:jc w:val="both"/>
        <w:rPr>
          <w:sz w:val="22"/>
        </w:rPr>
      </w:pPr>
      <w:r>
        <w:rPr>
          <w:sz w:val="22"/>
        </w:rPr>
        <w:t>The use of SV can place pressure on council to give</w:t>
      </w:r>
      <w:r>
        <w:rPr>
          <w:spacing w:val="-5"/>
          <w:sz w:val="22"/>
        </w:rPr>
        <w:t> </w:t>
      </w:r>
      <w:r>
        <w:rPr>
          <w:sz w:val="22"/>
        </w:rPr>
        <w:t>concessions to categories of landowners on whom</w:t>
      </w:r>
      <w:r>
        <w:rPr>
          <w:spacing w:val="-2"/>
          <w:sz w:val="22"/>
        </w:rPr>
        <w:t> </w:t>
      </w:r>
      <w:r>
        <w:rPr>
          <w:sz w:val="22"/>
        </w:rPr>
        <w:t>the rating burden</w:t>
      </w:r>
      <w:r>
        <w:rPr>
          <w:spacing w:val="-2"/>
          <w:sz w:val="22"/>
        </w:rPr>
        <w:t> </w:t>
      </w:r>
      <w:r>
        <w:rPr>
          <w:sz w:val="22"/>
        </w:rPr>
        <w:t>is seen</w:t>
      </w:r>
      <w:r>
        <w:rPr>
          <w:spacing w:val="-4"/>
          <w:sz w:val="22"/>
        </w:rPr>
        <w:t> </w:t>
      </w:r>
      <w:r>
        <w:rPr>
          <w:sz w:val="22"/>
        </w:rPr>
        <w:t>to fall disproportionately</w:t>
      </w:r>
      <w:r>
        <w:rPr>
          <w:spacing w:val="-4"/>
          <w:sz w:val="22"/>
        </w:rPr>
        <w:t> </w:t>
      </w:r>
      <w:r>
        <w:rPr>
          <w:sz w:val="22"/>
        </w:rPr>
        <w:t>(e.g.</w:t>
      </w:r>
      <w:r>
        <w:rPr>
          <w:spacing w:val="40"/>
          <w:sz w:val="22"/>
        </w:rPr>
        <w:t> </w:t>
      </w:r>
      <w:r>
        <w:rPr>
          <w:sz w:val="22"/>
        </w:rPr>
        <w:t>residential use properties). Large land owners are disadvantaged by the use of site value.</w:t>
      </w:r>
    </w:p>
    <w:p>
      <w:pPr>
        <w:pStyle w:val="ListParagraph"/>
        <w:numPr>
          <w:ilvl w:val="0"/>
          <w:numId w:val="4"/>
        </w:numPr>
        <w:tabs>
          <w:tab w:pos="1800" w:val="left" w:leader="none"/>
        </w:tabs>
        <w:spacing w:line="237" w:lineRule="auto" w:before="5" w:after="0"/>
        <w:ind w:left="1800" w:right="1435" w:hanging="360"/>
        <w:jc w:val="both"/>
        <w:rPr>
          <w:sz w:val="22"/>
        </w:rPr>
      </w:pPr>
      <w:r>
        <w:rPr>
          <w:sz w:val="22"/>
        </w:rPr>
        <w:t>SV</w:t>
      </w:r>
      <w:r>
        <w:rPr>
          <w:spacing w:val="-1"/>
          <w:sz w:val="22"/>
        </w:rPr>
        <w:t> </w:t>
      </w:r>
      <w:r>
        <w:rPr>
          <w:sz w:val="22"/>
        </w:rPr>
        <w:t>will</w:t>
      </w:r>
      <w:r>
        <w:rPr>
          <w:spacing w:val="-5"/>
          <w:sz w:val="22"/>
        </w:rPr>
        <w:t> </w:t>
      </w:r>
      <w:r>
        <w:rPr>
          <w:sz w:val="22"/>
        </w:rPr>
        <w:t>reduce</w:t>
      </w:r>
      <w:r>
        <w:rPr>
          <w:spacing w:val="-2"/>
          <w:sz w:val="22"/>
        </w:rPr>
        <w:t> </w:t>
      </w:r>
      <w:r>
        <w:rPr>
          <w:sz w:val="22"/>
        </w:rPr>
        <w:t>Council’s</w:t>
      </w:r>
      <w:r>
        <w:rPr>
          <w:spacing w:val="-4"/>
          <w:sz w:val="22"/>
        </w:rPr>
        <w:t> </w:t>
      </w:r>
      <w:r>
        <w:rPr>
          <w:sz w:val="22"/>
        </w:rPr>
        <w:t>rating</w:t>
      </w:r>
      <w:r>
        <w:rPr>
          <w:spacing w:val="-4"/>
          <w:sz w:val="22"/>
        </w:rPr>
        <w:t> </w:t>
      </w:r>
      <w:r>
        <w:rPr>
          <w:sz w:val="22"/>
        </w:rPr>
        <w:t>flexibility</w:t>
      </w:r>
      <w:r>
        <w:rPr>
          <w:spacing w:val="-2"/>
          <w:sz w:val="22"/>
        </w:rPr>
        <w:t> </w:t>
      </w:r>
      <w:r>
        <w:rPr>
          <w:sz w:val="22"/>
        </w:rPr>
        <w:t>and</w:t>
      </w:r>
      <w:r>
        <w:rPr>
          <w:spacing w:val="-2"/>
          <w:sz w:val="22"/>
        </w:rPr>
        <w:t> </w:t>
      </w:r>
      <w:r>
        <w:rPr>
          <w:sz w:val="22"/>
        </w:rPr>
        <w:t>options to</w:t>
      </w:r>
      <w:r>
        <w:rPr>
          <w:spacing w:val="-4"/>
          <w:sz w:val="22"/>
        </w:rPr>
        <w:t> </w:t>
      </w:r>
      <w:r>
        <w:rPr>
          <w:sz w:val="22"/>
        </w:rPr>
        <w:t>deal</w:t>
      </w:r>
      <w:r>
        <w:rPr>
          <w:spacing w:val="-2"/>
          <w:sz w:val="22"/>
        </w:rPr>
        <w:t> </w:t>
      </w:r>
      <w:r>
        <w:rPr>
          <w:sz w:val="22"/>
        </w:rPr>
        <w:t>with</w:t>
      </w:r>
      <w:r>
        <w:rPr>
          <w:spacing w:val="-6"/>
          <w:sz w:val="22"/>
        </w:rPr>
        <w:t> </w:t>
      </w:r>
      <w:r>
        <w:rPr>
          <w:sz w:val="22"/>
        </w:rPr>
        <w:t>any</w:t>
      </w:r>
      <w:r>
        <w:rPr>
          <w:spacing w:val="-4"/>
          <w:sz w:val="22"/>
        </w:rPr>
        <w:t> </w:t>
      </w:r>
      <w:r>
        <w:rPr>
          <w:sz w:val="22"/>
        </w:rPr>
        <w:t>rating</w:t>
      </w:r>
      <w:r>
        <w:rPr>
          <w:spacing w:val="-1"/>
          <w:sz w:val="22"/>
        </w:rPr>
        <w:t> </w:t>
      </w:r>
      <w:r>
        <w:rPr>
          <w:sz w:val="22"/>
        </w:rPr>
        <w:t>inequities due to the removal of the ability to levy differential rates.</w:t>
      </w:r>
    </w:p>
    <w:p>
      <w:pPr>
        <w:pStyle w:val="ListParagraph"/>
        <w:numPr>
          <w:ilvl w:val="0"/>
          <w:numId w:val="4"/>
        </w:numPr>
        <w:tabs>
          <w:tab w:pos="1800" w:val="left" w:leader="none"/>
        </w:tabs>
        <w:spacing w:line="240" w:lineRule="auto" w:before="1" w:after="0"/>
        <w:ind w:left="1800" w:right="1433" w:hanging="360"/>
        <w:jc w:val="both"/>
        <w:rPr>
          <w:sz w:val="22"/>
        </w:rPr>
      </w:pPr>
      <w:r>
        <w:rPr>
          <w:sz w:val="22"/>
        </w:rPr>
        <w:t>The</w:t>
      </w:r>
      <w:r>
        <w:rPr>
          <w:spacing w:val="-1"/>
          <w:sz w:val="22"/>
        </w:rPr>
        <w:t> </w:t>
      </w:r>
      <w:r>
        <w:rPr>
          <w:sz w:val="22"/>
        </w:rPr>
        <w:t>community</w:t>
      </w:r>
      <w:r>
        <w:rPr>
          <w:spacing w:val="-11"/>
          <w:sz w:val="22"/>
        </w:rPr>
        <w:t> </w:t>
      </w:r>
      <w:r>
        <w:rPr>
          <w:sz w:val="22"/>
        </w:rPr>
        <w:t>may</w:t>
      </w:r>
      <w:r>
        <w:rPr>
          <w:spacing w:val="-8"/>
          <w:sz w:val="22"/>
        </w:rPr>
        <w:t> </w:t>
      </w:r>
      <w:r>
        <w:rPr>
          <w:sz w:val="22"/>
        </w:rPr>
        <w:t>have</w:t>
      </w:r>
      <w:r>
        <w:rPr>
          <w:spacing w:val="-2"/>
          <w:sz w:val="22"/>
        </w:rPr>
        <w:t> </w:t>
      </w:r>
      <w:r>
        <w:rPr>
          <w:sz w:val="22"/>
        </w:rPr>
        <w:t>greater</w:t>
      </w:r>
      <w:r>
        <w:rPr>
          <w:spacing w:val="-8"/>
          <w:sz w:val="22"/>
        </w:rPr>
        <w:t> </w:t>
      </w:r>
      <w:r>
        <w:rPr>
          <w:sz w:val="22"/>
        </w:rPr>
        <w:t>difficulty</w:t>
      </w:r>
      <w:r>
        <w:rPr>
          <w:spacing w:val="-6"/>
          <w:sz w:val="22"/>
        </w:rPr>
        <w:t> </w:t>
      </w:r>
      <w:r>
        <w:rPr>
          <w:sz w:val="22"/>
        </w:rPr>
        <w:t>in</w:t>
      </w:r>
      <w:r>
        <w:rPr>
          <w:spacing w:val="-6"/>
          <w:sz w:val="22"/>
        </w:rPr>
        <w:t> </w:t>
      </w:r>
      <w:r>
        <w:rPr>
          <w:sz w:val="22"/>
        </w:rPr>
        <w:t>understanding</w:t>
      </w:r>
      <w:r>
        <w:rPr>
          <w:spacing w:val="-8"/>
          <w:sz w:val="22"/>
        </w:rPr>
        <w:t> </w:t>
      </w:r>
      <w:r>
        <w:rPr>
          <w:sz w:val="22"/>
        </w:rPr>
        <w:t>the</w:t>
      </w:r>
      <w:r>
        <w:rPr>
          <w:spacing w:val="-10"/>
          <w:sz w:val="22"/>
        </w:rPr>
        <w:t> </w:t>
      </w:r>
      <w:r>
        <w:rPr>
          <w:sz w:val="22"/>
        </w:rPr>
        <w:t>SV</w:t>
      </w:r>
      <w:r>
        <w:rPr>
          <w:spacing w:val="-10"/>
          <w:sz w:val="22"/>
        </w:rPr>
        <w:t> </w:t>
      </w:r>
      <w:r>
        <w:rPr>
          <w:sz w:val="22"/>
        </w:rPr>
        <w:t>valuation</w:t>
      </w:r>
      <w:r>
        <w:rPr>
          <w:spacing w:val="-6"/>
          <w:sz w:val="22"/>
        </w:rPr>
        <w:t> </w:t>
      </w:r>
      <w:r>
        <w:rPr>
          <w:sz w:val="22"/>
        </w:rPr>
        <w:t>on</w:t>
      </w:r>
      <w:r>
        <w:rPr>
          <w:spacing w:val="-8"/>
          <w:sz w:val="22"/>
        </w:rPr>
        <w:t> </w:t>
      </w:r>
      <w:r>
        <w:rPr>
          <w:sz w:val="22"/>
        </w:rPr>
        <w:t>their</w:t>
      </w:r>
      <w:r>
        <w:rPr>
          <w:spacing w:val="-7"/>
          <w:sz w:val="22"/>
        </w:rPr>
        <w:t> </w:t>
      </w:r>
      <w:r>
        <w:rPr>
          <w:sz w:val="22"/>
        </w:rPr>
        <w:t>rate notices,</w:t>
      </w:r>
      <w:r>
        <w:rPr>
          <w:spacing w:val="-1"/>
          <w:sz w:val="22"/>
        </w:rPr>
        <w:t> </w:t>
      </w:r>
      <w:r>
        <w:rPr>
          <w:sz w:val="22"/>
        </w:rPr>
        <w:t>as</w:t>
      </w:r>
      <w:r>
        <w:rPr>
          <w:spacing w:val="-4"/>
          <w:sz w:val="22"/>
        </w:rPr>
        <w:t> </w:t>
      </w:r>
      <w:r>
        <w:rPr>
          <w:sz w:val="22"/>
        </w:rPr>
        <w:t>indicated</w:t>
      </w:r>
      <w:r>
        <w:rPr>
          <w:spacing w:val="-6"/>
          <w:sz w:val="22"/>
        </w:rPr>
        <w:t> </w:t>
      </w:r>
      <w:r>
        <w:rPr>
          <w:sz w:val="22"/>
        </w:rPr>
        <w:t>by</w:t>
      </w:r>
      <w:r>
        <w:rPr>
          <w:spacing w:val="-8"/>
          <w:sz w:val="22"/>
        </w:rPr>
        <w:t> </w:t>
      </w:r>
      <w:r>
        <w:rPr>
          <w:sz w:val="22"/>
        </w:rPr>
        <w:t>many</w:t>
      </w:r>
      <w:r>
        <w:rPr>
          <w:spacing w:val="-4"/>
          <w:sz w:val="22"/>
        </w:rPr>
        <w:t> </w:t>
      </w:r>
      <w:r>
        <w:rPr>
          <w:sz w:val="22"/>
        </w:rPr>
        <w:t>inquiries</w:t>
      </w:r>
      <w:r>
        <w:rPr>
          <w:spacing w:val="-6"/>
          <w:sz w:val="22"/>
        </w:rPr>
        <w:t> </w:t>
      </w:r>
      <w:r>
        <w:rPr>
          <w:sz w:val="22"/>
        </w:rPr>
        <w:t>from</w:t>
      </w:r>
      <w:r>
        <w:rPr>
          <w:spacing w:val="-4"/>
          <w:sz w:val="22"/>
        </w:rPr>
        <w:t> </w:t>
      </w:r>
      <w:r>
        <w:rPr>
          <w:sz w:val="22"/>
        </w:rPr>
        <w:t>ratepayers</w:t>
      </w:r>
      <w:r>
        <w:rPr>
          <w:spacing w:val="-4"/>
          <w:sz w:val="22"/>
        </w:rPr>
        <w:t> </w:t>
      </w:r>
      <w:r>
        <w:rPr>
          <w:sz w:val="22"/>
        </w:rPr>
        <w:t>on</w:t>
      </w:r>
      <w:r>
        <w:rPr>
          <w:spacing w:val="-5"/>
          <w:sz w:val="22"/>
        </w:rPr>
        <w:t> </w:t>
      </w:r>
      <w:r>
        <w:rPr>
          <w:sz w:val="22"/>
        </w:rPr>
        <w:t>this</w:t>
      </w:r>
      <w:r>
        <w:rPr>
          <w:spacing w:val="-4"/>
          <w:sz w:val="22"/>
        </w:rPr>
        <w:t> </w:t>
      </w:r>
      <w:r>
        <w:rPr>
          <w:sz w:val="22"/>
        </w:rPr>
        <w:t>issue</w:t>
      </w:r>
      <w:r>
        <w:rPr>
          <w:spacing w:val="-8"/>
          <w:sz w:val="22"/>
        </w:rPr>
        <w:t> </w:t>
      </w:r>
      <w:r>
        <w:rPr>
          <w:sz w:val="22"/>
        </w:rPr>
        <w:t>handled</w:t>
      </w:r>
      <w:r>
        <w:rPr>
          <w:spacing w:val="-4"/>
          <w:sz w:val="22"/>
        </w:rPr>
        <w:t> </w:t>
      </w:r>
      <w:r>
        <w:rPr>
          <w:sz w:val="22"/>
        </w:rPr>
        <w:t>by</w:t>
      </w:r>
      <w:r>
        <w:rPr>
          <w:spacing w:val="-4"/>
          <w:sz w:val="22"/>
        </w:rPr>
        <w:t> </w:t>
      </w:r>
      <w:r>
        <w:rPr>
          <w:sz w:val="22"/>
        </w:rPr>
        <w:t>council’s customer service and property revenue staff each year.</w:t>
      </w:r>
    </w:p>
    <w:p>
      <w:pPr>
        <w:pStyle w:val="BodyText"/>
        <w:spacing w:before="10"/>
        <w:rPr>
          <w:sz w:val="21"/>
        </w:rPr>
      </w:pPr>
    </w:p>
    <w:p>
      <w:pPr>
        <w:pStyle w:val="Heading5"/>
        <w:spacing w:before="1"/>
        <w:jc w:val="left"/>
      </w:pPr>
      <w:r>
        <w:rPr/>
        <w:t>Net</w:t>
      </w:r>
      <w:r>
        <w:rPr>
          <w:spacing w:val="-2"/>
        </w:rPr>
        <w:t> </w:t>
      </w:r>
      <w:r>
        <w:rPr/>
        <w:t>annual</w:t>
      </w:r>
      <w:r>
        <w:rPr>
          <w:spacing w:val="-1"/>
        </w:rPr>
        <w:t> </w:t>
      </w:r>
      <w:r>
        <w:rPr/>
        <w:t>value</w:t>
      </w:r>
      <w:r>
        <w:rPr>
          <w:spacing w:val="-3"/>
        </w:rPr>
        <w:t> </w:t>
      </w:r>
      <w:r>
        <w:rPr>
          <w:spacing w:val="-4"/>
        </w:rPr>
        <w:t>(NAV)</w:t>
      </w:r>
    </w:p>
    <w:p>
      <w:pPr>
        <w:pStyle w:val="BodyText"/>
        <w:spacing w:before="9"/>
        <w:rPr>
          <w:b/>
          <w:sz w:val="21"/>
        </w:rPr>
      </w:pPr>
    </w:p>
    <w:p>
      <w:pPr>
        <w:pStyle w:val="BodyText"/>
        <w:ind w:left="1440" w:right="1433"/>
        <w:jc w:val="both"/>
      </w:pPr>
      <w:r>
        <w:rPr/>
        <w:t>NAV, in</w:t>
      </w:r>
      <w:r>
        <w:rPr>
          <w:spacing w:val="-4"/>
        </w:rPr>
        <w:t> </w:t>
      </w:r>
      <w:r>
        <w:rPr/>
        <w:t>concept,</w:t>
      </w:r>
      <w:r>
        <w:rPr>
          <w:spacing w:val="-1"/>
        </w:rPr>
        <w:t> </w:t>
      </w:r>
      <w:r>
        <w:rPr/>
        <w:t>represents</w:t>
      </w:r>
      <w:r>
        <w:rPr>
          <w:spacing w:val="-2"/>
        </w:rPr>
        <w:t> </w:t>
      </w:r>
      <w:r>
        <w:rPr/>
        <w:t>the</w:t>
      </w:r>
      <w:r>
        <w:rPr>
          <w:spacing w:val="-2"/>
        </w:rPr>
        <w:t> </w:t>
      </w:r>
      <w:r>
        <w:rPr/>
        <w:t>annual</w:t>
      </w:r>
      <w:r>
        <w:rPr>
          <w:spacing w:val="-2"/>
        </w:rPr>
        <w:t> </w:t>
      </w:r>
      <w:r>
        <w:rPr/>
        <w:t>rental</w:t>
      </w:r>
      <w:r>
        <w:rPr>
          <w:spacing w:val="-2"/>
        </w:rPr>
        <w:t> </w:t>
      </w:r>
      <w:r>
        <w:rPr/>
        <w:t>value</w:t>
      </w:r>
      <w:r>
        <w:rPr>
          <w:spacing w:val="-1"/>
        </w:rPr>
        <w:t> </w:t>
      </w:r>
      <w:r>
        <w:rPr/>
        <w:t>of a</w:t>
      </w:r>
      <w:r>
        <w:rPr>
          <w:spacing w:val="-1"/>
        </w:rPr>
        <w:t> </w:t>
      </w:r>
      <w:r>
        <w:rPr/>
        <w:t>property. However,</w:t>
      </w:r>
      <w:r>
        <w:rPr>
          <w:spacing w:val="-2"/>
        </w:rPr>
        <w:t> </w:t>
      </w:r>
      <w:r>
        <w:rPr/>
        <w:t>in</w:t>
      </w:r>
      <w:r>
        <w:rPr>
          <w:spacing w:val="-2"/>
        </w:rPr>
        <w:t> </w:t>
      </w:r>
      <w:r>
        <w:rPr/>
        <w:t>practice, NAV is</w:t>
      </w:r>
      <w:r>
        <w:rPr>
          <w:spacing w:val="-2"/>
        </w:rPr>
        <w:t> </w:t>
      </w:r>
      <w:r>
        <w:rPr/>
        <w:t>loosely</w:t>
      </w:r>
      <w:r>
        <w:rPr>
          <w:spacing w:val="-2"/>
        </w:rPr>
        <w:t> </w:t>
      </w:r>
      <w:r>
        <w:rPr/>
        <w:t>linked</w:t>
      </w:r>
      <w:r>
        <w:rPr>
          <w:spacing w:val="-2"/>
        </w:rPr>
        <w:t> </w:t>
      </w:r>
      <w:r>
        <w:rPr/>
        <w:t>to capital improved value for residential properties. Valuers</w:t>
      </w:r>
      <w:r>
        <w:rPr>
          <w:spacing w:val="-2"/>
        </w:rPr>
        <w:t> </w:t>
      </w:r>
      <w:r>
        <w:rPr/>
        <w:t>derive the NAV directly as 5 per cent of CIV.</w:t>
      </w:r>
    </w:p>
    <w:p>
      <w:pPr>
        <w:pStyle w:val="BodyText"/>
        <w:spacing w:before="1"/>
      </w:pPr>
    </w:p>
    <w:p>
      <w:pPr>
        <w:pStyle w:val="BodyText"/>
        <w:ind w:left="1440" w:right="1433"/>
        <w:jc w:val="both"/>
      </w:pPr>
      <w:r>
        <w:rPr/>
        <w:t>In contrast to the treatment of residential properties,</w:t>
      </w:r>
      <w:r>
        <w:rPr>
          <w:spacing w:val="-4"/>
        </w:rPr>
        <w:t> </w:t>
      </w:r>
      <w:r>
        <w:rPr/>
        <w:t>NAV for commercial and industrial properties</w:t>
      </w:r>
      <w:r>
        <w:rPr>
          <w:spacing w:val="-1"/>
        </w:rPr>
        <w:t> </w:t>
      </w:r>
      <w:r>
        <w:rPr/>
        <w:t>are</w:t>
      </w:r>
      <w:r>
        <w:rPr>
          <w:spacing w:val="-2"/>
        </w:rPr>
        <w:t> </w:t>
      </w:r>
      <w:r>
        <w:rPr/>
        <w:t>assessed</w:t>
      </w:r>
      <w:r>
        <w:rPr>
          <w:spacing w:val="-3"/>
        </w:rPr>
        <w:t> </w:t>
      </w:r>
      <w:r>
        <w:rPr/>
        <w:t>with regard to actual market rental. This</w:t>
      </w:r>
      <w:r>
        <w:rPr>
          <w:spacing w:val="-1"/>
        </w:rPr>
        <w:t> </w:t>
      </w:r>
      <w:r>
        <w:rPr/>
        <w:t>differing treatment of commercial</w:t>
      </w:r>
      <w:r>
        <w:rPr>
          <w:spacing w:val="80"/>
        </w:rPr>
        <w:t> </w:t>
      </w:r>
      <w:r>
        <w:rPr/>
        <w:t>versus</w:t>
      </w:r>
      <w:r>
        <w:rPr>
          <w:spacing w:val="80"/>
        </w:rPr>
        <w:t> </w:t>
      </w:r>
      <w:r>
        <w:rPr/>
        <w:t>residential</w:t>
      </w:r>
      <w:r>
        <w:rPr>
          <w:spacing w:val="80"/>
        </w:rPr>
        <w:t> </w:t>
      </w:r>
      <w:r>
        <w:rPr/>
        <w:t>properties</w:t>
      </w:r>
      <w:r>
        <w:rPr>
          <w:spacing w:val="-1"/>
        </w:rPr>
        <w:t> </w:t>
      </w:r>
      <w:r>
        <w:rPr/>
        <w:t>has</w:t>
      </w:r>
      <w:r>
        <w:rPr>
          <w:spacing w:val="80"/>
        </w:rPr>
        <w:t> </w:t>
      </w:r>
      <w:r>
        <w:rPr/>
        <w:t>led</w:t>
      </w:r>
      <w:r>
        <w:rPr>
          <w:spacing w:val="80"/>
        </w:rPr>
        <w:t> </w:t>
      </w:r>
      <w:r>
        <w:rPr/>
        <w:t>to</w:t>
      </w:r>
      <w:r>
        <w:rPr>
          <w:spacing w:val="80"/>
        </w:rPr>
        <w:t> </w:t>
      </w:r>
      <w:r>
        <w:rPr/>
        <w:t>some</w:t>
      </w:r>
      <w:r>
        <w:rPr>
          <w:spacing w:val="80"/>
        </w:rPr>
        <w:t> </w:t>
      </w:r>
      <w:r>
        <w:rPr/>
        <w:t>suggestions</w:t>
      </w:r>
      <w:r>
        <w:rPr>
          <w:spacing w:val="80"/>
        </w:rPr>
        <w:t> </w:t>
      </w:r>
      <w:r>
        <w:rPr/>
        <w:t>that</w:t>
      </w:r>
      <w:r>
        <w:rPr>
          <w:spacing w:val="80"/>
        </w:rPr>
        <w:t> </w:t>
      </w:r>
      <w:r>
        <w:rPr/>
        <w:t>all properties should be valued on a rental basis.</w:t>
      </w:r>
    </w:p>
    <w:p>
      <w:pPr>
        <w:pStyle w:val="BodyText"/>
      </w:pPr>
    </w:p>
    <w:p>
      <w:pPr>
        <w:pStyle w:val="BodyText"/>
        <w:ind w:left="1440" w:right="1436"/>
        <w:jc w:val="both"/>
      </w:pPr>
      <w:r>
        <w:rPr/>
        <w:t>Overall, the use of NAV</w:t>
      </w:r>
      <w:r>
        <w:rPr>
          <w:spacing w:val="-1"/>
        </w:rPr>
        <w:t> </w:t>
      </w:r>
      <w:r>
        <w:rPr/>
        <w:t>is not largely</w:t>
      </w:r>
      <w:r>
        <w:rPr>
          <w:spacing w:val="-4"/>
        </w:rPr>
        <w:t> </w:t>
      </w:r>
      <w:r>
        <w:rPr/>
        <w:t>supported. For</w:t>
      </w:r>
      <w:r>
        <w:rPr>
          <w:spacing w:val="-4"/>
        </w:rPr>
        <w:t> </w:t>
      </w:r>
      <w:r>
        <w:rPr/>
        <w:t>residential ratepayers, actual rental values pose</w:t>
      </w:r>
      <w:r>
        <w:rPr>
          <w:spacing w:val="-4"/>
        </w:rPr>
        <w:t> </w:t>
      </w:r>
      <w:r>
        <w:rPr/>
        <w:t>some problems. The artificial rental estimate used may</w:t>
      </w:r>
      <w:r>
        <w:rPr>
          <w:spacing w:val="-2"/>
        </w:rPr>
        <w:t> </w:t>
      </w:r>
      <w:r>
        <w:rPr/>
        <w:t>not represent actual market value, and means the base is the same as CIV but is harder to understand.</w:t>
      </w:r>
    </w:p>
    <w:p>
      <w:pPr>
        <w:pStyle w:val="BodyText"/>
        <w:spacing w:before="1"/>
      </w:pPr>
    </w:p>
    <w:p>
      <w:pPr>
        <w:pStyle w:val="Heading5"/>
      </w:pPr>
      <w:r>
        <w:rPr/>
        <w:t>Recommended</w:t>
      </w:r>
      <w:r>
        <w:rPr>
          <w:spacing w:val="-7"/>
        </w:rPr>
        <w:t> </w:t>
      </w:r>
      <w:r>
        <w:rPr/>
        <w:t>valuation</w:t>
      </w:r>
      <w:r>
        <w:rPr>
          <w:spacing w:val="-6"/>
        </w:rPr>
        <w:t> </w:t>
      </w:r>
      <w:r>
        <w:rPr>
          <w:spacing w:val="-4"/>
        </w:rPr>
        <w:t>base</w:t>
      </w:r>
    </w:p>
    <w:p>
      <w:pPr>
        <w:pStyle w:val="BodyText"/>
        <w:rPr>
          <w:b/>
        </w:rPr>
      </w:pPr>
    </w:p>
    <w:p>
      <w:pPr>
        <w:pStyle w:val="BodyText"/>
        <w:ind w:left="1440" w:right="1437"/>
        <w:jc w:val="both"/>
      </w:pPr>
      <w:r>
        <w:rPr/>
        <w:t>In</w:t>
      </w:r>
      <w:r>
        <w:rPr>
          <w:spacing w:val="-16"/>
        </w:rPr>
        <w:t> </w:t>
      </w:r>
      <w:r>
        <w:rPr/>
        <w:t>choosing</w:t>
      </w:r>
      <w:r>
        <w:rPr>
          <w:spacing w:val="-13"/>
        </w:rPr>
        <w:t> </w:t>
      </w:r>
      <w:r>
        <w:rPr/>
        <w:t>a</w:t>
      </w:r>
      <w:r>
        <w:rPr>
          <w:spacing w:val="-16"/>
        </w:rPr>
        <w:t> </w:t>
      </w:r>
      <w:r>
        <w:rPr/>
        <w:t>valuation</w:t>
      </w:r>
      <w:r>
        <w:rPr>
          <w:spacing w:val="-13"/>
        </w:rPr>
        <w:t> </w:t>
      </w:r>
      <w:r>
        <w:rPr/>
        <w:t>base,</w:t>
      </w:r>
      <w:r>
        <w:rPr>
          <w:spacing w:val="-13"/>
        </w:rPr>
        <w:t> </w:t>
      </w:r>
      <w:r>
        <w:rPr/>
        <w:t>councils</w:t>
      </w:r>
      <w:r>
        <w:rPr>
          <w:spacing w:val="-16"/>
        </w:rPr>
        <w:t> </w:t>
      </w:r>
      <w:r>
        <w:rPr/>
        <w:t>must</w:t>
      </w:r>
      <w:r>
        <w:rPr>
          <w:spacing w:val="-13"/>
        </w:rPr>
        <w:t> </w:t>
      </w:r>
      <w:r>
        <w:rPr/>
        <w:t>decide</w:t>
      </w:r>
      <w:r>
        <w:rPr>
          <w:spacing w:val="-14"/>
        </w:rPr>
        <w:t> </w:t>
      </w:r>
      <w:r>
        <w:rPr/>
        <w:t>on</w:t>
      </w:r>
      <w:r>
        <w:rPr>
          <w:spacing w:val="-4"/>
        </w:rPr>
        <w:t> </w:t>
      </w:r>
      <w:r>
        <w:rPr/>
        <w:t>whether</w:t>
      </w:r>
      <w:r>
        <w:rPr>
          <w:spacing w:val="-14"/>
        </w:rPr>
        <w:t> </w:t>
      </w:r>
      <w:r>
        <w:rPr/>
        <w:t>they</w:t>
      </w:r>
      <w:r>
        <w:rPr>
          <w:spacing w:val="-16"/>
        </w:rPr>
        <w:t> </w:t>
      </w:r>
      <w:r>
        <w:rPr/>
        <w:t>wish</w:t>
      </w:r>
      <w:r>
        <w:rPr>
          <w:spacing w:val="-15"/>
        </w:rPr>
        <w:t> </w:t>
      </w:r>
      <w:r>
        <w:rPr/>
        <w:t>to</w:t>
      </w:r>
      <w:r>
        <w:rPr>
          <w:spacing w:val="-15"/>
        </w:rPr>
        <w:t> </w:t>
      </w:r>
      <w:r>
        <w:rPr/>
        <w:t>adopt</w:t>
      </w:r>
      <w:r>
        <w:rPr>
          <w:spacing w:val="-16"/>
        </w:rPr>
        <w:t> </w:t>
      </w:r>
      <w:r>
        <w:rPr/>
        <w:t>a</w:t>
      </w:r>
      <w:r>
        <w:rPr>
          <w:spacing w:val="-14"/>
        </w:rPr>
        <w:t> </w:t>
      </w:r>
      <w:r>
        <w:rPr/>
        <w:t>differential rating</w:t>
      </w:r>
      <w:r>
        <w:rPr>
          <w:spacing w:val="-2"/>
        </w:rPr>
        <w:t> </w:t>
      </w:r>
      <w:r>
        <w:rPr/>
        <w:t>system</w:t>
      </w:r>
      <w:r>
        <w:rPr>
          <w:spacing w:val="-3"/>
        </w:rPr>
        <w:t> </w:t>
      </w:r>
      <w:r>
        <w:rPr/>
        <w:t>(different</w:t>
      </w:r>
      <w:r>
        <w:rPr>
          <w:spacing w:val="-5"/>
        </w:rPr>
        <w:t> </w:t>
      </w:r>
      <w:r>
        <w:rPr/>
        <w:t>rates</w:t>
      </w:r>
      <w:r>
        <w:rPr>
          <w:spacing w:val="-1"/>
        </w:rPr>
        <w:t> </w:t>
      </w:r>
      <w:r>
        <w:rPr/>
        <w:t>in</w:t>
      </w:r>
      <w:r>
        <w:rPr>
          <w:spacing w:val="-5"/>
        </w:rPr>
        <w:t> </w:t>
      </w:r>
      <w:r>
        <w:rPr/>
        <w:t>the</w:t>
      </w:r>
      <w:r>
        <w:rPr>
          <w:spacing w:val="-3"/>
        </w:rPr>
        <w:t> </w:t>
      </w:r>
      <w:r>
        <w:rPr/>
        <w:t>dollar</w:t>
      </w:r>
      <w:r>
        <w:rPr>
          <w:spacing w:val="-3"/>
        </w:rPr>
        <w:t> </w:t>
      </w:r>
      <w:r>
        <w:rPr/>
        <w:t>for</w:t>
      </w:r>
      <w:r>
        <w:rPr>
          <w:spacing w:val="-3"/>
        </w:rPr>
        <w:t> </w:t>
      </w:r>
      <w:r>
        <w:rPr/>
        <w:t>different</w:t>
      </w:r>
      <w:r>
        <w:rPr>
          <w:spacing w:val="-2"/>
        </w:rPr>
        <w:t> </w:t>
      </w:r>
      <w:r>
        <w:rPr/>
        <w:t>property</w:t>
      </w:r>
      <w:r>
        <w:rPr>
          <w:spacing w:val="-3"/>
        </w:rPr>
        <w:t> </w:t>
      </w:r>
      <w:r>
        <w:rPr/>
        <w:t>categories)</w:t>
      </w:r>
      <w:r>
        <w:rPr>
          <w:spacing w:val="-3"/>
        </w:rPr>
        <w:t> </w:t>
      </w:r>
      <w:r>
        <w:rPr/>
        <w:t>or</w:t>
      </w:r>
      <w:r>
        <w:rPr>
          <w:spacing w:val="-2"/>
        </w:rPr>
        <w:t> </w:t>
      </w:r>
      <w:r>
        <w:rPr/>
        <w:t>a</w:t>
      </w:r>
      <w:r>
        <w:rPr>
          <w:spacing w:val="-5"/>
        </w:rPr>
        <w:t> </w:t>
      </w:r>
      <w:r>
        <w:rPr/>
        <w:t>uniform</w:t>
      </w:r>
      <w:r>
        <w:rPr>
          <w:spacing w:val="-3"/>
        </w:rPr>
        <w:t> </w:t>
      </w:r>
      <w:r>
        <w:rPr/>
        <w:t>rating system (same rate in the dollar). If a council was to choose the former, under the</w:t>
      </w:r>
      <w:r>
        <w:rPr>
          <w:spacing w:val="-3"/>
        </w:rPr>
        <w:t> </w:t>
      </w:r>
      <w:r>
        <w:rPr>
          <w:i/>
        </w:rPr>
        <w:t>Local</w:t>
      </w:r>
      <w:r>
        <w:rPr>
          <w:i/>
        </w:rPr>
        <w:t> Government Act 1989 </w:t>
      </w:r>
      <w:r>
        <w:rPr/>
        <w:t>it must adopt either of the CIV or NAV methods of rating.</w:t>
      </w:r>
    </w:p>
    <w:p>
      <w:pPr>
        <w:pStyle w:val="BodyText"/>
      </w:pPr>
    </w:p>
    <w:p>
      <w:pPr>
        <w:pStyle w:val="BodyText"/>
        <w:ind w:left="1440" w:right="1434"/>
        <w:jc w:val="both"/>
      </w:pPr>
      <w:r>
        <w:rPr/>
        <w:t>Maroondah</w:t>
      </w:r>
      <w:r>
        <w:rPr>
          <w:spacing w:val="80"/>
          <w:w w:val="150"/>
        </w:rPr>
        <w:t> </w:t>
      </w:r>
      <w:r>
        <w:rPr/>
        <w:t>City</w:t>
      </w:r>
      <w:r>
        <w:rPr>
          <w:spacing w:val="80"/>
          <w:w w:val="150"/>
        </w:rPr>
        <w:t> </w:t>
      </w:r>
      <w:r>
        <w:rPr/>
        <w:t>Council</w:t>
      </w:r>
      <w:r>
        <w:rPr>
          <w:spacing w:val="80"/>
          <w:w w:val="150"/>
        </w:rPr>
        <w:t> </w:t>
      </w:r>
      <w:r>
        <w:rPr/>
        <w:t>applies</w:t>
      </w:r>
      <w:r>
        <w:rPr>
          <w:spacing w:val="-1"/>
        </w:rPr>
        <w:t> </w:t>
      </w:r>
      <w:r>
        <w:rPr/>
        <w:t>Capital</w:t>
      </w:r>
      <w:r>
        <w:rPr>
          <w:spacing w:val="80"/>
          <w:w w:val="150"/>
        </w:rPr>
        <w:t> </w:t>
      </w:r>
      <w:r>
        <w:rPr/>
        <w:t>Improved</w:t>
      </w:r>
      <w:r>
        <w:rPr>
          <w:spacing w:val="80"/>
          <w:w w:val="150"/>
        </w:rPr>
        <w:t> </w:t>
      </w:r>
      <w:r>
        <w:rPr/>
        <w:t>Value</w:t>
      </w:r>
      <w:r>
        <w:rPr>
          <w:spacing w:val="80"/>
          <w:w w:val="150"/>
        </w:rPr>
        <w:t> </w:t>
      </w:r>
      <w:r>
        <w:rPr/>
        <w:t>(CIV)</w:t>
      </w:r>
      <w:r>
        <w:rPr>
          <w:spacing w:val="80"/>
          <w:w w:val="150"/>
        </w:rPr>
        <w:t> </w:t>
      </w:r>
      <w:r>
        <w:rPr/>
        <w:t>to</w:t>
      </w:r>
      <w:r>
        <w:rPr>
          <w:spacing w:val="80"/>
          <w:w w:val="150"/>
        </w:rPr>
        <w:t> </w:t>
      </w:r>
      <w:r>
        <w:rPr/>
        <w:t>all</w:t>
      </w:r>
      <w:r>
        <w:rPr>
          <w:spacing w:val="80"/>
          <w:w w:val="150"/>
        </w:rPr>
        <w:t> </w:t>
      </w:r>
      <w:r>
        <w:rPr/>
        <w:t>properties within</w:t>
      </w:r>
      <w:r>
        <w:rPr>
          <w:spacing w:val="-7"/>
        </w:rPr>
        <w:t> </w:t>
      </w:r>
      <w:r>
        <w:rPr/>
        <w:t>the</w:t>
      </w:r>
      <w:r>
        <w:rPr>
          <w:spacing w:val="-4"/>
        </w:rPr>
        <w:t> </w:t>
      </w:r>
      <w:r>
        <w:rPr/>
        <w:t>municipality</w:t>
      </w:r>
      <w:r>
        <w:rPr>
          <w:spacing w:val="-13"/>
        </w:rPr>
        <w:t> </w:t>
      </w:r>
      <w:r>
        <w:rPr/>
        <w:t>to</w:t>
      </w:r>
      <w:r>
        <w:rPr>
          <w:spacing w:val="-16"/>
        </w:rPr>
        <w:t> </w:t>
      </w:r>
      <w:r>
        <w:rPr/>
        <w:t>take</w:t>
      </w:r>
      <w:r>
        <w:rPr>
          <w:spacing w:val="-12"/>
        </w:rPr>
        <w:t> </w:t>
      </w:r>
      <w:r>
        <w:rPr/>
        <w:t>into</w:t>
      </w:r>
      <w:r>
        <w:rPr>
          <w:spacing w:val="-14"/>
        </w:rPr>
        <w:t> </w:t>
      </w:r>
      <w:r>
        <w:rPr/>
        <w:t>account</w:t>
      </w:r>
      <w:r>
        <w:rPr>
          <w:spacing w:val="-15"/>
        </w:rPr>
        <w:t> </w:t>
      </w:r>
      <w:r>
        <w:rPr/>
        <w:t>the</w:t>
      </w:r>
      <w:r>
        <w:rPr>
          <w:spacing w:val="-14"/>
        </w:rPr>
        <w:t> </w:t>
      </w:r>
      <w:r>
        <w:rPr/>
        <w:t>fully</w:t>
      </w:r>
      <w:r>
        <w:rPr>
          <w:spacing w:val="-15"/>
        </w:rPr>
        <w:t> </w:t>
      </w:r>
      <w:r>
        <w:rPr/>
        <w:t>developed</w:t>
      </w:r>
      <w:r>
        <w:rPr>
          <w:spacing w:val="-13"/>
        </w:rPr>
        <w:t> </w:t>
      </w:r>
      <w:r>
        <w:rPr/>
        <w:t>value</w:t>
      </w:r>
      <w:r>
        <w:rPr>
          <w:spacing w:val="-16"/>
        </w:rPr>
        <w:t> </w:t>
      </w:r>
      <w:r>
        <w:rPr/>
        <w:t>of</w:t>
      </w:r>
      <w:r>
        <w:rPr>
          <w:spacing w:val="-14"/>
        </w:rPr>
        <w:t> </w:t>
      </w:r>
      <w:r>
        <w:rPr/>
        <w:t>the</w:t>
      </w:r>
      <w:r>
        <w:rPr>
          <w:spacing w:val="-14"/>
        </w:rPr>
        <w:t> </w:t>
      </w:r>
      <w:r>
        <w:rPr/>
        <w:t>property.</w:t>
      </w:r>
      <w:r>
        <w:rPr>
          <w:spacing w:val="-15"/>
        </w:rPr>
        <w:t> </w:t>
      </w:r>
      <w:r>
        <w:rPr/>
        <w:t>This</w:t>
      </w:r>
      <w:r>
        <w:rPr>
          <w:spacing w:val="-13"/>
        </w:rPr>
        <w:t> </w:t>
      </w:r>
      <w:r>
        <w:rPr/>
        <w:t>basis of valuation</w:t>
      </w:r>
      <w:r>
        <w:rPr>
          <w:spacing w:val="-3"/>
        </w:rPr>
        <w:t> </w:t>
      </w:r>
      <w:r>
        <w:rPr/>
        <w:t>considers the total market value of the land plus buildings and other </w:t>
      </w:r>
      <w:r>
        <w:rPr>
          <w:spacing w:val="-2"/>
        </w:rPr>
        <w:t>improvements.</w:t>
      </w:r>
    </w:p>
    <w:p>
      <w:pPr>
        <w:pStyle w:val="BodyText"/>
      </w:pPr>
    </w:p>
    <w:p>
      <w:pPr>
        <w:pStyle w:val="Heading5"/>
      </w:pPr>
      <w:r>
        <w:rPr/>
        <w:t>Property</w:t>
      </w:r>
      <w:r>
        <w:rPr>
          <w:spacing w:val="-5"/>
        </w:rPr>
        <w:t> </w:t>
      </w:r>
      <w:r>
        <w:rPr>
          <w:spacing w:val="-2"/>
        </w:rPr>
        <w:t>Valuations</w:t>
      </w:r>
    </w:p>
    <w:p>
      <w:pPr>
        <w:pStyle w:val="BodyText"/>
        <w:spacing w:before="10"/>
        <w:rPr>
          <w:b/>
          <w:sz w:val="21"/>
        </w:rPr>
      </w:pPr>
    </w:p>
    <w:p>
      <w:pPr>
        <w:pStyle w:val="BodyText"/>
        <w:ind w:left="1440" w:right="1433"/>
        <w:jc w:val="both"/>
      </w:pPr>
      <w:r>
        <w:rPr/>
        <w:drawing>
          <wp:anchor distT="0" distB="0" distL="0" distR="0" allowOverlap="1" layoutInCell="1" locked="0" behindDoc="0" simplePos="0" relativeHeight="15736320">
            <wp:simplePos x="0" y="0"/>
            <wp:positionH relativeFrom="page">
              <wp:posOffset>0</wp:posOffset>
            </wp:positionH>
            <wp:positionV relativeFrom="paragraph">
              <wp:posOffset>1158213</wp:posOffset>
            </wp:positionV>
            <wp:extent cx="7560564" cy="101981"/>
            <wp:effectExtent l="0" t="0" r="0" b="0"/>
            <wp:wrapNone/>
            <wp:docPr id="29" name="image2.png"/>
            <wp:cNvGraphicFramePr>
              <a:graphicFrameLocks noChangeAspect="1"/>
            </wp:cNvGraphicFramePr>
            <a:graphic>
              <a:graphicData uri="http://schemas.openxmlformats.org/drawingml/2006/picture">
                <pic:pic>
                  <pic:nvPicPr>
                    <pic:cNvPr id="30" name="image2.png"/>
                    <pic:cNvPicPr/>
                  </pic:nvPicPr>
                  <pic:blipFill>
                    <a:blip r:embed="rId7" cstate="print"/>
                    <a:stretch>
                      <a:fillRect/>
                    </a:stretch>
                  </pic:blipFill>
                  <pic:spPr>
                    <a:xfrm>
                      <a:off x="0" y="0"/>
                      <a:ext cx="7560564" cy="101981"/>
                    </a:xfrm>
                    <a:prstGeom prst="rect">
                      <a:avLst/>
                    </a:prstGeom>
                  </pic:spPr>
                </pic:pic>
              </a:graphicData>
            </a:graphic>
          </wp:anchor>
        </w:drawing>
      </w:r>
      <w:r>
        <w:rPr/>
        <w:t>The</w:t>
      </w:r>
      <w:r>
        <w:rPr>
          <w:spacing w:val="-2"/>
        </w:rPr>
        <w:t> </w:t>
      </w:r>
      <w:r>
        <w:rPr>
          <w:i/>
        </w:rPr>
        <w:t>Valuation</w:t>
      </w:r>
      <w:r>
        <w:rPr>
          <w:i/>
          <w:spacing w:val="-1"/>
        </w:rPr>
        <w:t> </w:t>
      </w:r>
      <w:r>
        <w:rPr>
          <w:i/>
        </w:rPr>
        <w:t>of</w:t>
      </w:r>
      <w:r>
        <w:rPr>
          <w:i/>
          <w:spacing w:val="-2"/>
        </w:rPr>
        <w:t> </w:t>
      </w:r>
      <w:r>
        <w:rPr>
          <w:i/>
        </w:rPr>
        <w:t>Land</w:t>
      </w:r>
      <w:r>
        <w:rPr>
          <w:i/>
          <w:spacing w:val="-2"/>
        </w:rPr>
        <w:t> </w:t>
      </w:r>
      <w:r>
        <w:rPr>
          <w:i/>
        </w:rPr>
        <w:t>Act</w:t>
      </w:r>
      <w:r>
        <w:rPr>
          <w:i/>
          <w:spacing w:val="-1"/>
        </w:rPr>
        <w:t> </w:t>
      </w:r>
      <w:r>
        <w:rPr>
          <w:i/>
        </w:rPr>
        <w:t>1960</w:t>
      </w:r>
      <w:r>
        <w:rPr>
          <w:i/>
          <w:spacing w:val="-2"/>
        </w:rPr>
        <w:t> </w:t>
      </w:r>
      <w:r>
        <w:rPr/>
        <w:t>is</w:t>
      </w:r>
      <w:r>
        <w:rPr>
          <w:spacing w:val="-3"/>
        </w:rPr>
        <w:t> </w:t>
      </w:r>
      <w:r>
        <w:rPr/>
        <w:t>the</w:t>
      </w:r>
      <w:r>
        <w:rPr>
          <w:spacing w:val="-3"/>
        </w:rPr>
        <w:t> </w:t>
      </w:r>
      <w:r>
        <w:rPr/>
        <w:t>principle</w:t>
      </w:r>
      <w:r>
        <w:rPr>
          <w:spacing w:val="-5"/>
        </w:rPr>
        <w:t> </w:t>
      </w:r>
      <w:r>
        <w:rPr/>
        <w:t>legislation in</w:t>
      </w:r>
      <w:r>
        <w:rPr>
          <w:spacing w:val="-1"/>
        </w:rPr>
        <w:t> </w:t>
      </w:r>
      <w:r>
        <w:rPr/>
        <w:t>determining</w:t>
      </w:r>
      <w:r>
        <w:rPr>
          <w:spacing w:val="-1"/>
        </w:rPr>
        <w:t> </w:t>
      </w:r>
      <w:r>
        <w:rPr/>
        <w:t>property</w:t>
      </w:r>
      <w:r>
        <w:rPr>
          <w:spacing w:val="-3"/>
        </w:rPr>
        <w:t> </w:t>
      </w:r>
      <w:r>
        <w:rPr/>
        <w:t>valuations. Under the</w:t>
      </w:r>
      <w:r>
        <w:rPr>
          <w:spacing w:val="-1"/>
        </w:rPr>
        <w:t> </w:t>
      </w:r>
      <w:r>
        <w:rPr>
          <w:i/>
        </w:rPr>
        <w:t>Valuation of Land Act 1960</w:t>
      </w:r>
      <w:r>
        <w:rPr/>
        <w:t>, the Victorian</w:t>
      </w:r>
      <w:r>
        <w:rPr>
          <w:spacing w:val="-4"/>
        </w:rPr>
        <w:t> </w:t>
      </w:r>
      <w:r>
        <w:rPr/>
        <w:t>Valuer-General</w:t>
      </w:r>
      <w:r>
        <w:rPr>
          <w:spacing w:val="-2"/>
        </w:rPr>
        <w:t> </w:t>
      </w:r>
      <w:r>
        <w:rPr/>
        <w:t>conducts property valuations on an annual basis.</w:t>
      </w:r>
      <w:r>
        <w:rPr>
          <w:spacing w:val="-1"/>
        </w:rPr>
        <w:t> </w:t>
      </w:r>
      <w:r>
        <w:rPr/>
        <w:t>Maroondah City</w:t>
      </w:r>
      <w:r>
        <w:rPr>
          <w:spacing w:val="-4"/>
        </w:rPr>
        <w:t> </w:t>
      </w:r>
      <w:r>
        <w:rPr/>
        <w:t>Council applies a</w:t>
      </w:r>
      <w:r>
        <w:rPr>
          <w:spacing w:val="-1"/>
        </w:rPr>
        <w:t> </w:t>
      </w:r>
      <w:r>
        <w:rPr/>
        <w:t>Capital Improved</w:t>
      </w:r>
      <w:r>
        <w:rPr>
          <w:spacing w:val="-2"/>
        </w:rPr>
        <w:t> </w:t>
      </w:r>
      <w:r>
        <w:rPr/>
        <w:t>Value (CIV)</w:t>
      </w:r>
      <w:r>
        <w:rPr>
          <w:spacing w:val="-9"/>
        </w:rPr>
        <w:t> </w:t>
      </w:r>
      <w:r>
        <w:rPr/>
        <w:t>to</w:t>
      </w:r>
      <w:r>
        <w:rPr>
          <w:spacing w:val="-8"/>
        </w:rPr>
        <w:t> </w:t>
      </w:r>
      <w:r>
        <w:rPr/>
        <w:t>all</w:t>
      </w:r>
      <w:r>
        <w:rPr>
          <w:spacing w:val="-11"/>
        </w:rPr>
        <w:t> </w:t>
      </w:r>
      <w:r>
        <w:rPr/>
        <w:t>properties</w:t>
      </w:r>
      <w:r>
        <w:rPr>
          <w:spacing w:val="-8"/>
        </w:rPr>
        <w:t> </w:t>
      </w:r>
      <w:r>
        <w:rPr/>
        <w:t>within</w:t>
      </w:r>
      <w:r>
        <w:rPr>
          <w:spacing w:val="-10"/>
        </w:rPr>
        <w:t> </w:t>
      </w:r>
      <w:r>
        <w:rPr/>
        <w:t>the</w:t>
      </w:r>
      <w:r>
        <w:rPr>
          <w:spacing w:val="-8"/>
        </w:rPr>
        <w:t> </w:t>
      </w:r>
      <w:r>
        <w:rPr/>
        <w:t>municipality</w:t>
      </w:r>
      <w:r>
        <w:rPr>
          <w:spacing w:val="-2"/>
        </w:rPr>
        <w:t> </w:t>
      </w:r>
      <w:r>
        <w:rPr/>
        <w:t>to</w:t>
      </w:r>
      <w:r>
        <w:rPr>
          <w:spacing w:val="-10"/>
        </w:rPr>
        <w:t> </w:t>
      </w:r>
      <w:r>
        <w:rPr/>
        <w:t>take</w:t>
      </w:r>
      <w:r>
        <w:rPr>
          <w:spacing w:val="-8"/>
        </w:rPr>
        <w:t> </w:t>
      </w:r>
      <w:r>
        <w:rPr/>
        <w:t>into</w:t>
      </w:r>
      <w:r>
        <w:rPr>
          <w:spacing w:val="-8"/>
        </w:rPr>
        <w:t> </w:t>
      </w:r>
      <w:r>
        <w:rPr/>
        <w:t>account</w:t>
      </w:r>
      <w:r>
        <w:rPr>
          <w:spacing w:val="-8"/>
        </w:rPr>
        <w:t> </w:t>
      </w:r>
      <w:r>
        <w:rPr/>
        <w:t>the</w:t>
      </w:r>
      <w:r>
        <w:rPr>
          <w:spacing w:val="-8"/>
        </w:rPr>
        <w:t> </w:t>
      </w:r>
      <w:r>
        <w:rPr/>
        <w:t>full</w:t>
      </w:r>
      <w:r>
        <w:rPr>
          <w:spacing w:val="-11"/>
        </w:rPr>
        <w:t> </w:t>
      </w:r>
      <w:r>
        <w:rPr/>
        <w:t>development</w:t>
      </w:r>
      <w:r>
        <w:rPr>
          <w:spacing w:val="-8"/>
        </w:rPr>
        <w:t> </w:t>
      </w:r>
      <w:r>
        <w:rPr/>
        <w:t>value</w:t>
      </w:r>
      <w:r>
        <w:rPr>
          <w:spacing w:val="-8"/>
        </w:rPr>
        <w:t> </w:t>
      </w:r>
      <w:r>
        <w:rPr/>
        <w:t>of the</w:t>
      </w:r>
      <w:r>
        <w:rPr>
          <w:spacing w:val="-2"/>
        </w:rPr>
        <w:t> </w:t>
      </w:r>
      <w:r>
        <w:rPr/>
        <w:t>property.</w:t>
      </w:r>
      <w:r>
        <w:rPr>
          <w:spacing w:val="-1"/>
        </w:rPr>
        <w:t> </w:t>
      </w:r>
      <w:r>
        <w:rPr/>
        <w:t>This basis of valuation considers the</w:t>
      </w:r>
      <w:r>
        <w:rPr>
          <w:spacing w:val="-1"/>
        </w:rPr>
        <w:t> </w:t>
      </w:r>
      <w:r>
        <w:rPr/>
        <w:t>total market value of the land including buildings and other improvements.</w:t>
      </w:r>
    </w:p>
    <w:p>
      <w:pPr>
        <w:spacing w:after="0"/>
        <w:jc w:val="both"/>
        <w:sectPr>
          <w:pgSz w:w="11910" w:h="16840"/>
          <w:pgMar w:header="0" w:footer="662" w:top="580" w:bottom="860" w:left="0" w:right="0"/>
        </w:sectPr>
      </w:pPr>
    </w:p>
    <w:p>
      <w:pPr>
        <w:pStyle w:val="BodyText"/>
        <w:spacing w:before="73"/>
        <w:ind w:left="1440" w:right="1435"/>
        <w:jc w:val="both"/>
      </w:pPr>
      <w:r>
        <w:rPr/>
        <w:t>The</w:t>
      </w:r>
      <w:r>
        <w:rPr>
          <w:spacing w:val="-9"/>
        </w:rPr>
        <w:t> </w:t>
      </w:r>
      <w:r>
        <w:rPr/>
        <w:t>value</w:t>
      </w:r>
      <w:r>
        <w:rPr>
          <w:spacing w:val="-9"/>
        </w:rPr>
        <w:t> </w:t>
      </w:r>
      <w:r>
        <w:rPr/>
        <w:t>of</w:t>
      </w:r>
      <w:r>
        <w:rPr>
          <w:spacing w:val="-9"/>
        </w:rPr>
        <w:t> </w:t>
      </w:r>
      <w:r>
        <w:rPr/>
        <w:t>land</w:t>
      </w:r>
      <w:r>
        <w:rPr>
          <w:spacing w:val="-1"/>
        </w:rPr>
        <w:t> </w:t>
      </w:r>
      <w:r>
        <w:rPr/>
        <w:t>is</w:t>
      </w:r>
      <w:r>
        <w:rPr>
          <w:spacing w:val="-11"/>
        </w:rPr>
        <w:t> </w:t>
      </w:r>
      <w:r>
        <w:rPr/>
        <w:t>always</w:t>
      </w:r>
      <w:r>
        <w:rPr>
          <w:spacing w:val="-9"/>
        </w:rPr>
        <w:t> </w:t>
      </w:r>
      <w:r>
        <w:rPr/>
        <w:t>derived</w:t>
      </w:r>
      <w:r>
        <w:rPr>
          <w:spacing w:val="-4"/>
        </w:rPr>
        <w:t> </w:t>
      </w:r>
      <w:r>
        <w:rPr/>
        <w:t>by</w:t>
      </w:r>
      <w:r>
        <w:rPr>
          <w:spacing w:val="-11"/>
        </w:rPr>
        <w:t> </w:t>
      </w:r>
      <w:r>
        <w:rPr/>
        <w:t>the</w:t>
      </w:r>
      <w:r>
        <w:rPr>
          <w:spacing w:val="-10"/>
        </w:rPr>
        <w:t> </w:t>
      </w:r>
      <w:r>
        <w:rPr/>
        <w:t>principal</w:t>
      </w:r>
      <w:r>
        <w:rPr>
          <w:spacing w:val="-11"/>
        </w:rPr>
        <w:t> </w:t>
      </w:r>
      <w:r>
        <w:rPr/>
        <w:t>of</w:t>
      </w:r>
      <w:r>
        <w:rPr>
          <w:spacing w:val="-1"/>
        </w:rPr>
        <w:t> </w:t>
      </w:r>
      <w:r>
        <w:rPr/>
        <w:t>valuing</w:t>
      </w:r>
      <w:r>
        <w:rPr>
          <w:spacing w:val="-9"/>
        </w:rPr>
        <w:t> </w:t>
      </w:r>
      <w:r>
        <w:rPr/>
        <w:t>land</w:t>
      </w:r>
      <w:r>
        <w:rPr>
          <w:spacing w:val="-12"/>
        </w:rPr>
        <w:t> </w:t>
      </w:r>
      <w:r>
        <w:rPr/>
        <w:t>for</w:t>
      </w:r>
      <w:r>
        <w:rPr>
          <w:spacing w:val="-8"/>
        </w:rPr>
        <w:t> </w:t>
      </w:r>
      <w:r>
        <w:rPr/>
        <w:t>its</w:t>
      </w:r>
      <w:r>
        <w:rPr>
          <w:spacing w:val="-9"/>
        </w:rPr>
        <w:t> </w:t>
      </w:r>
      <w:r>
        <w:rPr/>
        <w:t>highest</w:t>
      </w:r>
      <w:r>
        <w:rPr>
          <w:spacing w:val="-7"/>
        </w:rPr>
        <w:t> </w:t>
      </w:r>
      <w:r>
        <w:rPr/>
        <w:t>and</w:t>
      </w:r>
      <w:r>
        <w:rPr>
          <w:spacing w:val="-12"/>
        </w:rPr>
        <w:t> </w:t>
      </w:r>
      <w:r>
        <w:rPr/>
        <w:t>best</w:t>
      </w:r>
      <w:r>
        <w:rPr>
          <w:spacing w:val="-9"/>
        </w:rPr>
        <w:t> </w:t>
      </w:r>
      <w:r>
        <w:rPr/>
        <w:t>use at the relevant time of valuation.</w:t>
      </w:r>
    </w:p>
    <w:p>
      <w:pPr>
        <w:pStyle w:val="BodyText"/>
        <w:spacing w:before="2"/>
      </w:pPr>
    </w:p>
    <w:p>
      <w:pPr>
        <w:pStyle w:val="BodyText"/>
        <w:ind w:left="1440" w:right="1434"/>
        <w:jc w:val="both"/>
      </w:pPr>
      <w:r>
        <w:rPr/>
        <w:t>Council</w:t>
      </w:r>
      <w:r>
        <w:rPr>
          <w:spacing w:val="35"/>
        </w:rPr>
        <w:t> </w:t>
      </w:r>
      <w:r>
        <w:rPr/>
        <w:t>needs</w:t>
      </w:r>
      <w:r>
        <w:rPr>
          <w:spacing w:val="36"/>
        </w:rPr>
        <w:t> </w:t>
      </w:r>
      <w:r>
        <w:rPr/>
        <w:t>to</w:t>
      </w:r>
      <w:r>
        <w:rPr>
          <w:spacing w:val="34"/>
        </w:rPr>
        <w:t> </w:t>
      </w:r>
      <w:r>
        <w:rPr/>
        <w:t>be</w:t>
      </w:r>
      <w:r>
        <w:rPr>
          <w:spacing w:val="36"/>
        </w:rPr>
        <w:t> </w:t>
      </w:r>
      <w:r>
        <w:rPr/>
        <w:t>mindful</w:t>
      </w:r>
      <w:r>
        <w:rPr>
          <w:spacing w:val="36"/>
        </w:rPr>
        <w:t> </w:t>
      </w:r>
      <w:r>
        <w:rPr/>
        <w:t>of</w:t>
      </w:r>
      <w:r>
        <w:rPr>
          <w:spacing w:val="36"/>
        </w:rPr>
        <w:t> </w:t>
      </w:r>
      <w:r>
        <w:rPr/>
        <w:t>the</w:t>
      </w:r>
      <w:r>
        <w:rPr>
          <w:spacing w:val="34"/>
        </w:rPr>
        <w:t> </w:t>
      </w:r>
      <w:r>
        <w:rPr/>
        <w:t>impacts</w:t>
      </w:r>
      <w:r>
        <w:rPr>
          <w:spacing w:val="36"/>
        </w:rPr>
        <w:t> </w:t>
      </w:r>
      <w:r>
        <w:rPr/>
        <w:t>of</w:t>
      </w:r>
      <w:r>
        <w:rPr>
          <w:spacing w:val="-4"/>
        </w:rPr>
        <w:t> </w:t>
      </w:r>
      <w:r>
        <w:rPr/>
        <w:t>revaluations</w:t>
      </w:r>
      <w:r>
        <w:rPr>
          <w:spacing w:val="38"/>
        </w:rPr>
        <w:t> </w:t>
      </w:r>
      <w:r>
        <w:rPr/>
        <w:t>on</w:t>
      </w:r>
      <w:r>
        <w:rPr>
          <w:spacing w:val="34"/>
        </w:rPr>
        <w:t> </w:t>
      </w:r>
      <w:r>
        <w:rPr/>
        <w:t>the</w:t>
      </w:r>
      <w:r>
        <w:rPr>
          <w:spacing w:val="34"/>
        </w:rPr>
        <w:t> </w:t>
      </w:r>
      <w:r>
        <w:rPr/>
        <w:t>various</w:t>
      </w:r>
      <w:r>
        <w:rPr>
          <w:spacing w:val="38"/>
        </w:rPr>
        <w:t> </w:t>
      </w:r>
      <w:r>
        <w:rPr/>
        <w:t>property</w:t>
      </w:r>
      <w:r>
        <w:rPr>
          <w:spacing w:val="33"/>
        </w:rPr>
        <w:t> </w:t>
      </w:r>
      <w:r>
        <w:rPr/>
        <w:t>types in</w:t>
      </w:r>
      <w:r>
        <w:rPr>
          <w:spacing w:val="-4"/>
        </w:rPr>
        <w:t> </w:t>
      </w:r>
      <w:r>
        <w:rPr/>
        <w:t>implementing the differential rating strategy outlined</w:t>
      </w:r>
      <w:r>
        <w:rPr>
          <w:spacing w:val="-2"/>
        </w:rPr>
        <w:t> </w:t>
      </w:r>
      <w:r>
        <w:rPr/>
        <w:t>in the previous section to ensure that rises</w:t>
      </w:r>
      <w:r>
        <w:rPr>
          <w:spacing w:val="-8"/>
        </w:rPr>
        <w:t> </w:t>
      </w:r>
      <w:r>
        <w:rPr/>
        <w:t>and</w:t>
      </w:r>
      <w:r>
        <w:rPr>
          <w:spacing w:val="-10"/>
        </w:rPr>
        <w:t> </w:t>
      </w:r>
      <w:r>
        <w:rPr/>
        <w:t>falls</w:t>
      </w:r>
      <w:r>
        <w:rPr>
          <w:spacing w:val="-11"/>
        </w:rPr>
        <w:t> </w:t>
      </w:r>
      <w:r>
        <w:rPr/>
        <w:t>in</w:t>
      </w:r>
      <w:r>
        <w:rPr>
          <w:spacing w:val="-4"/>
        </w:rPr>
        <w:t> </w:t>
      </w:r>
      <w:r>
        <w:rPr/>
        <w:t>council</w:t>
      </w:r>
      <w:r>
        <w:rPr>
          <w:spacing w:val="-13"/>
        </w:rPr>
        <w:t> </w:t>
      </w:r>
      <w:r>
        <w:rPr/>
        <w:t>rates</w:t>
      </w:r>
      <w:r>
        <w:rPr>
          <w:spacing w:val="-11"/>
        </w:rPr>
        <w:t> </w:t>
      </w:r>
      <w:r>
        <w:rPr/>
        <w:t>remain</w:t>
      </w:r>
      <w:r>
        <w:rPr>
          <w:spacing w:val="-12"/>
        </w:rPr>
        <w:t> </w:t>
      </w:r>
      <w:r>
        <w:rPr/>
        <w:t>affordable</w:t>
      </w:r>
      <w:r>
        <w:rPr>
          <w:spacing w:val="-12"/>
        </w:rPr>
        <w:t> </w:t>
      </w:r>
      <w:r>
        <w:rPr/>
        <w:t>and</w:t>
      </w:r>
      <w:r>
        <w:rPr>
          <w:spacing w:val="-12"/>
        </w:rPr>
        <w:t> </w:t>
      </w:r>
      <w:r>
        <w:rPr/>
        <w:t>that</w:t>
      </w:r>
      <w:r>
        <w:rPr>
          <w:spacing w:val="-11"/>
        </w:rPr>
        <w:t> </w:t>
      </w:r>
      <w:r>
        <w:rPr/>
        <w:t>rating</w:t>
      </w:r>
      <w:r>
        <w:rPr>
          <w:spacing w:val="-10"/>
        </w:rPr>
        <w:t> </w:t>
      </w:r>
      <w:r>
        <w:rPr/>
        <w:t>‘shocks’</w:t>
      </w:r>
      <w:r>
        <w:rPr>
          <w:spacing w:val="-2"/>
        </w:rPr>
        <w:t> </w:t>
      </w:r>
      <w:r>
        <w:rPr/>
        <w:t>are</w:t>
      </w:r>
      <w:r>
        <w:rPr>
          <w:spacing w:val="-12"/>
        </w:rPr>
        <w:t> </w:t>
      </w:r>
      <w:r>
        <w:rPr/>
        <w:t>mitigated</w:t>
      </w:r>
      <w:r>
        <w:rPr>
          <w:spacing w:val="-12"/>
        </w:rPr>
        <w:t> </w:t>
      </w:r>
      <w:r>
        <w:rPr/>
        <w:t>to</w:t>
      </w:r>
      <w:r>
        <w:rPr>
          <w:spacing w:val="-10"/>
        </w:rPr>
        <w:t> </w:t>
      </w:r>
      <w:r>
        <w:rPr/>
        <w:t>some </w:t>
      </w:r>
      <w:r>
        <w:rPr>
          <w:spacing w:val="-2"/>
        </w:rPr>
        <w:t>degree.</w:t>
      </w:r>
    </w:p>
    <w:p>
      <w:pPr>
        <w:pStyle w:val="BodyText"/>
      </w:pPr>
    </w:p>
    <w:p>
      <w:pPr>
        <w:pStyle w:val="Heading5"/>
      </w:pPr>
      <w:r>
        <w:rPr/>
        <w:t>Supplementary</w:t>
      </w:r>
      <w:r>
        <w:rPr>
          <w:spacing w:val="-6"/>
        </w:rPr>
        <w:t> </w:t>
      </w:r>
      <w:r>
        <w:rPr>
          <w:spacing w:val="-2"/>
        </w:rPr>
        <w:t>Valuations</w:t>
      </w:r>
    </w:p>
    <w:p>
      <w:pPr>
        <w:pStyle w:val="BodyText"/>
        <w:spacing w:before="9"/>
        <w:rPr>
          <w:b/>
          <w:sz w:val="21"/>
        </w:rPr>
      </w:pPr>
    </w:p>
    <w:p>
      <w:pPr>
        <w:pStyle w:val="BodyText"/>
        <w:spacing w:before="1"/>
        <w:ind w:left="1440" w:right="2247"/>
      </w:pPr>
      <w:r>
        <w:rPr/>
        <w:t>Supplementary</w:t>
      </w:r>
      <w:r>
        <w:rPr>
          <w:spacing w:val="-5"/>
        </w:rPr>
        <w:t> </w:t>
      </w:r>
      <w:r>
        <w:rPr/>
        <w:t>valuations</w:t>
      </w:r>
      <w:r>
        <w:rPr>
          <w:spacing w:val="-1"/>
        </w:rPr>
        <w:t> </w:t>
      </w:r>
      <w:r>
        <w:rPr/>
        <w:t>are</w:t>
      </w:r>
      <w:r>
        <w:rPr>
          <w:spacing w:val="-7"/>
        </w:rPr>
        <w:t> </w:t>
      </w:r>
      <w:r>
        <w:rPr/>
        <w:t>carried</w:t>
      </w:r>
      <w:r>
        <w:rPr>
          <w:spacing w:val="-5"/>
        </w:rPr>
        <w:t> </w:t>
      </w:r>
      <w:r>
        <w:rPr/>
        <w:t>out</w:t>
      </w:r>
      <w:r>
        <w:rPr>
          <w:spacing w:val="-5"/>
        </w:rPr>
        <w:t> </w:t>
      </w:r>
      <w:r>
        <w:rPr/>
        <w:t>for</w:t>
      </w:r>
      <w:r>
        <w:rPr>
          <w:spacing w:val="-3"/>
        </w:rPr>
        <w:t> </w:t>
      </w:r>
      <w:r>
        <w:rPr/>
        <w:t>a</w:t>
      </w:r>
      <w:r>
        <w:rPr>
          <w:spacing w:val="-2"/>
        </w:rPr>
        <w:t> </w:t>
      </w:r>
      <w:r>
        <w:rPr/>
        <w:t>variety</w:t>
      </w:r>
      <w:r>
        <w:rPr>
          <w:spacing w:val="-1"/>
        </w:rPr>
        <w:t> </w:t>
      </w:r>
      <w:r>
        <w:rPr/>
        <w:t>of</w:t>
      </w:r>
      <w:r>
        <w:rPr>
          <w:spacing w:val="-5"/>
        </w:rPr>
        <w:t> </w:t>
      </w:r>
      <w:r>
        <w:rPr/>
        <w:t>reasons</w:t>
      </w:r>
      <w:r>
        <w:rPr>
          <w:spacing w:val="-3"/>
        </w:rPr>
        <w:t> </w:t>
      </w:r>
      <w:r>
        <w:rPr/>
        <w:t>including</w:t>
      </w:r>
      <w:r>
        <w:rPr>
          <w:spacing w:val="-1"/>
        </w:rPr>
        <w:t> </w:t>
      </w:r>
      <w:r>
        <w:rPr/>
        <w:t>rezoning, subdivisions, amalgamations, renovations, new constructions, extensions, occupancy changes and corrections.</w:t>
      </w:r>
    </w:p>
    <w:p>
      <w:pPr>
        <w:pStyle w:val="BodyText"/>
      </w:pPr>
    </w:p>
    <w:p>
      <w:pPr>
        <w:pStyle w:val="BodyText"/>
        <w:spacing w:before="1"/>
        <w:ind w:left="1440" w:right="1342"/>
      </w:pPr>
      <w:r>
        <w:rPr/>
        <w:t>The Victorian Valuer-General is tasked with undertaking supplementary valuations and advises</w:t>
      </w:r>
      <w:r>
        <w:rPr>
          <w:spacing w:val="-3"/>
        </w:rPr>
        <w:t> </w:t>
      </w:r>
      <w:r>
        <w:rPr/>
        <w:t>when</w:t>
      </w:r>
      <w:r>
        <w:rPr>
          <w:spacing w:val="-1"/>
        </w:rPr>
        <w:t> </w:t>
      </w:r>
      <w:r>
        <w:rPr/>
        <w:t>a</w:t>
      </w:r>
      <w:r>
        <w:rPr>
          <w:spacing w:val="-7"/>
        </w:rPr>
        <w:t> </w:t>
      </w:r>
      <w:r>
        <w:rPr/>
        <w:t>valuation</w:t>
      </w:r>
      <w:r>
        <w:rPr>
          <w:spacing w:val="-3"/>
        </w:rPr>
        <w:t> </w:t>
      </w:r>
      <w:r>
        <w:rPr/>
        <w:t>and/</w:t>
      </w:r>
      <w:r>
        <w:rPr>
          <w:spacing w:val="-5"/>
        </w:rPr>
        <w:t> </w:t>
      </w:r>
      <w:r>
        <w:rPr/>
        <w:t>or</w:t>
      </w:r>
      <w:r>
        <w:rPr>
          <w:spacing w:val="-3"/>
        </w:rPr>
        <w:t> </w:t>
      </w:r>
      <w:r>
        <w:rPr/>
        <w:t>Australian</w:t>
      </w:r>
      <w:r>
        <w:rPr>
          <w:spacing w:val="-2"/>
        </w:rPr>
        <w:t> </w:t>
      </w:r>
      <w:r>
        <w:rPr/>
        <w:t>Valuation</w:t>
      </w:r>
      <w:r>
        <w:rPr>
          <w:spacing w:val="-2"/>
        </w:rPr>
        <w:t> </w:t>
      </w:r>
      <w:r>
        <w:rPr/>
        <w:t>Property</w:t>
      </w:r>
      <w:r>
        <w:rPr>
          <w:spacing w:val="-3"/>
        </w:rPr>
        <w:t> </w:t>
      </w:r>
      <w:r>
        <w:rPr/>
        <w:t>Classification</w:t>
      </w:r>
      <w:r>
        <w:rPr>
          <w:spacing w:val="-3"/>
        </w:rPr>
        <w:t> </w:t>
      </w:r>
      <w:r>
        <w:rPr/>
        <w:t>Code</w:t>
      </w:r>
      <w:r>
        <w:rPr>
          <w:spacing w:val="-3"/>
        </w:rPr>
        <w:t> </w:t>
      </w:r>
      <w:r>
        <w:rPr/>
        <w:t>(AVPCC) changes, typically on a monthly basis.</w:t>
      </w:r>
    </w:p>
    <w:p>
      <w:pPr>
        <w:pStyle w:val="BodyText"/>
      </w:pPr>
    </w:p>
    <w:p>
      <w:pPr>
        <w:pStyle w:val="BodyText"/>
        <w:ind w:left="1440" w:right="1432"/>
        <w:jc w:val="both"/>
        <w:rPr>
          <w:i/>
        </w:rPr>
      </w:pPr>
      <w:r>
        <w:rPr/>
        <w:t>Supplementary</w:t>
      </w:r>
      <w:r>
        <w:rPr>
          <w:spacing w:val="40"/>
        </w:rPr>
        <w:t> </w:t>
      </w:r>
      <w:r>
        <w:rPr/>
        <w:t>valuations</w:t>
      </w:r>
      <w:r>
        <w:rPr>
          <w:spacing w:val="40"/>
        </w:rPr>
        <w:t> </w:t>
      </w:r>
      <w:r>
        <w:rPr/>
        <w:t>bring</w:t>
      </w:r>
      <w:r>
        <w:rPr>
          <w:spacing w:val="40"/>
        </w:rPr>
        <w:t> </w:t>
      </w:r>
      <w:r>
        <w:rPr/>
        <w:t>the</w:t>
      </w:r>
      <w:r>
        <w:rPr>
          <w:spacing w:val="-3"/>
        </w:rPr>
        <w:t> </w:t>
      </w:r>
      <w:r>
        <w:rPr/>
        <w:t>value</w:t>
      </w:r>
      <w:r>
        <w:rPr>
          <w:spacing w:val="40"/>
        </w:rPr>
        <w:t> </w:t>
      </w:r>
      <w:r>
        <w:rPr/>
        <w:t>of</w:t>
      </w:r>
      <w:r>
        <w:rPr>
          <w:spacing w:val="40"/>
        </w:rPr>
        <w:t> </w:t>
      </w:r>
      <w:r>
        <w:rPr/>
        <w:t>the</w:t>
      </w:r>
      <w:r>
        <w:rPr>
          <w:spacing w:val="40"/>
        </w:rPr>
        <w:t> </w:t>
      </w:r>
      <w:r>
        <w:rPr/>
        <w:t>affected</w:t>
      </w:r>
      <w:r>
        <w:rPr>
          <w:spacing w:val="40"/>
        </w:rPr>
        <w:t> </w:t>
      </w:r>
      <w:r>
        <w:rPr/>
        <w:t>property</w:t>
      </w:r>
      <w:r>
        <w:rPr>
          <w:spacing w:val="40"/>
        </w:rPr>
        <w:t> </w:t>
      </w:r>
      <w:r>
        <w:rPr/>
        <w:t>into</w:t>
      </w:r>
      <w:r>
        <w:rPr>
          <w:spacing w:val="40"/>
        </w:rPr>
        <w:t> </w:t>
      </w:r>
      <w:r>
        <w:rPr/>
        <w:t>line</w:t>
      </w:r>
      <w:r>
        <w:rPr>
          <w:spacing w:val="40"/>
        </w:rPr>
        <w:t> </w:t>
      </w:r>
      <w:r>
        <w:rPr/>
        <w:t>with</w:t>
      </w:r>
      <w:r>
        <w:rPr>
          <w:spacing w:val="40"/>
        </w:rPr>
        <w:t> </w:t>
      </w:r>
      <w:r>
        <w:rPr/>
        <w:t>the general</w:t>
      </w:r>
      <w:r>
        <w:rPr>
          <w:spacing w:val="-2"/>
        </w:rPr>
        <w:t> </w:t>
      </w:r>
      <w:r>
        <w:rPr/>
        <w:t>valuation</w:t>
      </w:r>
      <w:r>
        <w:rPr>
          <w:spacing w:val="-1"/>
        </w:rPr>
        <w:t> </w:t>
      </w:r>
      <w:r>
        <w:rPr/>
        <w:t>of other properties within the municipality.</w:t>
      </w:r>
      <w:r>
        <w:rPr>
          <w:spacing w:val="-4"/>
        </w:rPr>
        <w:t> </w:t>
      </w:r>
      <w:r>
        <w:rPr/>
        <w:t>Objections to supplementary valuations can be lodged in accordance with Part 3 of the </w:t>
      </w:r>
      <w:r>
        <w:rPr>
          <w:i/>
        </w:rPr>
        <w:t>Valuation of Land Act 1960.</w:t>
      </w:r>
    </w:p>
    <w:p>
      <w:pPr>
        <w:pStyle w:val="BodyText"/>
        <w:spacing w:before="10"/>
        <w:rPr>
          <w:i/>
          <w:sz w:val="21"/>
        </w:rPr>
      </w:pPr>
    </w:p>
    <w:p>
      <w:pPr>
        <w:pStyle w:val="BodyText"/>
        <w:ind w:left="1440" w:right="1342"/>
      </w:pPr>
      <w:r>
        <w:rPr/>
        <w:t>Supplementary</w:t>
      </w:r>
      <w:r>
        <w:rPr>
          <w:spacing w:val="-5"/>
        </w:rPr>
        <w:t> </w:t>
      </w:r>
      <w:r>
        <w:rPr/>
        <w:t>valuations</w:t>
      </w:r>
      <w:r>
        <w:rPr>
          <w:spacing w:val="-1"/>
        </w:rPr>
        <w:t> </w:t>
      </w:r>
      <w:r>
        <w:rPr/>
        <w:t>begin</w:t>
      </w:r>
      <w:r>
        <w:rPr>
          <w:spacing w:val="-2"/>
        </w:rPr>
        <w:t> </w:t>
      </w:r>
      <w:r>
        <w:rPr/>
        <w:t>in</w:t>
      </w:r>
      <w:r>
        <w:rPr>
          <w:spacing w:val="-3"/>
        </w:rPr>
        <w:t> </w:t>
      </w:r>
      <w:r>
        <w:rPr/>
        <w:t>July</w:t>
      </w:r>
      <w:r>
        <w:rPr>
          <w:spacing w:val="-5"/>
        </w:rPr>
        <w:t> </w:t>
      </w:r>
      <w:r>
        <w:rPr/>
        <w:t>and</w:t>
      </w:r>
      <w:r>
        <w:rPr>
          <w:spacing w:val="-2"/>
        </w:rPr>
        <w:t> </w:t>
      </w:r>
      <w:r>
        <w:rPr/>
        <w:t>are</w:t>
      </w:r>
      <w:r>
        <w:rPr>
          <w:spacing w:val="-5"/>
        </w:rPr>
        <w:t> </w:t>
      </w:r>
      <w:r>
        <w:rPr/>
        <w:t>concluded</w:t>
      </w:r>
      <w:r>
        <w:rPr>
          <w:spacing w:val="-2"/>
        </w:rPr>
        <w:t> </w:t>
      </w:r>
      <w:r>
        <w:rPr/>
        <w:t>in</w:t>
      </w:r>
      <w:r>
        <w:rPr>
          <w:spacing w:val="-1"/>
        </w:rPr>
        <w:t> </w:t>
      </w:r>
      <w:r>
        <w:rPr/>
        <w:t>March</w:t>
      </w:r>
      <w:r>
        <w:rPr>
          <w:spacing w:val="-2"/>
        </w:rPr>
        <w:t> </w:t>
      </w:r>
      <w:r>
        <w:rPr/>
        <w:t>each</w:t>
      </w:r>
      <w:r>
        <w:rPr>
          <w:spacing w:val="-5"/>
        </w:rPr>
        <w:t> </w:t>
      </w:r>
      <w:r>
        <w:rPr/>
        <w:t>financial</w:t>
      </w:r>
      <w:r>
        <w:rPr>
          <w:spacing w:val="-3"/>
        </w:rPr>
        <w:t> </w:t>
      </w:r>
      <w:r>
        <w:rPr/>
        <w:t>year</w:t>
      </w:r>
      <w:r>
        <w:rPr>
          <w:spacing w:val="-3"/>
        </w:rPr>
        <w:t> </w:t>
      </w:r>
      <w:r>
        <w:rPr/>
        <w:t>to allow the Victorian Valuer-General adequate time to prepare the annual revaluation.</w:t>
      </w:r>
    </w:p>
    <w:p>
      <w:pPr>
        <w:pStyle w:val="BodyText"/>
        <w:spacing w:before="2"/>
      </w:pPr>
    </w:p>
    <w:p>
      <w:pPr>
        <w:pStyle w:val="Heading5"/>
        <w:jc w:val="left"/>
      </w:pPr>
      <w:r>
        <w:rPr/>
        <w:t>Objections</w:t>
      </w:r>
      <w:r>
        <w:rPr>
          <w:spacing w:val="-4"/>
        </w:rPr>
        <w:t> </w:t>
      </w:r>
      <w:r>
        <w:rPr/>
        <w:t>to</w:t>
      </w:r>
      <w:r>
        <w:rPr>
          <w:spacing w:val="-5"/>
        </w:rPr>
        <w:t> </w:t>
      </w:r>
      <w:r>
        <w:rPr/>
        <w:t>property</w:t>
      </w:r>
      <w:r>
        <w:rPr>
          <w:spacing w:val="-4"/>
        </w:rPr>
        <w:t> </w:t>
      </w:r>
      <w:r>
        <w:rPr>
          <w:spacing w:val="-2"/>
        </w:rPr>
        <w:t>valuations</w:t>
      </w:r>
    </w:p>
    <w:p>
      <w:pPr>
        <w:pStyle w:val="BodyText"/>
        <w:spacing w:before="10"/>
        <w:rPr>
          <w:b/>
          <w:sz w:val="21"/>
        </w:rPr>
      </w:pPr>
    </w:p>
    <w:p>
      <w:pPr>
        <w:pStyle w:val="BodyText"/>
        <w:ind w:left="1440" w:right="1434"/>
        <w:jc w:val="both"/>
      </w:pPr>
      <w:r>
        <w:rPr/>
        <w:t>Part 3 of the</w:t>
      </w:r>
      <w:r>
        <w:rPr>
          <w:spacing w:val="-2"/>
        </w:rPr>
        <w:t> </w:t>
      </w:r>
      <w:r>
        <w:rPr>
          <w:i/>
        </w:rPr>
        <w:t>Valuation of Land Act 1960</w:t>
      </w:r>
      <w:r>
        <w:rPr>
          <w:i/>
          <w:spacing w:val="-2"/>
        </w:rPr>
        <w:t> </w:t>
      </w:r>
      <w:r>
        <w:rPr/>
        <w:t>provides</w:t>
      </w:r>
      <w:r>
        <w:rPr>
          <w:spacing w:val="-1"/>
        </w:rPr>
        <w:t> </w:t>
      </w:r>
      <w:r>
        <w:rPr/>
        <w:t>that a property owner may lodge an objection</w:t>
      </w:r>
      <w:r>
        <w:rPr>
          <w:spacing w:val="-16"/>
        </w:rPr>
        <w:t> </w:t>
      </w:r>
      <w:r>
        <w:rPr/>
        <w:t>against</w:t>
      </w:r>
      <w:r>
        <w:rPr>
          <w:spacing w:val="-2"/>
        </w:rPr>
        <w:t> </w:t>
      </w:r>
      <w:r>
        <w:rPr/>
        <w:t>the</w:t>
      </w:r>
      <w:r>
        <w:rPr>
          <w:spacing w:val="-15"/>
        </w:rPr>
        <w:t> </w:t>
      </w:r>
      <w:r>
        <w:rPr/>
        <w:t>valuation</w:t>
      </w:r>
      <w:r>
        <w:rPr>
          <w:spacing w:val="-14"/>
        </w:rPr>
        <w:t> </w:t>
      </w:r>
      <w:r>
        <w:rPr/>
        <w:t>of</w:t>
      </w:r>
      <w:r>
        <w:rPr>
          <w:spacing w:val="-16"/>
        </w:rPr>
        <w:t> </w:t>
      </w:r>
      <w:r>
        <w:rPr/>
        <w:t>a</w:t>
      </w:r>
      <w:r>
        <w:rPr>
          <w:spacing w:val="-15"/>
        </w:rPr>
        <w:t> </w:t>
      </w:r>
      <w:r>
        <w:rPr/>
        <w:t>property</w:t>
      </w:r>
      <w:r>
        <w:rPr>
          <w:spacing w:val="-15"/>
        </w:rPr>
        <w:t> </w:t>
      </w:r>
      <w:r>
        <w:rPr/>
        <w:t>or</w:t>
      </w:r>
      <w:r>
        <w:rPr>
          <w:spacing w:val="-16"/>
        </w:rPr>
        <w:t> </w:t>
      </w:r>
      <w:r>
        <w:rPr/>
        <w:t>the</w:t>
      </w:r>
      <w:r>
        <w:rPr>
          <w:spacing w:val="-14"/>
        </w:rPr>
        <w:t> </w:t>
      </w:r>
      <w:r>
        <w:rPr/>
        <w:t>Australian</w:t>
      </w:r>
      <w:r>
        <w:rPr>
          <w:spacing w:val="-15"/>
        </w:rPr>
        <w:t> </w:t>
      </w:r>
      <w:r>
        <w:rPr/>
        <w:t>Valuation</w:t>
      </w:r>
      <w:r>
        <w:rPr>
          <w:spacing w:val="-2"/>
        </w:rPr>
        <w:t> </w:t>
      </w:r>
      <w:r>
        <w:rPr/>
        <w:t>Property</w:t>
      </w:r>
      <w:r>
        <w:rPr>
          <w:spacing w:val="-16"/>
        </w:rPr>
        <w:t> </w:t>
      </w:r>
      <w:r>
        <w:rPr/>
        <w:t>Classification Code</w:t>
      </w:r>
      <w:r>
        <w:rPr>
          <w:spacing w:val="40"/>
        </w:rPr>
        <w:t> </w:t>
      </w:r>
      <w:r>
        <w:rPr/>
        <w:t>(AVPCC)</w:t>
      </w:r>
      <w:r>
        <w:rPr>
          <w:spacing w:val="40"/>
        </w:rPr>
        <w:t> </w:t>
      </w:r>
      <w:r>
        <w:rPr/>
        <w:t>within</w:t>
      </w:r>
      <w:r>
        <w:rPr>
          <w:spacing w:val="40"/>
        </w:rPr>
        <w:t> </w:t>
      </w:r>
      <w:r>
        <w:rPr/>
        <w:t>two</w:t>
      </w:r>
      <w:r>
        <w:rPr>
          <w:spacing w:val="40"/>
        </w:rPr>
        <w:t> </w:t>
      </w:r>
      <w:r>
        <w:rPr/>
        <w:t>months</w:t>
      </w:r>
      <w:r>
        <w:rPr>
          <w:spacing w:val="-1"/>
        </w:rPr>
        <w:t> </w:t>
      </w:r>
      <w:r>
        <w:rPr/>
        <w:t>of</w:t>
      </w:r>
      <w:r>
        <w:rPr>
          <w:spacing w:val="40"/>
        </w:rPr>
        <w:t> </w:t>
      </w:r>
      <w:r>
        <w:rPr/>
        <w:t>the</w:t>
      </w:r>
      <w:r>
        <w:rPr>
          <w:spacing w:val="40"/>
        </w:rPr>
        <w:t> </w:t>
      </w:r>
      <w:r>
        <w:rPr/>
        <w:t>issue</w:t>
      </w:r>
      <w:r>
        <w:rPr>
          <w:spacing w:val="40"/>
        </w:rPr>
        <w:t> </w:t>
      </w:r>
      <w:r>
        <w:rPr/>
        <w:t>of</w:t>
      </w:r>
      <w:r>
        <w:rPr>
          <w:spacing w:val="40"/>
        </w:rPr>
        <w:t> </w:t>
      </w:r>
      <w:r>
        <w:rPr/>
        <w:t>the</w:t>
      </w:r>
      <w:r>
        <w:rPr>
          <w:spacing w:val="40"/>
        </w:rPr>
        <w:t> </w:t>
      </w:r>
      <w:r>
        <w:rPr/>
        <w:t>original</w:t>
      </w:r>
      <w:r>
        <w:rPr>
          <w:spacing w:val="40"/>
        </w:rPr>
        <w:t> </w:t>
      </w:r>
      <w:r>
        <w:rPr/>
        <w:t>or</w:t>
      </w:r>
      <w:r>
        <w:rPr>
          <w:spacing w:val="40"/>
        </w:rPr>
        <w:t> </w:t>
      </w:r>
      <w:r>
        <w:rPr/>
        <w:t>amended (supplementary)</w:t>
      </w:r>
      <w:r>
        <w:rPr>
          <w:spacing w:val="-2"/>
        </w:rPr>
        <w:t> </w:t>
      </w:r>
      <w:r>
        <w:rPr/>
        <w:t>Rates</w:t>
      </w:r>
      <w:r>
        <w:rPr>
          <w:spacing w:val="-11"/>
        </w:rPr>
        <w:t> </w:t>
      </w:r>
      <w:r>
        <w:rPr/>
        <w:t>and</w:t>
      </w:r>
      <w:r>
        <w:rPr>
          <w:spacing w:val="-11"/>
        </w:rPr>
        <w:t> </w:t>
      </w:r>
      <w:r>
        <w:rPr/>
        <w:t>Valuation</w:t>
      </w:r>
      <w:r>
        <w:rPr>
          <w:spacing w:val="-11"/>
        </w:rPr>
        <w:t> </w:t>
      </w:r>
      <w:r>
        <w:rPr/>
        <w:t>Notice</w:t>
      </w:r>
      <w:r>
        <w:rPr>
          <w:spacing w:val="-14"/>
        </w:rPr>
        <w:t> </w:t>
      </w:r>
      <w:r>
        <w:rPr/>
        <w:t>(Rates</w:t>
      </w:r>
      <w:r>
        <w:rPr>
          <w:spacing w:val="-11"/>
        </w:rPr>
        <w:t> </w:t>
      </w:r>
      <w:r>
        <w:rPr/>
        <w:t>Notice),</w:t>
      </w:r>
      <w:r>
        <w:rPr>
          <w:spacing w:val="-15"/>
        </w:rPr>
        <w:t> </w:t>
      </w:r>
      <w:r>
        <w:rPr/>
        <w:t>or</w:t>
      </w:r>
      <w:r>
        <w:rPr>
          <w:spacing w:val="-2"/>
        </w:rPr>
        <w:t> </w:t>
      </w:r>
      <w:r>
        <w:rPr/>
        <w:t>within</w:t>
      </w:r>
      <w:r>
        <w:rPr>
          <w:spacing w:val="-12"/>
        </w:rPr>
        <w:t> </w:t>
      </w:r>
      <w:r>
        <w:rPr/>
        <w:t>four</w:t>
      </w:r>
      <w:r>
        <w:rPr>
          <w:spacing w:val="-16"/>
        </w:rPr>
        <w:t> </w:t>
      </w:r>
      <w:r>
        <w:rPr/>
        <w:t>months</w:t>
      </w:r>
      <w:r>
        <w:rPr>
          <w:spacing w:val="-12"/>
        </w:rPr>
        <w:t> </w:t>
      </w:r>
      <w:r>
        <w:rPr/>
        <w:t>if</w:t>
      </w:r>
      <w:r>
        <w:rPr>
          <w:spacing w:val="-12"/>
        </w:rPr>
        <w:t> </w:t>
      </w:r>
      <w:r>
        <w:rPr/>
        <w:t>the</w:t>
      </w:r>
      <w:r>
        <w:rPr>
          <w:spacing w:val="-14"/>
        </w:rPr>
        <w:t> </w:t>
      </w:r>
      <w:r>
        <w:rPr/>
        <w:t>notice was not originally issued to the occupier of the land.</w:t>
      </w:r>
    </w:p>
    <w:p>
      <w:pPr>
        <w:pStyle w:val="BodyText"/>
        <w:spacing w:before="1"/>
      </w:pPr>
    </w:p>
    <w:p>
      <w:pPr>
        <w:pStyle w:val="BodyText"/>
        <w:ind w:left="1440" w:right="1431"/>
        <w:jc w:val="both"/>
      </w:pPr>
      <w:r>
        <w:rPr/>
        <w:t>A property owner</w:t>
      </w:r>
      <w:r>
        <w:rPr>
          <w:spacing w:val="-1"/>
        </w:rPr>
        <w:t> </w:t>
      </w:r>
      <w:r>
        <w:rPr/>
        <w:t>must lodge their objection</w:t>
      </w:r>
      <w:r>
        <w:rPr>
          <w:spacing w:val="-1"/>
        </w:rPr>
        <w:t> </w:t>
      </w:r>
      <w:r>
        <w:rPr/>
        <w:t>to the</w:t>
      </w:r>
      <w:r>
        <w:rPr>
          <w:spacing w:val="-1"/>
        </w:rPr>
        <w:t> </w:t>
      </w:r>
      <w:r>
        <w:rPr/>
        <w:t>valuation or the</w:t>
      </w:r>
      <w:r>
        <w:rPr>
          <w:spacing w:val="-1"/>
        </w:rPr>
        <w:t> </w:t>
      </w:r>
      <w:r>
        <w:rPr/>
        <w:t>AVPCC using the Victoria State Government </w:t>
      </w:r>
      <w:r>
        <w:rPr>
          <w:i/>
        </w:rPr>
        <w:t>Object to Rating Valuation </w:t>
      </w:r>
      <w:r>
        <w:rPr/>
        <w:t>portal.</w:t>
      </w:r>
      <w:r>
        <w:rPr>
          <w:spacing w:val="-2"/>
        </w:rPr>
        <w:t> </w:t>
      </w:r>
      <w:r>
        <w:rPr/>
        <w:t>Property owners also</w:t>
      </w:r>
      <w:r>
        <w:rPr>
          <w:spacing w:val="-3"/>
        </w:rPr>
        <w:t> </w:t>
      </w:r>
      <w:r>
        <w:rPr/>
        <w:t>have the ability to object to the</w:t>
      </w:r>
      <w:r>
        <w:rPr>
          <w:spacing w:val="-2"/>
        </w:rPr>
        <w:t> </w:t>
      </w:r>
      <w:r>
        <w:rPr/>
        <w:t>site valuations on receipt of their Land Tax Assessment.</w:t>
      </w:r>
      <w:r>
        <w:rPr>
          <w:spacing w:val="-3"/>
        </w:rPr>
        <w:t> </w:t>
      </w:r>
      <w:r>
        <w:rPr/>
        <w:t>Property owners can appeal</w:t>
      </w:r>
      <w:r>
        <w:rPr>
          <w:spacing w:val="-5"/>
        </w:rPr>
        <w:t> </w:t>
      </w:r>
      <w:r>
        <w:rPr/>
        <w:t>their</w:t>
      </w:r>
      <w:r>
        <w:rPr>
          <w:spacing w:val="-5"/>
        </w:rPr>
        <w:t> </w:t>
      </w:r>
      <w:r>
        <w:rPr/>
        <w:t>land</w:t>
      </w:r>
      <w:r>
        <w:rPr>
          <w:spacing w:val="-5"/>
        </w:rPr>
        <w:t> </w:t>
      </w:r>
      <w:r>
        <w:rPr/>
        <w:t>valuation</w:t>
      </w:r>
      <w:r>
        <w:rPr>
          <w:spacing w:val="-5"/>
        </w:rPr>
        <w:t> </w:t>
      </w:r>
      <w:r>
        <w:rPr/>
        <w:t>within</w:t>
      </w:r>
      <w:r>
        <w:rPr>
          <w:spacing w:val="-3"/>
        </w:rPr>
        <w:t> </w:t>
      </w:r>
      <w:r>
        <w:rPr/>
        <w:t>two</w:t>
      </w:r>
      <w:r>
        <w:rPr>
          <w:spacing w:val="-7"/>
        </w:rPr>
        <w:t> </w:t>
      </w:r>
      <w:r>
        <w:rPr/>
        <w:t>months</w:t>
      </w:r>
      <w:r>
        <w:rPr>
          <w:spacing w:val="-5"/>
        </w:rPr>
        <w:t> </w:t>
      </w:r>
      <w:r>
        <w:rPr/>
        <w:t>of</w:t>
      </w:r>
      <w:r>
        <w:rPr>
          <w:spacing w:val="-5"/>
        </w:rPr>
        <w:t> </w:t>
      </w:r>
      <w:r>
        <w:rPr/>
        <w:t>receipt</w:t>
      </w:r>
      <w:r>
        <w:rPr>
          <w:spacing w:val="-3"/>
        </w:rPr>
        <w:t> </w:t>
      </w:r>
      <w:r>
        <w:rPr/>
        <w:t>of</w:t>
      </w:r>
      <w:r>
        <w:rPr>
          <w:spacing w:val="-7"/>
        </w:rPr>
        <w:t> </w:t>
      </w:r>
      <w:r>
        <w:rPr/>
        <w:t>their</w:t>
      </w:r>
      <w:r>
        <w:rPr>
          <w:spacing w:val="-5"/>
        </w:rPr>
        <w:t> </w:t>
      </w:r>
      <w:r>
        <w:rPr/>
        <w:t>Council</w:t>
      </w:r>
      <w:r>
        <w:rPr>
          <w:spacing w:val="-8"/>
        </w:rPr>
        <w:t> </w:t>
      </w:r>
      <w:r>
        <w:rPr/>
        <w:t>Rate</w:t>
      </w:r>
      <w:r>
        <w:rPr>
          <w:spacing w:val="-7"/>
        </w:rPr>
        <w:t> </w:t>
      </w:r>
      <w:r>
        <w:rPr/>
        <w:t>Notice</w:t>
      </w:r>
      <w:r>
        <w:rPr>
          <w:spacing w:val="-5"/>
        </w:rPr>
        <w:t> </w:t>
      </w:r>
      <w:r>
        <w:rPr/>
        <w:t>(via</w:t>
      </w:r>
      <w:r>
        <w:rPr>
          <w:spacing w:val="-3"/>
        </w:rPr>
        <w:t> </w:t>
      </w:r>
      <w:r>
        <w:rPr/>
        <w:t>State Government portal) or within two months of receipt of their Land</w:t>
      </w:r>
      <w:r>
        <w:rPr>
          <w:spacing w:val="-2"/>
        </w:rPr>
        <w:t> </w:t>
      </w:r>
      <w:r>
        <w:rPr/>
        <w:t>Tax Assessment (via the State Revenue Office).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r>
        <w:rPr/>
        <w:drawing>
          <wp:anchor distT="0" distB="0" distL="0" distR="0" allowOverlap="1" layoutInCell="1" locked="0" behindDoc="0" simplePos="0" relativeHeight="16">
            <wp:simplePos x="0" y="0"/>
            <wp:positionH relativeFrom="page">
              <wp:posOffset>27432</wp:posOffset>
            </wp:positionH>
            <wp:positionV relativeFrom="paragraph">
              <wp:posOffset>153023</wp:posOffset>
            </wp:positionV>
            <wp:extent cx="7378567" cy="97440"/>
            <wp:effectExtent l="0" t="0" r="0" b="0"/>
            <wp:wrapTopAndBottom/>
            <wp:docPr id="31" name="image4.png"/>
            <wp:cNvGraphicFramePr>
              <a:graphicFrameLocks noChangeAspect="1"/>
            </wp:cNvGraphicFramePr>
            <a:graphic>
              <a:graphicData uri="http://schemas.openxmlformats.org/drawingml/2006/picture">
                <pic:pic>
                  <pic:nvPicPr>
                    <pic:cNvPr id="32"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8"/>
        </w:rPr>
        <w:sectPr>
          <w:pgSz w:w="11910" w:h="16840"/>
          <w:pgMar w:header="0" w:footer="662" w:top="1600" w:bottom="860" w:left="0" w:right="0"/>
        </w:sectPr>
      </w:pPr>
    </w:p>
    <w:p>
      <w:pPr>
        <w:pStyle w:val="BodyText"/>
        <w:rPr>
          <w:sz w:val="20"/>
        </w:rPr>
      </w:pPr>
      <w:r>
        <w:rPr/>
        <w:drawing>
          <wp:anchor distT="0" distB="0" distL="0" distR="0" allowOverlap="1" layoutInCell="1" locked="0" behindDoc="0" simplePos="0" relativeHeight="15737856">
            <wp:simplePos x="0" y="0"/>
            <wp:positionH relativeFrom="page">
              <wp:posOffset>0</wp:posOffset>
            </wp:positionH>
            <wp:positionV relativeFrom="page">
              <wp:posOffset>9829800</wp:posOffset>
            </wp:positionV>
            <wp:extent cx="7560564" cy="101981"/>
            <wp:effectExtent l="0" t="0" r="0" b="0"/>
            <wp:wrapNone/>
            <wp:docPr id="33" name="image2.png"/>
            <wp:cNvGraphicFramePr>
              <a:graphicFrameLocks noChangeAspect="1"/>
            </wp:cNvGraphicFramePr>
            <a:graphic>
              <a:graphicData uri="http://schemas.openxmlformats.org/drawingml/2006/picture">
                <pic:pic>
                  <pic:nvPicPr>
                    <pic:cNvPr id="34"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sz w:val="20"/>
        </w:rPr>
      </w:pPr>
    </w:p>
    <w:p>
      <w:pPr>
        <w:pStyle w:val="BodyText"/>
        <w:spacing w:before="5"/>
        <w:rPr>
          <w:sz w:val="25"/>
        </w:rPr>
      </w:pPr>
    </w:p>
    <w:p>
      <w:pPr>
        <w:pStyle w:val="Heading2"/>
        <w:numPr>
          <w:ilvl w:val="1"/>
          <w:numId w:val="3"/>
        </w:numPr>
        <w:tabs>
          <w:tab w:pos="2161" w:val="left" w:leader="none"/>
          <w:tab w:pos="2162" w:val="left" w:leader="none"/>
        </w:tabs>
        <w:spacing w:line="240" w:lineRule="auto" w:before="89" w:after="0"/>
        <w:ind w:left="2161" w:right="0" w:hanging="722"/>
        <w:jc w:val="left"/>
        <w:rPr>
          <w:color w:val="134295"/>
        </w:rPr>
      </w:pPr>
      <w:r>
        <w:rPr/>
        <w:drawing>
          <wp:anchor distT="0" distB="0" distL="0" distR="0" allowOverlap="1" layoutInCell="1" locked="0" behindDoc="0" simplePos="0" relativeHeight="15737344">
            <wp:simplePos x="0" y="0"/>
            <wp:positionH relativeFrom="page">
              <wp:posOffset>6461760</wp:posOffset>
            </wp:positionH>
            <wp:positionV relativeFrom="paragraph">
              <wp:posOffset>-482881</wp:posOffset>
            </wp:positionV>
            <wp:extent cx="545591" cy="637031"/>
            <wp:effectExtent l="0" t="0" r="0" b="0"/>
            <wp:wrapNone/>
            <wp:docPr id="35" name="image3.png"/>
            <wp:cNvGraphicFramePr>
              <a:graphicFrameLocks noChangeAspect="1"/>
            </wp:cNvGraphicFramePr>
            <a:graphic>
              <a:graphicData uri="http://schemas.openxmlformats.org/drawingml/2006/picture">
                <pic:pic>
                  <pic:nvPicPr>
                    <pic:cNvPr id="36" name="image3.png"/>
                    <pic:cNvPicPr/>
                  </pic:nvPicPr>
                  <pic:blipFill>
                    <a:blip r:embed="rId8" cstate="print"/>
                    <a:stretch>
                      <a:fillRect/>
                    </a:stretch>
                  </pic:blipFill>
                  <pic:spPr>
                    <a:xfrm>
                      <a:off x="0" y="0"/>
                      <a:ext cx="545591" cy="637031"/>
                    </a:xfrm>
                    <a:prstGeom prst="rect">
                      <a:avLst/>
                    </a:prstGeom>
                  </pic:spPr>
                </pic:pic>
              </a:graphicData>
            </a:graphic>
          </wp:anchor>
        </w:drawing>
      </w:r>
      <w:bookmarkStart w:name="_TOC_250015" w:id="7"/>
      <w:r>
        <w:rPr>
          <w:color w:val="134295"/>
        </w:rPr>
        <w:t>Rating</w:t>
      </w:r>
      <w:r>
        <w:rPr>
          <w:color w:val="134295"/>
          <w:spacing w:val="-13"/>
        </w:rPr>
        <w:t> </w:t>
      </w:r>
      <w:bookmarkEnd w:id="7"/>
      <w:r>
        <w:rPr>
          <w:color w:val="134295"/>
          <w:spacing w:val="-2"/>
        </w:rPr>
        <w:t>Differentials</w:t>
      </w:r>
    </w:p>
    <w:p>
      <w:pPr>
        <w:pStyle w:val="Heading4"/>
        <w:spacing w:before="252"/>
      </w:pPr>
      <w:r>
        <w:rPr>
          <w:color w:val="134295"/>
          <w:spacing w:val="-2"/>
        </w:rPr>
        <w:t>Background</w:t>
      </w:r>
    </w:p>
    <w:p>
      <w:pPr>
        <w:pStyle w:val="BodyText"/>
        <w:spacing w:before="10"/>
        <w:rPr>
          <w:sz w:val="13"/>
        </w:rPr>
      </w:pPr>
    </w:p>
    <w:p>
      <w:pPr>
        <w:pStyle w:val="BodyText"/>
        <w:spacing w:before="94"/>
        <w:ind w:left="1440" w:right="1434"/>
        <w:jc w:val="both"/>
      </w:pPr>
      <w:r>
        <w:rPr/>
        <w:t>Differential rating allows (under the CIV method) council to shift part of the rate burden from some groups of ratepayers to others, through different “rates in the dollar” for each class of </w:t>
      </w:r>
      <w:r>
        <w:rPr>
          <w:spacing w:val="-2"/>
        </w:rPr>
        <w:t>property.</w:t>
      </w:r>
    </w:p>
    <w:p>
      <w:pPr>
        <w:pStyle w:val="BodyText"/>
      </w:pPr>
    </w:p>
    <w:p>
      <w:pPr>
        <w:spacing w:before="1"/>
        <w:ind w:left="1440" w:right="1434" w:firstLine="0"/>
        <w:jc w:val="both"/>
        <w:rPr>
          <w:sz w:val="22"/>
        </w:rPr>
      </w:pPr>
      <w:r>
        <w:rPr>
          <w:sz w:val="22"/>
        </w:rPr>
        <w:t>Section 161(1) of the</w:t>
      </w:r>
      <w:r>
        <w:rPr>
          <w:spacing w:val="-4"/>
          <w:sz w:val="22"/>
        </w:rPr>
        <w:t> </w:t>
      </w:r>
      <w:r>
        <w:rPr>
          <w:i/>
          <w:sz w:val="22"/>
        </w:rPr>
        <w:t>Local Government Act 1989</w:t>
      </w:r>
      <w:r>
        <w:rPr>
          <w:i/>
          <w:spacing w:val="-1"/>
          <w:sz w:val="22"/>
        </w:rPr>
        <w:t> </w:t>
      </w:r>
      <w:r>
        <w:rPr>
          <w:sz w:val="22"/>
        </w:rPr>
        <w:t>outlines the requirements relating to differential rates, which include:</w:t>
      </w:r>
    </w:p>
    <w:p>
      <w:pPr>
        <w:pStyle w:val="BodyText"/>
        <w:spacing w:before="10"/>
        <w:rPr>
          <w:sz w:val="21"/>
        </w:rPr>
      </w:pPr>
    </w:p>
    <w:p>
      <w:pPr>
        <w:pStyle w:val="ListParagraph"/>
        <w:numPr>
          <w:ilvl w:val="2"/>
          <w:numId w:val="3"/>
        </w:numPr>
        <w:tabs>
          <w:tab w:pos="2160" w:val="left" w:leader="none"/>
        </w:tabs>
        <w:spacing w:line="240" w:lineRule="auto" w:before="1" w:after="0"/>
        <w:ind w:left="2160" w:right="1434" w:hanging="360"/>
        <w:jc w:val="both"/>
        <w:rPr>
          <w:sz w:val="22"/>
        </w:rPr>
      </w:pPr>
      <w:r>
        <w:rPr>
          <w:sz w:val="22"/>
        </w:rPr>
        <w:t>A</w:t>
      </w:r>
      <w:r>
        <w:rPr>
          <w:spacing w:val="-14"/>
          <w:sz w:val="22"/>
        </w:rPr>
        <w:t> </w:t>
      </w:r>
      <w:r>
        <w:rPr>
          <w:sz w:val="22"/>
        </w:rPr>
        <w:t>Council</w:t>
      </w:r>
      <w:r>
        <w:rPr>
          <w:spacing w:val="-15"/>
          <w:sz w:val="22"/>
        </w:rPr>
        <w:t> </w:t>
      </w:r>
      <w:r>
        <w:rPr>
          <w:sz w:val="22"/>
        </w:rPr>
        <w:t>may</w:t>
      </w:r>
      <w:r>
        <w:rPr>
          <w:spacing w:val="-13"/>
          <w:sz w:val="22"/>
        </w:rPr>
        <w:t> </w:t>
      </w:r>
      <w:r>
        <w:rPr>
          <w:sz w:val="22"/>
        </w:rPr>
        <w:t>raise</w:t>
      </w:r>
      <w:r>
        <w:rPr>
          <w:spacing w:val="-14"/>
          <w:sz w:val="22"/>
        </w:rPr>
        <w:t> </w:t>
      </w:r>
      <w:r>
        <w:rPr>
          <w:sz w:val="22"/>
        </w:rPr>
        <w:t>any</w:t>
      </w:r>
      <w:r>
        <w:rPr>
          <w:spacing w:val="-15"/>
          <w:sz w:val="22"/>
        </w:rPr>
        <w:t> </w:t>
      </w:r>
      <w:r>
        <w:rPr>
          <w:sz w:val="22"/>
        </w:rPr>
        <w:t>general</w:t>
      </w:r>
      <w:r>
        <w:rPr>
          <w:spacing w:val="-15"/>
          <w:sz w:val="22"/>
        </w:rPr>
        <w:t> </w:t>
      </w:r>
      <w:r>
        <w:rPr>
          <w:sz w:val="22"/>
        </w:rPr>
        <w:t>rates</w:t>
      </w:r>
      <w:r>
        <w:rPr>
          <w:spacing w:val="-13"/>
          <w:sz w:val="22"/>
        </w:rPr>
        <w:t> </w:t>
      </w:r>
      <w:r>
        <w:rPr>
          <w:sz w:val="22"/>
        </w:rPr>
        <w:t>by</w:t>
      </w:r>
      <w:r>
        <w:rPr>
          <w:spacing w:val="-15"/>
          <w:sz w:val="22"/>
        </w:rPr>
        <w:t> </w:t>
      </w:r>
      <w:r>
        <w:rPr>
          <w:sz w:val="22"/>
        </w:rPr>
        <w:t>the</w:t>
      </w:r>
      <w:r>
        <w:rPr>
          <w:spacing w:val="-2"/>
          <w:sz w:val="22"/>
        </w:rPr>
        <w:t> </w:t>
      </w:r>
      <w:r>
        <w:rPr>
          <w:sz w:val="22"/>
        </w:rPr>
        <w:t>application</w:t>
      </w:r>
      <w:r>
        <w:rPr>
          <w:spacing w:val="-13"/>
          <w:sz w:val="22"/>
        </w:rPr>
        <w:t> </w:t>
      </w:r>
      <w:r>
        <w:rPr>
          <w:sz w:val="22"/>
        </w:rPr>
        <w:t>of</w:t>
      </w:r>
      <w:r>
        <w:rPr>
          <w:spacing w:val="-13"/>
          <w:sz w:val="22"/>
        </w:rPr>
        <w:t> </w:t>
      </w:r>
      <w:r>
        <w:rPr>
          <w:sz w:val="22"/>
        </w:rPr>
        <w:t>a</w:t>
      </w:r>
      <w:r>
        <w:rPr>
          <w:spacing w:val="-13"/>
          <w:sz w:val="22"/>
        </w:rPr>
        <w:t> </w:t>
      </w:r>
      <w:r>
        <w:rPr>
          <w:sz w:val="22"/>
        </w:rPr>
        <w:t>differential</w:t>
      </w:r>
      <w:r>
        <w:rPr>
          <w:spacing w:val="-13"/>
          <w:sz w:val="22"/>
        </w:rPr>
        <w:t> </w:t>
      </w:r>
      <w:r>
        <w:rPr>
          <w:sz w:val="22"/>
        </w:rPr>
        <w:t>rate,</w:t>
      </w:r>
      <w:r>
        <w:rPr>
          <w:spacing w:val="-13"/>
          <w:sz w:val="22"/>
        </w:rPr>
        <w:t> </w:t>
      </w:r>
      <w:r>
        <w:rPr>
          <w:sz w:val="22"/>
        </w:rPr>
        <w:t>if</w:t>
      </w:r>
      <w:r>
        <w:rPr>
          <w:spacing w:val="-13"/>
          <w:sz w:val="22"/>
        </w:rPr>
        <w:t> </w:t>
      </w:r>
      <w:r>
        <w:rPr>
          <w:sz w:val="22"/>
        </w:rPr>
        <w:t>Council considers</w:t>
      </w:r>
      <w:r>
        <w:rPr>
          <w:spacing w:val="-4"/>
          <w:sz w:val="22"/>
        </w:rPr>
        <w:t> </w:t>
      </w:r>
      <w:r>
        <w:rPr>
          <w:sz w:val="22"/>
        </w:rPr>
        <w:t>that</w:t>
      </w:r>
      <w:r>
        <w:rPr>
          <w:spacing w:val="-4"/>
          <w:sz w:val="22"/>
        </w:rPr>
        <w:t> </w:t>
      </w:r>
      <w:r>
        <w:rPr>
          <w:sz w:val="22"/>
        </w:rPr>
        <w:t>the</w:t>
      </w:r>
      <w:r>
        <w:rPr>
          <w:spacing w:val="-4"/>
          <w:sz w:val="22"/>
        </w:rPr>
        <w:t> </w:t>
      </w:r>
      <w:r>
        <w:rPr>
          <w:sz w:val="22"/>
        </w:rPr>
        <w:t>differential</w:t>
      </w:r>
      <w:r>
        <w:rPr>
          <w:spacing w:val="-2"/>
          <w:sz w:val="22"/>
        </w:rPr>
        <w:t> </w:t>
      </w:r>
      <w:r>
        <w:rPr>
          <w:sz w:val="22"/>
        </w:rPr>
        <w:t>rate</w:t>
      </w:r>
      <w:r>
        <w:rPr>
          <w:spacing w:val="-4"/>
          <w:sz w:val="22"/>
        </w:rPr>
        <w:t> </w:t>
      </w:r>
      <w:r>
        <w:rPr>
          <w:sz w:val="22"/>
        </w:rPr>
        <w:t>will</w:t>
      </w:r>
      <w:r>
        <w:rPr>
          <w:spacing w:val="-2"/>
          <w:sz w:val="22"/>
        </w:rPr>
        <w:t> </w:t>
      </w:r>
      <w:r>
        <w:rPr>
          <w:sz w:val="22"/>
        </w:rPr>
        <w:t>contribute</w:t>
      </w:r>
      <w:r>
        <w:rPr>
          <w:spacing w:val="-4"/>
          <w:sz w:val="22"/>
        </w:rPr>
        <w:t> </w:t>
      </w:r>
      <w:r>
        <w:rPr>
          <w:sz w:val="22"/>
        </w:rPr>
        <w:t>to</w:t>
      </w:r>
      <w:r>
        <w:rPr>
          <w:spacing w:val="-2"/>
          <w:sz w:val="22"/>
        </w:rPr>
        <w:t> </w:t>
      </w:r>
      <w:r>
        <w:rPr>
          <w:sz w:val="22"/>
        </w:rPr>
        <w:t>the</w:t>
      </w:r>
      <w:r>
        <w:rPr>
          <w:spacing w:val="-4"/>
          <w:sz w:val="22"/>
        </w:rPr>
        <w:t> </w:t>
      </w:r>
      <w:r>
        <w:rPr>
          <w:sz w:val="22"/>
        </w:rPr>
        <w:t>equitable</w:t>
      </w:r>
      <w:r>
        <w:rPr>
          <w:spacing w:val="-4"/>
          <w:sz w:val="22"/>
        </w:rPr>
        <w:t> </w:t>
      </w:r>
      <w:r>
        <w:rPr>
          <w:sz w:val="22"/>
        </w:rPr>
        <w:t>and</w:t>
      </w:r>
      <w:r>
        <w:rPr>
          <w:spacing w:val="-1"/>
          <w:sz w:val="22"/>
        </w:rPr>
        <w:t> </w:t>
      </w:r>
      <w:r>
        <w:rPr>
          <w:sz w:val="22"/>
        </w:rPr>
        <w:t>efficient carrying out of its functions.</w:t>
      </w:r>
    </w:p>
    <w:p>
      <w:pPr>
        <w:pStyle w:val="BodyText"/>
      </w:pPr>
    </w:p>
    <w:p>
      <w:pPr>
        <w:pStyle w:val="ListParagraph"/>
        <w:numPr>
          <w:ilvl w:val="2"/>
          <w:numId w:val="3"/>
        </w:numPr>
        <w:tabs>
          <w:tab w:pos="2160" w:val="left" w:leader="none"/>
        </w:tabs>
        <w:spacing w:line="240" w:lineRule="auto" w:before="0" w:after="0"/>
        <w:ind w:left="2160" w:right="1437" w:hanging="360"/>
        <w:jc w:val="both"/>
        <w:rPr>
          <w:sz w:val="22"/>
        </w:rPr>
      </w:pPr>
      <w:r>
        <w:rPr>
          <w:sz w:val="22"/>
        </w:rPr>
        <w:t>If a Council declares a differential rate for any land, the Council must specify the objectives of the</w:t>
      </w:r>
      <w:r>
        <w:rPr>
          <w:spacing w:val="-1"/>
          <w:sz w:val="22"/>
        </w:rPr>
        <w:t> </w:t>
      </w:r>
      <w:r>
        <w:rPr>
          <w:sz w:val="22"/>
        </w:rPr>
        <w:t>differential rate, which must be consistent with the</w:t>
      </w:r>
      <w:r>
        <w:rPr>
          <w:spacing w:val="-3"/>
          <w:sz w:val="22"/>
        </w:rPr>
        <w:t> </w:t>
      </w:r>
      <w:r>
        <w:rPr>
          <w:sz w:val="22"/>
        </w:rPr>
        <w:t>equitable and efficient carrying out of the Councils functions and must include the following:</w:t>
      </w:r>
    </w:p>
    <w:p>
      <w:pPr>
        <w:pStyle w:val="BodyText"/>
        <w:spacing w:before="9"/>
        <w:rPr>
          <w:sz w:val="13"/>
        </w:rPr>
      </w:pPr>
    </w:p>
    <w:p>
      <w:pPr>
        <w:pStyle w:val="BodyText"/>
        <w:spacing w:before="93"/>
        <w:ind w:left="1800"/>
      </w:pPr>
      <w:r>
        <w:rPr>
          <w:spacing w:val="-5"/>
        </w:rPr>
        <w:t>c)</w:t>
      </w:r>
    </w:p>
    <w:p>
      <w:pPr>
        <w:pStyle w:val="ListParagraph"/>
        <w:numPr>
          <w:ilvl w:val="3"/>
          <w:numId w:val="3"/>
        </w:numPr>
        <w:tabs>
          <w:tab w:pos="2880" w:val="left" w:leader="none"/>
        </w:tabs>
        <w:spacing w:line="240" w:lineRule="auto" w:before="2" w:after="0"/>
        <w:ind w:left="2880" w:right="1437" w:hanging="471"/>
        <w:jc w:val="both"/>
        <w:rPr>
          <w:sz w:val="22"/>
        </w:rPr>
      </w:pPr>
      <w:r>
        <w:rPr>
          <w:sz w:val="22"/>
        </w:rPr>
        <w:t>A definition of the types or classes of land</w:t>
      </w:r>
      <w:r>
        <w:rPr>
          <w:spacing w:val="-3"/>
          <w:sz w:val="22"/>
        </w:rPr>
        <w:t> </w:t>
      </w:r>
      <w:r>
        <w:rPr>
          <w:sz w:val="22"/>
        </w:rPr>
        <w:t>which are subject to the rate</w:t>
      </w:r>
      <w:r>
        <w:rPr>
          <w:spacing w:val="-4"/>
          <w:sz w:val="22"/>
        </w:rPr>
        <w:t> </w:t>
      </w:r>
      <w:r>
        <w:rPr>
          <w:sz w:val="22"/>
        </w:rPr>
        <w:t>and a statement of the reasons for the use and level of that rate.</w:t>
      </w:r>
    </w:p>
    <w:p>
      <w:pPr>
        <w:pStyle w:val="ListParagraph"/>
        <w:numPr>
          <w:ilvl w:val="3"/>
          <w:numId w:val="3"/>
        </w:numPr>
        <w:tabs>
          <w:tab w:pos="2881" w:val="left" w:leader="none"/>
        </w:tabs>
        <w:spacing w:line="240" w:lineRule="auto" w:before="0" w:after="0"/>
        <w:ind w:left="2880" w:right="1433" w:hanging="519"/>
        <w:jc w:val="both"/>
        <w:rPr>
          <w:sz w:val="22"/>
        </w:rPr>
      </w:pPr>
      <w:r>
        <w:rPr>
          <w:sz w:val="22"/>
        </w:rPr>
        <w:t>An identification of the type or classes of land</w:t>
      </w:r>
      <w:r>
        <w:rPr>
          <w:spacing w:val="-3"/>
          <w:sz w:val="22"/>
        </w:rPr>
        <w:t> </w:t>
      </w:r>
      <w:r>
        <w:rPr>
          <w:sz w:val="22"/>
        </w:rPr>
        <w:t>which are subject to the rate in respect of the</w:t>
      </w:r>
      <w:r>
        <w:rPr>
          <w:spacing w:val="-2"/>
          <w:sz w:val="22"/>
        </w:rPr>
        <w:t> </w:t>
      </w:r>
      <w:r>
        <w:rPr>
          <w:sz w:val="22"/>
        </w:rPr>
        <w:t>uses, geographic location (other than location</w:t>
      </w:r>
      <w:r>
        <w:rPr>
          <w:spacing w:val="-3"/>
          <w:sz w:val="22"/>
        </w:rPr>
        <w:t> </w:t>
      </w:r>
      <w:r>
        <w:rPr>
          <w:sz w:val="22"/>
        </w:rPr>
        <w:t>on the basis of whether or not the land is within a specific ward in Council’s district).</w:t>
      </w:r>
    </w:p>
    <w:p>
      <w:pPr>
        <w:pStyle w:val="ListParagraph"/>
        <w:numPr>
          <w:ilvl w:val="3"/>
          <w:numId w:val="3"/>
        </w:numPr>
        <w:tabs>
          <w:tab w:pos="2880" w:val="left" w:leader="none"/>
        </w:tabs>
        <w:spacing w:line="240" w:lineRule="auto" w:before="0" w:after="0"/>
        <w:ind w:left="2880" w:right="1436" w:hanging="569"/>
        <w:jc w:val="both"/>
        <w:rPr>
          <w:sz w:val="22"/>
        </w:rPr>
      </w:pPr>
      <w:r>
        <w:rPr>
          <w:sz w:val="22"/>
        </w:rPr>
        <w:t>Specify the characteristics of the land, which</w:t>
      </w:r>
      <w:r>
        <w:rPr>
          <w:spacing w:val="-4"/>
          <w:sz w:val="22"/>
        </w:rPr>
        <w:t> </w:t>
      </w:r>
      <w:r>
        <w:rPr>
          <w:sz w:val="22"/>
        </w:rPr>
        <w:t>are the criteria for declaring the differential rate.</w:t>
      </w:r>
    </w:p>
    <w:p>
      <w:pPr>
        <w:pStyle w:val="BodyText"/>
        <w:rPr>
          <w:sz w:val="20"/>
        </w:rPr>
      </w:pPr>
    </w:p>
    <w:p>
      <w:pPr>
        <w:pStyle w:val="BodyText"/>
        <w:spacing w:before="8"/>
        <w:rPr>
          <w:sz w:val="15"/>
        </w:rPr>
      </w:pPr>
    </w:p>
    <w:p>
      <w:pPr>
        <w:pStyle w:val="BodyText"/>
        <w:spacing w:before="94"/>
        <w:ind w:left="1440" w:right="1432"/>
        <w:jc w:val="both"/>
      </w:pPr>
      <w:r>
        <w:rPr/>
        <w:t>The general objectives of each of the differential rates are to ensure that all rateable land makes an equitable</w:t>
      </w:r>
      <w:r>
        <w:rPr>
          <w:spacing w:val="-4"/>
        </w:rPr>
        <w:t> </w:t>
      </w:r>
      <w:r>
        <w:rPr/>
        <w:t>financial contribution to the cost of carrying out the</w:t>
      </w:r>
      <w:r>
        <w:rPr>
          <w:spacing w:val="-3"/>
        </w:rPr>
        <w:t> </w:t>
      </w:r>
      <w:r>
        <w:rPr/>
        <w:t>functions of Council. There</w:t>
      </w:r>
      <w:r>
        <w:rPr>
          <w:spacing w:val="-8"/>
        </w:rPr>
        <w:t> </w:t>
      </w:r>
      <w:r>
        <w:rPr/>
        <w:t>is</w:t>
      </w:r>
      <w:r>
        <w:rPr>
          <w:spacing w:val="-6"/>
        </w:rPr>
        <w:t> </w:t>
      </w:r>
      <w:r>
        <w:rPr/>
        <w:t>no</w:t>
      </w:r>
      <w:r>
        <w:rPr>
          <w:spacing w:val="-8"/>
        </w:rPr>
        <w:t> </w:t>
      </w:r>
      <w:r>
        <w:rPr/>
        <w:t>limit</w:t>
      </w:r>
      <w:r>
        <w:rPr>
          <w:spacing w:val="-6"/>
        </w:rPr>
        <w:t> </w:t>
      </w:r>
      <w:r>
        <w:rPr/>
        <w:t>on</w:t>
      </w:r>
      <w:r>
        <w:rPr>
          <w:spacing w:val="-8"/>
        </w:rPr>
        <w:t> </w:t>
      </w:r>
      <w:r>
        <w:rPr/>
        <w:t>the</w:t>
      </w:r>
      <w:r>
        <w:rPr>
          <w:spacing w:val="-6"/>
        </w:rPr>
        <w:t> </w:t>
      </w:r>
      <w:r>
        <w:rPr/>
        <w:t>number</w:t>
      </w:r>
      <w:r>
        <w:rPr>
          <w:spacing w:val="-2"/>
        </w:rPr>
        <w:t> </w:t>
      </w:r>
      <w:r>
        <w:rPr/>
        <w:t>or</w:t>
      </w:r>
      <w:r>
        <w:rPr>
          <w:spacing w:val="-6"/>
        </w:rPr>
        <w:t> </w:t>
      </w:r>
      <w:r>
        <w:rPr/>
        <w:t>types</w:t>
      </w:r>
      <w:r>
        <w:rPr>
          <w:spacing w:val="-6"/>
        </w:rPr>
        <w:t> </w:t>
      </w:r>
      <w:r>
        <w:rPr/>
        <w:t>of</w:t>
      </w:r>
      <w:r>
        <w:rPr>
          <w:spacing w:val="-6"/>
        </w:rPr>
        <w:t> </w:t>
      </w:r>
      <w:r>
        <w:rPr/>
        <w:t>differential</w:t>
      </w:r>
      <w:r>
        <w:rPr>
          <w:spacing w:val="-6"/>
        </w:rPr>
        <w:t> </w:t>
      </w:r>
      <w:r>
        <w:rPr/>
        <w:t>rates</w:t>
      </w:r>
      <w:r>
        <w:rPr>
          <w:spacing w:val="-8"/>
        </w:rPr>
        <w:t> </w:t>
      </w:r>
      <w:r>
        <w:rPr/>
        <w:t>that</w:t>
      </w:r>
      <w:r>
        <w:rPr>
          <w:spacing w:val="-1"/>
        </w:rPr>
        <w:t> </w:t>
      </w:r>
      <w:r>
        <w:rPr/>
        <w:t>can</w:t>
      </w:r>
      <w:r>
        <w:rPr>
          <w:spacing w:val="-8"/>
        </w:rPr>
        <w:t> </w:t>
      </w:r>
      <w:r>
        <w:rPr/>
        <w:t>be</w:t>
      </w:r>
      <w:r>
        <w:rPr>
          <w:spacing w:val="-8"/>
        </w:rPr>
        <w:t> </w:t>
      </w:r>
      <w:r>
        <w:rPr/>
        <w:t>levied,</w:t>
      </w:r>
      <w:r>
        <w:rPr>
          <w:spacing w:val="-4"/>
        </w:rPr>
        <w:t> </w:t>
      </w:r>
      <w:r>
        <w:rPr/>
        <w:t>but</w:t>
      </w:r>
      <w:r>
        <w:rPr>
          <w:spacing w:val="-6"/>
        </w:rPr>
        <w:t> </w:t>
      </w:r>
      <w:r>
        <w:rPr/>
        <w:t>the</w:t>
      </w:r>
      <w:r>
        <w:rPr>
          <w:spacing w:val="-4"/>
        </w:rPr>
        <w:t> </w:t>
      </w:r>
      <w:r>
        <w:rPr/>
        <w:t>highest differential rate can be no more than four times the lowest differential rate.</w:t>
      </w:r>
    </w:p>
    <w:p>
      <w:pPr>
        <w:spacing w:after="0"/>
        <w:jc w:val="both"/>
        <w:sectPr>
          <w:pgSz w:w="11910" w:h="16840"/>
          <w:pgMar w:header="0" w:footer="662" w:top="580" w:bottom="860" w:left="0" w:right="0"/>
        </w:sectPr>
      </w:pPr>
    </w:p>
    <w:p>
      <w:pPr>
        <w:pStyle w:val="Heading4"/>
        <w:spacing w:before="80"/>
      </w:pPr>
      <w:r>
        <w:rPr>
          <w:color w:val="134295"/>
        </w:rPr>
        <w:t>Residential</w:t>
      </w:r>
      <w:r>
        <w:rPr>
          <w:color w:val="134295"/>
          <w:spacing w:val="-7"/>
        </w:rPr>
        <w:t> </w:t>
      </w:r>
      <w:r>
        <w:rPr>
          <w:color w:val="134295"/>
          <w:spacing w:val="-4"/>
        </w:rPr>
        <w:t>Land</w:t>
      </w:r>
    </w:p>
    <w:p>
      <w:pPr>
        <w:pStyle w:val="Heading5"/>
        <w:spacing w:line="252" w:lineRule="exact" w:before="255"/>
        <w:jc w:val="left"/>
      </w:pPr>
      <w:r>
        <w:rPr>
          <w:spacing w:val="-2"/>
        </w:rPr>
        <w:t>Definitions/Characteristics:</w:t>
      </w:r>
    </w:p>
    <w:p>
      <w:pPr>
        <w:pStyle w:val="BodyText"/>
        <w:ind w:left="1440" w:right="1342"/>
      </w:pPr>
      <w:r>
        <w:rPr/>
        <w:t>Residential</w:t>
      </w:r>
      <w:r>
        <w:rPr>
          <w:spacing w:val="28"/>
        </w:rPr>
        <w:t> </w:t>
      </w:r>
      <w:r>
        <w:rPr/>
        <w:t>land</w:t>
      </w:r>
      <w:r>
        <w:rPr>
          <w:spacing w:val="28"/>
        </w:rPr>
        <w:t> </w:t>
      </w:r>
      <w:r>
        <w:rPr/>
        <w:t>is</w:t>
      </w:r>
      <w:r>
        <w:rPr>
          <w:spacing w:val="28"/>
        </w:rPr>
        <w:t> </w:t>
      </w:r>
      <w:r>
        <w:rPr/>
        <w:t>any</w:t>
      </w:r>
      <w:r>
        <w:rPr>
          <w:spacing w:val="28"/>
        </w:rPr>
        <w:t> </w:t>
      </w:r>
      <w:r>
        <w:rPr/>
        <w:t>land,</w:t>
      </w:r>
      <w:r>
        <w:rPr>
          <w:spacing w:val="30"/>
        </w:rPr>
        <w:t> </w:t>
      </w:r>
      <w:r>
        <w:rPr/>
        <w:t>which</w:t>
      </w:r>
      <w:r>
        <w:rPr>
          <w:spacing w:val="30"/>
        </w:rPr>
        <w:t> </w:t>
      </w:r>
      <w:r>
        <w:rPr/>
        <w:t>is</w:t>
      </w:r>
      <w:r>
        <w:rPr>
          <w:spacing w:val="28"/>
        </w:rPr>
        <w:t> </w:t>
      </w:r>
      <w:r>
        <w:rPr/>
        <w:t>used</w:t>
      </w:r>
      <w:r>
        <w:rPr>
          <w:spacing w:val="27"/>
        </w:rPr>
        <w:t> </w:t>
      </w:r>
      <w:r>
        <w:rPr/>
        <w:t>for</w:t>
      </w:r>
      <w:r>
        <w:rPr>
          <w:spacing w:val="26"/>
        </w:rPr>
        <w:t> </w:t>
      </w:r>
      <w:r>
        <w:rPr/>
        <w:t>private</w:t>
      </w:r>
      <w:r>
        <w:rPr>
          <w:spacing w:val="28"/>
        </w:rPr>
        <w:t> </w:t>
      </w:r>
      <w:r>
        <w:rPr/>
        <w:t>residential</w:t>
      </w:r>
      <w:r>
        <w:rPr>
          <w:spacing w:val="28"/>
        </w:rPr>
        <w:t> </w:t>
      </w:r>
      <w:r>
        <w:rPr/>
        <w:t>purposes</w:t>
      </w:r>
      <w:r>
        <w:rPr>
          <w:spacing w:val="30"/>
        </w:rPr>
        <w:t> </w:t>
      </w:r>
      <w:r>
        <w:rPr/>
        <w:t>or</w:t>
      </w:r>
      <w:r>
        <w:rPr>
          <w:spacing w:val="28"/>
        </w:rPr>
        <w:t> </w:t>
      </w:r>
      <w:r>
        <w:rPr/>
        <w:t>on</w:t>
      </w:r>
      <w:r>
        <w:rPr>
          <w:spacing w:val="27"/>
        </w:rPr>
        <w:t> </w:t>
      </w:r>
      <w:r>
        <w:rPr/>
        <w:t>which</w:t>
      </w:r>
      <w:r>
        <w:rPr>
          <w:spacing w:val="30"/>
        </w:rPr>
        <w:t> </w:t>
      </w:r>
      <w:r>
        <w:rPr/>
        <w:t>a habitable building is erected of which is unoccupied and which is zoned residential.</w:t>
      </w:r>
    </w:p>
    <w:p>
      <w:pPr>
        <w:pStyle w:val="BodyText"/>
        <w:spacing w:before="11"/>
        <w:rPr>
          <w:sz w:val="21"/>
        </w:rPr>
      </w:pPr>
    </w:p>
    <w:p>
      <w:pPr>
        <w:pStyle w:val="Heading5"/>
        <w:jc w:val="left"/>
      </w:pPr>
      <w:r>
        <w:rPr>
          <w:spacing w:val="-2"/>
        </w:rPr>
        <w:t>Objective:</w:t>
      </w:r>
    </w:p>
    <w:p>
      <w:pPr>
        <w:pStyle w:val="BodyText"/>
        <w:spacing w:before="1"/>
        <w:ind w:left="1440" w:right="1342"/>
      </w:pPr>
      <w:r>
        <w:rPr/>
        <w:t>To</w:t>
      </w:r>
      <w:r>
        <w:rPr>
          <w:spacing w:val="-16"/>
        </w:rPr>
        <w:t> </w:t>
      </w:r>
      <w:r>
        <w:rPr/>
        <w:t>ensure</w:t>
      </w:r>
      <w:r>
        <w:rPr>
          <w:spacing w:val="-17"/>
        </w:rPr>
        <w:t> </w:t>
      </w:r>
      <w:r>
        <w:rPr/>
        <w:t>that</w:t>
      </w:r>
      <w:r>
        <w:rPr>
          <w:spacing w:val="-15"/>
        </w:rPr>
        <w:t> </w:t>
      </w:r>
      <w:r>
        <w:rPr/>
        <w:t>all</w:t>
      </w:r>
      <w:r>
        <w:rPr>
          <w:spacing w:val="-15"/>
        </w:rPr>
        <w:t> </w:t>
      </w:r>
      <w:r>
        <w:rPr/>
        <w:t>rateable</w:t>
      </w:r>
      <w:r>
        <w:rPr>
          <w:spacing w:val="-16"/>
        </w:rPr>
        <w:t> </w:t>
      </w:r>
      <w:r>
        <w:rPr/>
        <w:t>land</w:t>
      </w:r>
      <w:r>
        <w:rPr>
          <w:spacing w:val="-15"/>
        </w:rPr>
        <w:t> </w:t>
      </w:r>
      <w:r>
        <w:rPr/>
        <w:t>makes</w:t>
      </w:r>
      <w:r>
        <w:rPr>
          <w:spacing w:val="-15"/>
        </w:rPr>
        <w:t> </w:t>
      </w:r>
      <w:r>
        <w:rPr/>
        <w:t>an</w:t>
      </w:r>
      <w:r>
        <w:rPr>
          <w:spacing w:val="-15"/>
        </w:rPr>
        <w:t> </w:t>
      </w:r>
      <w:r>
        <w:rPr/>
        <w:t>equitable</w:t>
      </w:r>
      <w:r>
        <w:rPr>
          <w:spacing w:val="-16"/>
        </w:rPr>
        <w:t> </w:t>
      </w:r>
      <w:r>
        <w:rPr/>
        <w:t>financial</w:t>
      </w:r>
      <w:r>
        <w:rPr>
          <w:spacing w:val="-15"/>
        </w:rPr>
        <w:t> </w:t>
      </w:r>
      <w:r>
        <w:rPr/>
        <w:t>contribution</w:t>
      </w:r>
      <w:r>
        <w:rPr>
          <w:spacing w:val="-15"/>
        </w:rPr>
        <w:t> </w:t>
      </w:r>
      <w:r>
        <w:rPr/>
        <w:t>to</w:t>
      </w:r>
      <w:r>
        <w:rPr>
          <w:spacing w:val="-16"/>
        </w:rPr>
        <w:t> </w:t>
      </w:r>
      <w:r>
        <w:rPr/>
        <w:t>the</w:t>
      </w:r>
      <w:r>
        <w:rPr>
          <w:spacing w:val="-15"/>
        </w:rPr>
        <w:t> </w:t>
      </w:r>
      <w:r>
        <w:rPr/>
        <w:t>cost</w:t>
      </w:r>
      <w:r>
        <w:rPr>
          <w:spacing w:val="-15"/>
        </w:rPr>
        <w:t> </w:t>
      </w:r>
      <w:r>
        <w:rPr/>
        <w:t>of</w:t>
      </w:r>
      <w:r>
        <w:rPr>
          <w:spacing w:val="-15"/>
        </w:rPr>
        <w:t> </w:t>
      </w:r>
      <w:r>
        <w:rPr/>
        <w:t>carrying out the functions of Council, including:</w:t>
      </w:r>
    </w:p>
    <w:p>
      <w:pPr>
        <w:pStyle w:val="ListParagraph"/>
        <w:numPr>
          <w:ilvl w:val="0"/>
          <w:numId w:val="7"/>
        </w:numPr>
        <w:tabs>
          <w:tab w:pos="2160" w:val="left" w:leader="none"/>
        </w:tabs>
        <w:spacing w:line="251" w:lineRule="exact" w:before="0" w:after="0"/>
        <w:ind w:left="2159" w:right="0" w:hanging="360"/>
        <w:jc w:val="left"/>
        <w:rPr>
          <w:sz w:val="22"/>
        </w:rPr>
      </w:pPr>
      <w:r>
        <w:rPr>
          <w:sz w:val="22"/>
        </w:rPr>
        <w:t>Construction</w:t>
      </w:r>
      <w:r>
        <w:rPr>
          <w:spacing w:val="-5"/>
          <w:sz w:val="22"/>
        </w:rPr>
        <w:t> </w:t>
      </w:r>
      <w:r>
        <w:rPr>
          <w:sz w:val="22"/>
        </w:rPr>
        <w:t>and</w:t>
      </w:r>
      <w:r>
        <w:rPr>
          <w:spacing w:val="-7"/>
          <w:sz w:val="22"/>
        </w:rPr>
        <w:t> </w:t>
      </w:r>
      <w:r>
        <w:rPr>
          <w:sz w:val="22"/>
        </w:rPr>
        <w:t>maintenance</w:t>
      </w:r>
      <w:r>
        <w:rPr>
          <w:spacing w:val="-4"/>
          <w:sz w:val="22"/>
        </w:rPr>
        <w:t> </w:t>
      </w:r>
      <w:r>
        <w:rPr>
          <w:sz w:val="22"/>
        </w:rPr>
        <w:t>of</w:t>
      </w:r>
      <w:r>
        <w:rPr>
          <w:spacing w:val="-4"/>
          <w:sz w:val="22"/>
        </w:rPr>
        <w:t> </w:t>
      </w:r>
      <w:r>
        <w:rPr>
          <w:sz w:val="22"/>
        </w:rPr>
        <w:t>public</w:t>
      </w:r>
      <w:r>
        <w:rPr>
          <w:spacing w:val="-5"/>
          <w:sz w:val="22"/>
        </w:rPr>
        <w:t> </w:t>
      </w:r>
      <w:r>
        <w:rPr>
          <w:sz w:val="22"/>
        </w:rPr>
        <w:t>infrastructure;</w:t>
      </w:r>
      <w:r>
        <w:rPr>
          <w:spacing w:val="-3"/>
          <w:sz w:val="22"/>
        </w:rPr>
        <w:t> </w:t>
      </w:r>
      <w:r>
        <w:rPr>
          <w:spacing w:val="-5"/>
          <w:sz w:val="22"/>
        </w:rPr>
        <w:t>and</w:t>
      </w:r>
    </w:p>
    <w:p>
      <w:pPr>
        <w:pStyle w:val="ListParagraph"/>
        <w:numPr>
          <w:ilvl w:val="0"/>
          <w:numId w:val="7"/>
        </w:numPr>
        <w:tabs>
          <w:tab w:pos="2160" w:val="left" w:leader="none"/>
        </w:tabs>
        <w:spacing w:line="252" w:lineRule="exact" w:before="2" w:after="0"/>
        <w:ind w:left="2159" w:right="0" w:hanging="360"/>
        <w:jc w:val="left"/>
        <w:rPr>
          <w:sz w:val="22"/>
        </w:rPr>
      </w:pPr>
      <w:r>
        <w:rPr>
          <w:sz w:val="22"/>
        </w:rPr>
        <w:t>Development</w:t>
      </w:r>
      <w:r>
        <w:rPr>
          <w:spacing w:val="-2"/>
          <w:sz w:val="22"/>
        </w:rPr>
        <w:t> </w:t>
      </w:r>
      <w:r>
        <w:rPr>
          <w:sz w:val="22"/>
        </w:rPr>
        <w:t>and</w:t>
      </w:r>
      <w:r>
        <w:rPr>
          <w:spacing w:val="-6"/>
          <w:sz w:val="22"/>
        </w:rPr>
        <w:t> </w:t>
      </w:r>
      <w:r>
        <w:rPr>
          <w:sz w:val="22"/>
        </w:rPr>
        <w:t>provision</w:t>
      </w:r>
      <w:r>
        <w:rPr>
          <w:spacing w:val="-3"/>
          <w:sz w:val="22"/>
        </w:rPr>
        <w:t> </w:t>
      </w:r>
      <w:r>
        <w:rPr>
          <w:sz w:val="22"/>
        </w:rPr>
        <w:t>of</w:t>
      </w:r>
      <w:r>
        <w:rPr>
          <w:spacing w:val="-3"/>
          <w:sz w:val="22"/>
        </w:rPr>
        <w:t> </w:t>
      </w:r>
      <w:r>
        <w:rPr>
          <w:sz w:val="22"/>
        </w:rPr>
        <w:t>health</w:t>
      </w:r>
      <w:r>
        <w:rPr>
          <w:spacing w:val="-4"/>
          <w:sz w:val="22"/>
        </w:rPr>
        <w:t> </w:t>
      </w:r>
      <w:r>
        <w:rPr>
          <w:sz w:val="22"/>
        </w:rPr>
        <w:t>&amp;</w:t>
      </w:r>
      <w:r>
        <w:rPr>
          <w:spacing w:val="-5"/>
          <w:sz w:val="22"/>
        </w:rPr>
        <w:t> </w:t>
      </w:r>
      <w:r>
        <w:rPr>
          <w:sz w:val="22"/>
        </w:rPr>
        <w:t>community</w:t>
      </w:r>
      <w:r>
        <w:rPr>
          <w:spacing w:val="-4"/>
          <w:sz w:val="22"/>
        </w:rPr>
        <w:t> </w:t>
      </w:r>
      <w:r>
        <w:rPr>
          <w:sz w:val="22"/>
        </w:rPr>
        <w:t>services;</w:t>
      </w:r>
      <w:r>
        <w:rPr>
          <w:spacing w:val="-2"/>
          <w:sz w:val="22"/>
        </w:rPr>
        <w:t> </w:t>
      </w:r>
      <w:r>
        <w:rPr>
          <w:spacing w:val="-5"/>
          <w:sz w:val="22"/>
        </w:rPr>
        <w:t>and</w:t>
      </w:r>
    </w:p>
    <w:p>
      <w:pPr>
        <w:pStyle w:val="ListParagraph"/>
        <w:numPr>
          <w:ilvl w:val="0"/>
          <w:numId w:val="7"/>
        </w:numPr>
        <w:tabs>
          <w:tab w:pos="2160" w:val="left" w:leader="none"/>
        </w:tabs>
        <w:spacing w:line="252" w:lineRule="exact" w:before="0" w:after="0"/>
        <w:ind w:left="2159" w:right="0" w:hanging="360"/>
        <w:jc w:val="left"/>
        <w:rPr>
          <w:sz w:val="22"/>
        </w:rPr>
      </w:pPr>
      <w:r>
        <w:rPr>
          <w:sz w:val="22"/>
        </w:rPr>
        <w:t>Provision</w:t>
      </w:r>
      <w:r>
        <w:rPr>
          <w:spacing w:val="-3"/>
          <w:sz w:val="22"/>
        </w:rPr>
        <w:t> </w:t>
      </w:r>
      <w:r>
        <w:rPr>
          <w:sz w:val="22"/>
        </w:rPr>
        <w:t>of</w:t>
      </w:r>
      <w:r>
        <w:rPr>
          <w:spacing w:val="-3"/>
          <w:sz w:val="22"/>
        </w:rPr>
        <w:t> </w:t>
      </w:r>
      <w:r>
        <w:rPr>
          <w:sz w:val="22"/>
        </w:rPr>
        <w:t>general</w:t>
      </w:r>
      <w:r>
        <w:rPr>
          <w:spacing w:val="-4"/>
          <w:sz w:val="22"/>
        </w:rPr>
        <w:t> </w:t>
      </w:r>
      <w:r>
        <w:rPr>
          <w:sz w:val="22"/>
        </w:rPr>
        <w:t>support</w:t>
      </w:r>
      <w:r>
        <w:rPr>
          <w:spacing w:val="-6"/>
          <w:sz w:val="22"/>
        </w:rPr>
        <w:t> </w:t>
      </w:r>
      <w:r>
        <w:rPr>
          <w:sz w:val="22"/>
        </w:rPr>
        <w:t>services;</w:t>
      </w:r>
      <w:r>
        <w:rPr>
          <w:spacing w:val="-1"/>
          <w:sz w:val="22"/>
        </w:rPr>
        <w:t> </w:t>
      </w:r>
      <w:r>
        <w:rPr>
          <w:spacing w:val="-5"/>
          <w:sz w:val="22"/>
        </w:rPr>
        <w:t>and</w:t>
      </w:r>
    </w:p>
    <w:p>
      <w:pPr>
        <w:pStyle w:val="ListParagraph"/>
        <w:numPr>
          <w:ilvl w:val="0"/>
          <w:numId w:val="7"/>
        </w:numPr>
        <w:tabs>
          <w:tab w:pos="2160" w:val="left" w:leader="none"/>
        </w:tabs>
        <w:spacing w:line="240" w:lineRule="auto" w:before="1" w:after="0"/>
        <w:ind w:left="2160" w:right="1437" w:hanging="360"/>
        <w:jc w:val="left"/>
        <w:rPr>
          <w:sz w:val="22"/>
        </w:rPr>
      </w:pPr>
      <w:r>
        <w:rPr>
          <w:sz w:val="22"/>
        </w:rPr>
        <w:t>Requirement to ensure that Council has adequate funding to undertake it’s strategic, statutory and service provision obligations.</w:t>
      </w:r>
    </w:p>
    <w:p>
      <w:pPr>
        <w:pStyle w:val="BodyText"/>
        <w:spacing w:before="11"/>
        <w:rPr>
          <w:sz w:val="21"/>
        </w:rPr>
      </w:pPr>
    </w:p>
    <w:p>
      <w:pPr>
        <w:pStyle w:val="Heading5"/>
        <w:spacing w:line="252" w:lineRule="exact"/>
        <w:jc w:val="left"/>
      </w:pPr>
      <w:r>
        <w:rPr/>
        <w:t>Types</w:t>
      </w:r>
      <w:r>
        <w:rPr>
          <w:spacing w:val="-2"/>
        </w:rPr>
        <w:t> </w:t>
      </w:r>
      <w:r>
        <w:rPr/>
        <w:t>and</w:t>
      </w:r>
      <w:r>
        <w:rPr>
          <w:spacing w:val="-1"/>
        </w:rPr>
        <w:t> </w:t>
      </w:r>
      <w:r>
        <w:rPr>
          <w:spacing w:val="-2"/>
        </w:rPr>
        <w:t>Classes:</w:t>
      </w:r>
    </w:p>
    <w:p>
      <w:pPr>
        <w:pStyle w:val="BodyText"/>
        <w:spacing w:line="252" w:lineRule="exact"/>
        <w:ind w:left="144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before="1"/>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1440" w:right="1434"/>
        <w:jc w:val="both"/>
      </w:pPr>
      <w:r>
        <w:rPr/>
        <w:t>The differential rate will be used to fund some of those items of expenditure described in the Budget adopted by Council. The level of differential rate is the level which Council considers is necessary to achieve the objectives specified above.</w:t>
      </w:r>
    </w:p>
    <w:p>
      <w:pPr>
        <w:pStyle w:val="BodyText"/>
      </w:pPr>
    </w:p>
    <w:p>
      <w:pPr>
        <w:pStyle w:val="Heading5"/>
      </w:pPr>
      <w:r>
        <w:rPr/>
        <w:t>Geographic</w:t>
      </w:r>
      <w:r>
        <w:rPr>
          <w:spacing w:val="-5"/>
        </w:rPr>
        <w:t> </w:t>
      </w:r>
      <w:r>
        <w:rPr>
          <w:spacing w:val="-2"/>
        </w:rPr>
        <w:t>Location:</w:t>
      </w:r>
    </w:p>
    <w:p>
      <w:pPr>
        <w:pStyle w:val="BodyText"/>
        <w:spacing w:before="1"/>
        <w:ind w:left="1440"/>
        <w:jc w:val="both"/>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10"/>
        <w:rPr>
          <w:sz w:val="21"/>
        </w:rPr>
      </w:pPr>
    </w:p>
    <w:p>
      <w:pPr>
        <w:pStyle w:val="Heading5"/>
      </w:pPr>
      <w:r>
        <w:rPr/>
        <w:t>Use of</w:t>
      </w:r>
      <w:r>
        <w:rPr>
          <w:spacing w:val="-1"/>
        </w:rPr>
        <w:t> </w:t>
      </w:r>
      <w:r>
        <w:rPr>
          <w:spacing w:val="-4"/>
        </w:rPr>
        <w:t>Land:</w:t>
      </w:r>
    </w:p>
    <w:p>
      <w:pPr>
        <w:pStyle w:val="BodyText"/>
        <w:spacing w:before="1"/>
        <w:ind w:left="1440"/>
        <w:jc w:val="both"/>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spacing w:before="1"/>
      </w:pPr>
    </w:p>
    <w:p>
      <w:pPr>
        <w:pStyle w:val="Heading5"/>
        <w:spacing w:line="252" w:lineRule="exact"/>
      </w:pPr>
      <w:r>
        <w:rPr/>
        <w:t>Planning</w:t>
      </w:r>
      <w:r>
        <w:rPr>
          <w:spacing w:val="-4"/>
        </w:rPr>
        <w:t> </w:t>
      </w:r>
      <w:r>
        <w:rPr/>
        <w:t>Scheme</w:t>
      </w:r>
      <w:r>
        <w:rPr>
          <w:spacing w:val="-2"/>
        </w:rPr>
        <w:t> Zoning:</w:t>
      </w:r>
    </w:p>
    <w:p>
      <w:pPr>
        <w:pStyle w:val="BodyText"/>
        <w:ind w:left="1440" w:right="1434"/>
        <w:jc w:val="both"/>
      </w:pPr>
      <w:r>
        <w:rPr/>
        <w:t>The</w:t>
      </w:r>
      <w:r>
        <w:rPr>
          <w:spacing w:val="-4"/>
        </w:rPr>
        <w:t> </w:t>
      </w:r>
      <w:r>
        <w:rPr/>
        <w:t>zoning</w:t>
      </w:r>
      <w:r>
        <w:rPr>
          <w:spacing w:val="-4"/>
        </w:rPr>
        <w:t> </w:t>
      </w:r>
      <w:r>
        <w:rPr/>
        <w:t>applicable</w:t>
      </w:r>
      <w:r>
        <w:rPr>
          <w:spacing w:val="-4"/>
        </w:rPr>
        <w:t> </w:t>
      </w:r>
      <w:r>
        <w:rPr/>
        <w:t>to</w:t>
      </w:r>
      <w:r>
        <w:rPr>
          <w:spacing w:val="-6"/>
        </w:rPr>
        <w:t> </w:t>
      </w:r>
      <w:r>
        <w:rPr/>
        <w:t>each</w:t>
      </w:r>
      <w:r>
        <w:rPr>
          <w:spacing w:val="-4"/>
        </w:rPr>
        <w:t> </w:t>
      </w:r>
      <w:r>
        <w:rPr/>
        <w:t>rateable</w:t>
      </w:r>
      <w:r>
        <w:rPr>
          <w:spacing w:val="-5"/>
        </w:rPr>
        <w:t> </w:t>
      </w:r>
      <w:r>
        <w:rPr/>
        <w:t>land</w:t>
      </w:r>
      <w:r>
        <w:rPr>
          <w:spacing w:val="-4"/>
        </w:rPr>
        <w:t> </w:t>
      </w:r>
      <w:r>
        <w:rPr/>
        <w:t>within</w:t>
      </w:r>
      <w:r>
        <w:rPr>
          <w:spacing w:val="-5"/>
        </w:rPr>
        <w:t> </w:t>
      </w:r>
      <w:r>
        <w:rPr/>
        <w:t>this</w:t>
      </w:r>
      <w:r>
        <w:rPr>
          <w:spacing w:val="-4"/>
        </w:rPr>
        <w:t> </w:t>
      </w:r>
      <w:r>
        <w:rPr/>
        <w:t>category,</w:t>
      </w:r>
      <w:r>
        <w:rPr>
          <w:spacing w:val="-4"/>
        </w:rPr>
        <w:t> </w:t>
      </w:r>
      <w:r>
        <w:rPr/>
        <w:t>as</w:t>
      </w:r>
      <w:r>
        <w:rPr>
          <w:spacing w:val="-6"/>
        </w:rPr>
        <w:t> </w:t>
      </w:r>
      <w:r>
        <w:rPr/>
        <w:t>determined</w:t>
      </w:r>
      <w:r>
        <w:rPr>
          <w:spacing w:val="-4"/>
        </w:rPr>
        <w:t> </w:t>
      </w:r>
      <w:r>
        <w:rPr/>
        <w:t>by</w:t>
      </w:r>
      <w:r>
        <w:rPr>
          <w:spacing w:val="-4"/>
        </w:rPr>
        <w:t> </w:t>
      </w:r>
      <w:r>
        <w:rPr/>
        <w:t>consulting maps referred to in the relevant Planning Scheme.</w:t>
      </w:r>
    </w:p>
    <w:p>
      <w:pPr>
        <w:pStyle w:val="BodyText"/>
        <w:spacing w:before="10"/>
        <w:rPr>
          <w:sz w:val="21"/>
        </w:rPr>
      </w:pPr>
    </w:p>
    <w:p>
      <w:pPr>
        <w:pStyle w:val="Heading5"/>
      </w:pPr>
      <w:r>
        <w:rPr/>
        <w:t>Types</w:t>
      </w:r>
      <w:r>
        <w:rPr>
          <w:spacing w:val="-3"/>
        </w:rPr>
        <w:t> </w:t>
      </w:r>
      <w:r>
        <w:rPr/>
        <w:t>of</w:t>
      </w:r>
      <w:r>
        <w:rPr>
          <w:spacing w:val="-1"/>
        </w:rPr>
        <w:t> </w:t>
      </w:r>
      <w:r>
        <w:rPr>
          <w:spacing w:val="-2"/>
        </w:rPr>
        <w:t>Buildings:</w:t>
      </w:r>
    </w:p>
    <w:p>
      <w:pPr>
        <w:pStyle w:val="BodyText"/>
        <w:spacing w:before="2"/>
        <w:ind w:left="1440" w:right="1438"/>
        <w:jc w:val="both"/>
      </w:pPr>
      <w:r>
        <w:rPr/>
        <w:t>All buildings which are now constructed on the land, or which are constructed prior to the expiry of the relevant financial year.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drawing>
          <wp:anchor distT="0" distB="0" distL="0" distR="0" allowOverlap="1" layoutInCell="1" locked="0" behindDoc="0" simplePos="0" relativeHeight="19">
            <wp:simplePos x="0" y="0"/>
            <wp:positionH relativeFrom="page">
              <wp:posOffset>27432</wp:posOffset>
            </wp:positionH>
            <wp:positionV relativeFrom="paragraph">
              <wp:posOffset>167084</wp:posOffset>
            </wp:positionV>
            <wp:extent cx="7378567" cy="97440"/>
            <wp:effectExtent l="0" t="0" r="0" b="0"/>
            <wp:wrapTopAndBottom/>
            <wp:docPr id="37" name="image4.png"/>
            <wp:cNvGraphicFramePr>
              <a:graphicFrameLocks noChangeAspect="1"/>
            </wp:cNvGraphicFramePr>
            <a:graphic>
              <a:graphicData uri="http://schemas.openxmlformats.org/drawingml/2006/picture">
                <pic:pic>
                  <pic:nvPicPr>
                    <pic:cNvPr id="38"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20"/>
        </w:rPr>
        <w:sectPr>
          <w:pgSz w:w="11910" w:h="16840"/>
          <w:pgMar w:header="0" w:footer="662" w:top="1340" w:bottom="860" w:left="0" w:right="0"/>
        </w:sectPr>
      </w:pPr>
    </w:p>
    <w:p>
      <w:pPr>
        <w:pStyle w:val="BodyText"/>
        <w:rPr>
          <w:sz w:val="20"/>
        </w:rPr>
      </w:pPr>
      <w:r>
        <w:rPr/>
        <w:drawing>
          <wp:anchor distT="0" distB="0" distL="0" distR="0" allowOverlap="1" layoutInCell="1" locked="0" behindDoc="0" simplePos="0" relativeHeight="15739392">
            <wp:simplePos x="0" y="0"/>
            <wp:positionH relativeFrom="page">
              <wp:posOffset>0</wp:posOffset>
            </wp:positionH>
            <wp:positionV relativeFrom="page">
              <wp:posOffset>9829800</wp:posOffset>
            </wp:positionV>
            <wp:extent cx="7560564" cy="101981"/>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sz w:val="20"/>
        </w:rPr>
      </w:pPr>
    </w:p>
    <w:p>
      <w:pPr>
        <w:pStyle w:val="BodyText"/>
        <w:spacing w:before="1"/>
        <w:rPr>
          <w:sz w:val="25"/>
        </w:rPr>
      </w:pPr>
    </w:p>
    <w:p>
      <w:pPr>
        <w:pStyle w:val="Heading4"/>
        <w:spacing w:before="92"/>
      </w:pPr>
      <w:r>
        <w:rPr/>
        <w:drawing>
          <wp:anchor distT="0" distB="0" distL="0" distR="0" allowOverlap="1" layoutInCell="1" locked="0" behindDoc="0" simplePos="0" relativeHeight="15738880">
            <wp:simplePos x="0" y="0"/>
            <wp:positionH relativeFrom="page">
              <wp:posOffset>6461760</wp:posOffset>
            </wp:positionH>
            <wp:positionV relativeFrom="paragraph">
              <wp:posOffset>-480417</wp:posOffset>
            </wp:positionV>
            <wp:extent cx="545591" cy="637031"/>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8" cstate="print"/>
                    <a:stretch>
                      <a:fillRect/>
                    </a:stretch>
                  </pic:blipFill>
                  <pic:spPr>
                    <a:xfrm>
                      <a:off x="0" y="0"/>
                      <a:ext cx="545591" cy="637031"/>
                    </a:xfrm>
                    <a:prstGeom prst="rect">
                      <a:avLst/>
                    </a:prstGeom>
                  </pic:spPr>
                </pic:pic>
              </a:graphicData>
            </a:graphic>
          </wp:anchor>
        </w:drawing>
      </w:r>
      <w:r>
        <w:rPr>
          <w:color w:val="134295"/>
        </w:rPr>
        <w:t>Commercial</w:t>
      </w:r>
      <w:r>
        <w:rPr>
          <w:color w:val="134295"/>
          <w:spacing w:val="-7"/>
        </w:rPr>
        <w:t> </w:t>
      </w:r>
      <w:r>
        <w:rPr>
          <w:color w:val="134295"/>
          <w:spacing w:val="-4"/>
        </w:rPr>
        <w:t>Land</w:t>
      </w:r>
    </w:p>
    <w:p>
      <w:pPr>
        <w:pStyle w:val="BodyText"/>
        <w:rPr>
          <w:sz w:val="14"/>
        </w:rPr>
      </w:pPr>
    </w:p>
    <w:p>
      <w:pPr>
        <w:pStyle w:val="Heading5"/>
        <w:spacing w:line="252" w:lineRule="exact" w:before="94"/>
        <w:jc w:val="left"/>
      </w:pPr>
      <w:r>
        <w:rPr>
          <w:spacing w:val="-2"/>
        </w:rPr>
        <w:t>Definitions/Characteristics:</w:t>
      </w:r>
    </w:p>
    <w:p>
      <w:pPr>
        <w:spacing w:before="0"/>
        <w:ind w:left="1440" w:right="1435" w:firstLine="0"/>
        <w:jc w:val="both"/>
        <w:rPr>
          <w:b/>
          <w:sz w:val="22"/>
        </w:rPr>
      </w:pPr>
      <w:r>
        <w:rPr>
          <w:sz w:val="22"/>
        </w:rPr>
        <w:t>Commercial Land is any land that is primarily used, designed or adapted to be used for the sale of goods or services, other commercial purposes </w:t>
      </w:r>
      <w:r>
        <w:rPr>
          <w:b/>
          <w:sz w:val="22"/>
        </w:rPr>
        <w:t>and/or business/ administrative </w:t>
      </w:r>
      <w:r>
        <w:rPr>
          <w:b/>
          <w:spacing w:val="-2"/>
          <w:sz w:val="22"/>
        </w:rPr>
        <w:t>purposes.</w:t>
      </w:r>
    </w:p>
    <w:p>
      <w:pPr>
        <w:pStyle w:val="BodyText"/>
        <w:rPr>
          <w:b/>
        </w:rPr>
      </w:pPr>
    </w:p>
    <w:p>
      <w:pPr>
        <w:pStyle w:val="Heading5"/>
        <w:spacing w:line="252" w:lineRule="exact"/>
        <w:jc w:val="left"/>
      </w:pPr>
      <w:r>
        <w:rPr>
          <w:spacing w:val="-2"/>
        </w:rPr>
        <w:t>Objective:</w:t>
      </w:r>
    </w:p>
    <w:p>
      <w:pPr>
        <w:pStyle w:val="BodyText"/>
        <w:ind w:left="1440" w:right="1342"/>
      </w:pPr>
      <w:r>
        <w:rPr/>
        <w:t>To</w:t>
      </w:r>
      <w:r>
        <w:rPr>
          <w:spacing w:val="-16"/>
        </w:rPr>
        <w:t> </w:t>
      </w:r>
      <w:r>
        <w:rPr/>
        <w:t>ensure</w:t>
      </w:r>
      <w:r>
        <w:rPr>
          <w:spacing w:val="-17"/>
        </w:rPr>
        <w:t> </w:t>
      </w:r>
      <w:r>
        <w:rPr/>
        <w:t>that</w:t>
      </w:r>
      <w:r>
        <w:rPr>
          <w:spacing w:val="-15"/>
        </w:rPr>
        <w:t> </w:t>
      </w:r>
      <w:r>
        <w:rPr/>
        <w:t>all</w:t>
      </w:r>
      <w:r>
        <w:rPr>
          <w:spacing w:val="-15"/>
        </w:rPr>
        <w:t> </w:t>
      </w:r>
      <w:r>
        <w:rPr/>
        <w:t>rateable</w:t>
      </w:r>
      <w:r>
        <w:rPr>
          <w:spacing w:val="-16"/>
        </w:rPr>
        <w:t> </w:t>
      </w:r>
      <w:r>
        <w:rPr/>
        <w:t>land</w:t>
      </w:r>
      <w:r>
        <w:rPr>
          <w:spacing w:val="-15"/>
        </w:rPr>
        <w:t> </w:t>
      </w:r>
      <w:r>
        <w:rPr/>
        <w:t>makes</w:t>
      </w:r>
      <w:r>
        <w:rPr>
          <w:spacing w:val="-15"/>
        </w:rPr>
        <w:t> </w:t>
      </w:r>
      <w:r>
        <w:rPr/>
        <w:t>an</w:t>
      </w:r>
      <w:r>
        <w:rPr>
          <w:spacing w:val="-15"/>
        </w:rPr>
        <w:t> </w:t>
      </w:r>
      <w:r>
        <w:rPr/>
        <w:t>equitable</w:t>
      </w:r>
      <w:r>
        <w:rPr>
          <w:spacing w:val="-16"/>
        </w:rPr>
        <w:t> </w:t>
      </w:r>
      <w:r>
        <w:rPr/>
        <w:t>financial</w:t>
      </w:r>
      <w:r>
        <w:rPr>
          <w:spacing w:val="-15"/>
        </w:rPr>
        <w:t> </w:t>
      </w:r>
      <w:r>
        <w:rPr/>
        <w:t>contribution</w:t>
      </w:r>
      <w:r>
        <w:rPr>
          <w:spacing w:val="-15"/>
        </w:rPr>
        <w:t> </w:t>
      </w:r>
      <w:r>
        <w:rPr/>
        <w:t>to</w:t>
      </w:r>
      <w:r>
        <w:rPr>
          <w:spacing w:val="-16"/>
        </w:rPr>
        <w:t> </w:t>
      </w:r>
      <w:r>
        <w:rPr/>
        <w:t>the</w:t>
      </w:r>
      <w:r>
        <w:rPr>
          <w:spacing w:val="-15"/>
        </w:rPr>
        <w:t> </w:t>
      </w:r>
      <w:r>
        <w:rPr/>
        <w:t>cost</w:t>
      </w:r>
      <w:r>
        <w:rPr>
          <w:spacing w:val="-15"/>
        </w:rPr>
        <w:t> </w:t>
      </w:r>
      <w:r>
        <w:rPr/>
        <w:t>of</w:t>
      </w:r>
      <w:r>
        <w:rPr>
          <w:spacing w:val="-15"/>
        </w:rPr>
        <w:t> </w:t>
      </w:r>
      <w:r>
        <w:rPr/>
        <w:t>carrying out the functions of Council, including:</w:t>
      </w:r>
    </w:p>
    <w:p>
      <w:pPr>
        <w:pStyle w:val="ListParagraph"/>
        <w:numPr>
          <w:ilvl w:val="0"/>
          <w:numId w:val="8"/>
        </w:numPr>
        <w:tabs>
          <w:tab w:pos="2160" w:val="left" w:leader="none"/>
        </w:tabs>
        <w:spacing w:line="252" w:lineRule="exact" w:before="0" w:after="0"/>
        <w:ind w:left="2159" w:right="0" w:hanging="360"/>
        <w:jc w:val="left"/>
        <w:rPr>
          <w:sz w:val="22"/>
        </w:rPr>
      </w:pPr>
      <w:r>
        <w:rPr>
          <w:sz w:val="22"/>
        </w:rPr>
        <w:t>Construction</w:t>
      </w:r>
      <w:r>
        <w:rPr>
          <w:spacing w:val="-5"/>
          <w:sz w:val="22"/>
        </w:rPr>
        <w:t> </w:t>
      </w:r>
      <w:r>
        <w:rPr>
          <w:sz w:val="22"/>
        </w:rPr>
        <w:t>and</w:t>
      </w:r>
      <w:r>
        <w:rPr>
          <w:spacing w:val="-7"/>
          <w:sz w:val="22"/>
        </w:rPr>
        <w:t> </w:t>
      </w:r>
      <w:r>
        <w:rPr>
          <w:sz w:val="22"/>
        </w:rPr>
        <w:t>maintenance</w:t>
      </w:r>
      <w:r>
        <w:rPr>
          <w:spacing w:val="-4"/>
          <w:sz w:val="22"/>
        </w:rPr>
        <w:t> </w:t>
      </w:r>
      <w:r>
        <w:rPr>
          <w:sz w:val="22"/>
        </w:rPr>
        <w:t>of</w:t>
      </w:r>
      <w:r>
        <w:rPr>
          <w:spacing w:val="-4"/>
          <w:sz w:val="22"/>
        </w:rPr>
        <w:t> </w:t>
      </w:r>
      <w:r>
        <w:rPr>
          <w:sz w:val="22"/>
        </w:rPr>
        <w:t>public</w:t>
      </w:r>
      <w:r>
        <w:rPr>
          <w:spacing w:val="-5"/>
          <w:sz w:val="22"/>
        </w:rPr>
        <w:t> </w:t>
      </w:r>
      <w:r>
        <w:rPr>
          <w:sz w:val="22"/>
        </w:rPr>
        <w:t>infrastructure:</w:t>
      </w:r>
      <w:r>
        <w:rPr>
          <w:spacing w:val="-3"/>
          <w:sz w:val="22"/>
        </w:rPr>
        <w:t> </w:t>
      </w:r>
      <w:r>
        <w:rPr>
          <w:spacing w:val="-5"/>
          <w:sz w:val="22"/>
        </w:rPr>
        <w:t>and</w:t>
      </w:r>
    </w:p>
    <w:p>
      <w:pPr>
        <w:pStyle w:val="ListParagraph"/>
        <w:numPr>
          <w:ilvl w:val="0"/>
          <w:numId w:val="8"/>
        </w:numPr>
        <w:tabs>
          <w:tab w:pos="2160" w:val="left" w:leader="none"/>
        </w:tabs>
        <w:spacing w:line="252" w:lineRule="exact" w:before="0" w:after="0"/>
        <w:ind w:left="2159" w:right="0" w:hanging="360"/>
        <w:jc w:val="left"/>
        <w:rPr>
          <w:sz w:val="22"/>
        </w:rPr>
      </w:pPr>
      <w:r>
        <w:rPr>
          <w:sz w:val="22"/>
        </w:rPr>
        <w:t>Development</w:t>
      </w:r>
      <w:r>
        <w:rPr>
          <w:spacing w:val="-2"/>
          <w:sz w:val="22"/>
        </w:rPr>
        <w:t> </w:t>
      </w:r>
      <w:r>
        <w:rPr>
          <w:sz w:val="22"/>
        </w:rPr>
        <w:t>and</w:t>
      </w:r>
      <w:r>
        <w:rPr>
          <w:spacing w:val="-6"/>
          <w:sz w:val="22"/>
        </w:rPr>
        <w:t> </w:t>
      </w:r>
      <w:r>
        <w:rPr>
          <w:sz w:val="22"/>
        </w:rPr>
        <w:t>provision</w:t>
      </w:r>
      <w:r>
        <w:rPr>
          <w:spacing w:val="-3"/>
          <w:sz w:val="22"/>
        </w:rPr>
        <w:t> </w:t>
      </w:r>
      <w:r>
        <w:rPr>
          <w:sz w:val="22"/>
        </w:rPr>
        <w:t>of</w:t>
      </w:r>
      <w:r>
        <w:rPr>
          <w:spacing w:val="-3"/>
          <w:sz w:val="22"/>
        </w:rPr>
        <w:t> </w:t>
      </w:r>
      <w:r>
        <w:rPr>
          <w:sz w:val="22"/>
        </w:rPr>
        <w:t>health</w:t>
      </w:r>
      <w:r>
        <w:rPr>
          <w:spacing w:val="-4"/>
          <w:sz w:val="22"/>
        </w:rPr>
        <w:t> </w:t>
      </w:r>
      <w:r>
        <w:rPr>
          <w:sz w:val="22"/>
        </w:rPr>
        <w:t>&amp;</w:t>
      </w:r>
      <w:r>
        <w:rPr>
          <w:spacing w:val="-5"/>
          <w:sz w:val="22"/>
        </w:rPr>
        <w:t> </w:t>
      </w:r>
      <w:r>
        <w:rPr>
          <w:sz w:val="22"/>
        </w:rPr>
        <w:t>community</w:t>
      </w:r>
      <w:r>
        <w:rPr>
          <w:spacing w:val="-4"/>
          <w:sz w:val="22"/>
        </w:rPr>
        <w:t> </w:t>
      </w:r>
      <w:r>
        <w:rPr>
          <w:sz w:val="22"/>
        </w:rPr>
        <w:t>services;</w:t>
      </w:r>
      <w:r>
        <w:rPr>
          <w:spacing w:val="-2"/>
          <w:sz w:val="22"/>
        </w:rPr>
        <w:t> </w:t>
      </w:r>
      <w:r>
        <w:rPr>
          <w:spacing w:val="-5"/>
          <w:sz w:val="22"/>
        </w:rPr>
        <w:t>and</w:t>
      </w:r>
    </w:p>
    <w:p>
      <w:pPr>
        <w:pStyle w:val="ListParagraph"/>
        <w:numPr>
          <w:ilvl w:val="0"/>
          <w:numId w:val="8"/>
        </w:numPr>
        <w:tabs>
          <w:tab w:pos="2160" w:val="left" w:leader="none"/>
        </w:tabs>
        <w:spacing w:line="252" w:lineRule="exact" w:before="2" w:after="0"/>
        <w:ind w:left="2159" w:right="0" w:hanging="360"/>
        <w:jc w:val="left"/>
        <w:rPr>
          <w:sz w:val="22"/>
        </w:rPr>
      </w:pPr>
      <w:r>
        <w:rPr>
          <w:sz w:val="22"/>
        </w:rPr>
        <w:t>Provision</w:t>
      </w:r>
      <w:r>
        <w:rPr>
          <w:spacing w:val="-3"/>
          <w:sz w:val="22"/>
        </w:rPr>
        <w:t> </w:t>
      </w:r>
      <w:r>
        <w:rPr>
          <w:sz w:val="22"/>
        </w:rPr>
        <w:t>of</w:t>
      </w:r>
      <w:r>
        <w:rPr>
          <w:spacing w:val="-3"/>
          <w:sz w:val="22"/>
        </w:rPr>
        <w:t> </w:t>
      </w:r>
      <w:r>
        <w:rPr>
          <w:sz w:val="22"/>
        </w:rPr>
        <w:t>general</w:t>
      </w:r>
      <w:r>
        <w:rPr>
          <w:spacing w:val="-4"/>
          <w:sz w:val="22"/>
        </w:rPr>
        <w:t> </w:t>
      </w:r>
      <w:r>
        <w:rPr>
          <w:sz w:val="22"/>
        </w:rPr>
        <w:t>support</w:t>
      </w:r>
      <w:r>
        <w:rPr>
          <w:spacing w:val="-6"/>
          <w:sz w:val="22"/>
        </w:rPr>
        <w:t> </w:t>
      </w:r>
      <w:r>
        <w:rPr>
          <w:sz w:val="22"/>
        </w:rPr>
        <w:t>services;</w:t>
      </w:r>
      <w:r>
        <w:rPr>
          <w:spacing w:val="-1"/>
          <w:sz w:val="22"/>
        </w:rPr>
        <w:t> </w:t>
      </w:r>
      <w:r>
        <w:rPr>
          <w:spacing w:val="-5"/>
          <w:sz w:val="22"/>
        </w:rPr>
        <w:t>and</w:t>
      </w:r>
    </w:p>
    <w:p>
      <w:pPr>
        <w:pStyle w:val="ListParagraph"/>
        <w:numPr>
          <w:ilvl w:val="0"/>
          <w:numId w:val="8"/>
        </w:numPr>
        <w:tabs>
          <w:tab w:pos="2160" w:val="left" w:leader="none"/>
        </w:tabs>
        <w:spacing w:line="240" w:lineRule="auto" w:before="0" w:after="0"/>
        <w:ind w:left="2160" w:right="1435" w:hanging="360"/>
        <w:jc w:val="left"/>
        <w:rPr>
          <w:sz w:val="22"/>
        </w:rPr>
      </w:pPr>
      <w:r>
        <w:rPr>
          <w:sz w:val="22"/>
        </w:rPr>
        <w:t>Enhancement</w:t>
      </w:r>
      <w:r>
        <w:rPr>
          <w:spacing w:val="-11"/>
          <w:sz w:val="22"/>
        </w:rPr>
        <w:t> </w:t>
      </w:r>
      <w:r>
        <w:rPr>
          <w:sz w:val="22"/>
        </w:rPr>
        <w:t>of</w:t>
      </w:r>
      <w:r>
        <w:rPr>
          <w:spacing w:val="-11"/>
          <w:sz w:val="22"/>
        </w:rPr>
        <w:t> </w:t>
      </w:r>
      <w:r>
        <w:rPr>
          <w:sz w:val="22"/>
        </w:rPr>
        <w:t>the</w:t>
      </w:r>
      <w:r>
        <w:rPr>
          <w:spacing w:val="-9"/>
          <w:sz w:val="22"/>
        </w:rPr>
        <w:t> </w:t>
      </w:r>
      <w:r>
        <w:rPr>
          <w:sz w:val="22"/>
        </w:rPr>
        <w:t>economic</w:t>
      </w:r>
      <w:r>
        <w:rPr>
          <w:spacing w:val="-11"/>
          <w:sz w:val="22"/>
        </w:rPr>
        <w:t> </w:t>
      </w:r>
      <w:r>
        <w:rPr>
          <w:sz w:val="22"/>
        </w:rPr>
        <w:t>viability</w:t>
      </w:r>
      <w:r>
        <w:rPr>
          <w:spacing w:val="-9"/>
          <w:sz w:val="22"/>
        </w:rPr>
        <w:t> </w:t>
      </w:r>
      <w:r>
        <w:rPr>
          <w:sz w:val="22"/>
        </w:rPr>
        <w:t>of</w:t>
      </w:r>
      <w:r>
        <w:rPr>
          <w:spacing w:val="-11"/>
          <w:sz w:val="22"/>
        </w:rPr>
        <w:t> </w:t>
      </w:r>
      <w:r>
        <w:rPr>
          <w:sz w:val="22"/>
        </w:rPr>
        <w:t>the</w:t>
      </w:r>
      <w:r>
        <w:rPr>
          <w:spacing w:val="-11"/>
          <w:sz w:val="22"/>
        </w:rPr>
        <w:t> </w:t>
      </w:r>
      <w:r>
        <w:rPr>
          <w:sz w:val="22"/>
        </w:rPr>
        <w:t>commercial</w:t>
      </w:r>
      <w:r>
        <w:rPr>
          <w:spacing w:val="-11"/>
          <w:sz w:val="22"/>
        </w:rPr>
        <w:t> </w:t>
      </w:r>
      <w:r>
        <w:rPr>
          <w:sz w:val="22"/>
        </w:rPr>
        <w:t>and</w:t>
      </w:r>
      <w:r>
        <w:rPr>
          <w:spacing w:val="-12"/>
          <w:sz w:val="22"/>
        </w:rPr>
        <w:t> </w:t>
      </w:r>
      <w:r>
        <w:rPr>
          <w:sz w:val="22"/>
        </w:rPr>
        <w:t>industrial</w:t>
      </w:r>
      <w:r>
        <w:rPr>
          <w:spacing w:val="-11"/>
          <w:sz w:val="22"/>
        </w:rPr>
        <w:t> </w:t>
      </w:r>
      <w:r>
        <w:rPr>
          <w:sz w:val="22"/>
        </w:rPr>
        <w:t>sector</w:t>
      </w:r>
      <w:r>
        <w:rPr>
          <w:spacing w:val="-11"/>
          <w:sz w:val="22"/>
        </w:rPr>
        <w:t> </w:t>
      </w:r>
      <w:r>
        <w:rPr>
          <w:sz w:val="22"/>
        </w:rPr>
        <w:t>through targeted programs and projects; and</w:t>
      </w:r>
    </w:p>
    <w:p>
      <w:pPr>
        <w:pStyle w:val="ListParagraph"/>
        <w:numPr>
          <w:ilvl w:val="0"/>
          <w:numId w:val="8"/>
        </w:numPr>
        <w:tabs>
          <w:tab w:pos="2160" w:val="left" w:leader="none"/>
        </w:tabs>
        <w:spacing w:line="252" w:lineRule="exact" w:before="0" w:after="0"/>
        <w:ind w:left="2159" w:right="0" w:hanging="360"/>
        <w:jc w:val="left"/>
        <w:rPr>
          <w:sz w:val="22"/>
        </w:rPr>
      </w:pPr>
      <w:r>
        <w:rPr>
          <w:sz w:val="22"/>
        </w:rPr>
        <w:t>Encouragement</w:t>
      </w:r>
      <w:r>
        <w:rPr>
          <w:spacing w:val="-7"/>
          <w:sz w:val="22"/>
        </w:rPr>
        <w:t> </w:t>
      </w:r>
      <w:r>
        <w:rPr>
          <w:sz w:val="22"/>
        </w:rPr>
        <w:t>of</w:t>
      </w:r>
      <w:r>
        <w:rPr>
          <w:spacing w:val="-7"/>
          <w:sz w:val="22"/>
        </w:rPr>
        <w:t> </w:t>
      </w:r>
      <w:r>
        <w:rPr>
          <w:sz w:val="22"/>
        </w:rPr>
        <w:t>employment</w:t>
      </w:r>
      <w:r>
        <w:rPr>
          <w:spacing w:val="-7"/>
          <w:sz w:val="22"/>
        </w:rPr>
        <w:t> </w:t>
      </w:r>
      <w:r>
        <w:rPr>
          <w:sz w:val="22"/>
        </w:rPr>
        <w:t>opportunities;</w:t>
      </w:r>
      <w:r>
        <w:rPr>
          <w:spacing w:val="-6"/>
          <w:sz w:val="22"/>
        </w:rPr>
        <w:t> </w:t>
      </w:r>
      <w:r>
        <w:rPr>
          <w:spacing w:val="-5"/>
          <w:sz w:val="22"/>
        </w:rPr>
        <w:t>and</w:t>
      </w:r>
    </w:p>
    <w:p>
      <w:pPr>
        <w:pStyle w:val="ListParagraph"/>
        <w:numPr>
          <w:ilvl w:val="0"/>
          <w:numId w:val="8"/>
        </w:numPr>
        <w:tabs>
          <w:tab w:pos="2160" w:val="left" w:leader="none"/>
        </w:tabs>
        <w:spacing w:line="252" w:lineRule="exact" w:before="0" w:after="0"/>
        <w:ind w:left="2159" w:right="0" w:hanging="360"/>
        <w:jc w:val="left"/>
        <w:rPr>
          <w:sz w:val="22"/>
        </w:rPr>
      </w:pPr>
      <w:r>
        <w:rPr>
          <w:sz w:val="22"/>
        </w:rPr>
        <w:t>Promotion</w:t>
      </w:r>
      <w:r>
        <w:rPr>
          <w:spacing w:val="-4"/>
          <w:sz w:val="22"/>
        </w:rPr>
        <w:t> </w:t>
      </w:r>
      <w:r>
        <w:rPr>
          <w:sz w:val="22"/>
        </w:rPr>
        <w:t>of</w:t>
      </w:r>
      <w:r>
        <w:rPr>
          <w:spacing w:val="-6"/>
          <w:sz w:val="22"/>
        </w:rPr>
        <w:t> </w:t>
      </w:r>
      <w:r>
        <w:rPr>
          <w:sz w:val="22"/>
        </w:rPr>
        <w:t>economic</w:t>
      </w:r>
      <w:r>
        <w:rPr>
          <w:spacing w:val="-5"/>
          <w:sz w:val="22"/>
        </w:rPr>
        <w:t> </w:t>
      </w:r>
      <w:r>
        <w:rPr>
          <w:sz w:val="22"/>
        </w:rPr>
        <w:t>development;</w:t>
      </w:r>
      <w:r>
        <w:rPr>
          <w:spacing w:val="-3"/>
          <w:sz w:val="22"/>
        </w:rPr>
        <w:t> </w:t>
      </w:r>
      <w:r>
        <w:rPr>
          <w:spacing w:val="-5"/>
          <w:sz w:val="22"/>
        </w:rPr>
        <w:t>and</w:t>
      </w:r>
    </w:p>
    <w:p>
      <w:pPr>
        <w:pStyle w:val="ListParagraph"/>
        <w:numPr>
          <w:ilvl w:val="0"/>
          <w:numId w:val="8"/>
        </w:numPr>
        <w:tabs>
          <w:tab w:pos="2160" w:val="left" w:leader="none"/>
        </w:tabs>
        <w:spacing w:line="240" w:lineRule="auto" w:before="1" w:after="0"/>
        <w:ind w:left="2160" w:right="1438" w:hanging="360"/>
        <w:jc w:val="left"/>
        <w:rPr>
          <w:sz w:val="22"/>
        </w:rPr>
      </w:pPr>
      <w:r>
        <w:rPr>
          <w:sz w:val="22"/>
        </w:rPr>
        <w:t>Requirement</w:t>
      </w:r>
      <w:r>
        <w:rPr>
          <w:spacing w:val="-11"/>
          <w:sz w:val="22"/>
        </w:rPr>
        <w:t> </w:t>
      </w:r>
      <w:r>
        <w:rPr>
          <w:sz w:val="22"/>
        </w:rPr>
        <w:t>to</w:t>
      </w:r>
      <w:r>
        <w:rPr>
          <w:spacing w:val="-9"/>
          <w:sz w:val="22"/>
        </w:rPr>
        <w:t> </w:t>
      </w:r>
      <w:r>
        <w:rPr>
          <w:sz w:val="22"/>
        </w:rPr>
        <w:t>ensure</w:t>
      </w:r>
      <w:r>
        <w:rPr>
          <w:spacing w:val="-13"/>
          <w:sz w:val="22"/>
        </w:rPr>
        <w:t> </w:t>
      </w:r>
      <w:r>
        <w:rPr>
          <w:sz w:val="22"/>
        </w:rPr>
        <w:t>that</w:t>
      </w:r>
      <w:r>
        <w:rPr>
          <w:spacing w:val="-9"/>
          <w:sz w:val="22"/>
        </w:rPr>
        <w:t> </w:t>
      </w:r>
      <w:r>
        <w:rPr>
          <w:sz w:val="22"/>
        </w:rPr>
        <w:t>streetscaping</w:t>
      </w:r>
      <w:r>
        <w:rPr>
          <w:spacing w:val="-7"/>
          <w:sz w:val="22"/>
        </w:rPr>
        <w:t> </w:t>
      </w:r>
      <w:r>
        <w:rPr>
          <w:sz w:val="22"/>
        </w:rPr>
        <w:t>and</w:t>
      </w:r>
      <w:r>
        <w:rPr>
          <w:spacing w:val="-11"/>
          <w:sz w:val="22"/>
        </w:rPr>
        <w:t> </w:t>
      </w:r>
      <w:r>
        <w:rPr>
          <w:sz w:val="22"/>
        </w:rPr>
        <w:t>promotional</w:t>
      </w:r>
      <w:r>
        <w:rPr>
          <w:spacing w:val="-7"/>
          <w:sz w:val="22"/>
        </w:rPr>
        <w:t> </w:t>
      </w:r>
      <w:r>
        <w:rPr>
          <w:sz w:val="22"/>
        </w:rPr>
        <w:t>activity</w:t>
      </w:r>
      <w:r>
        <w:rPr>
          <w:spacing w:val="-9"/>
          <w:sz w:val="22"/>
        </w:rPr>
        <w:t> </w:t>
      </w:r>
      <w:r>
        <w:rPr>
          <w:sz w:val="22"/>
        </w:rPr>
        <w:t>is</w:t>
      </w:r>
      <w:r>
        <w:rPr>
          <w:spacing w:val="-9"/>
          <w:sz w:val="22"/>
        </w:rPr>
        <w:t> </w:t>
      </w:r>
      <w:r>
        <w:rPr>
          <w:sz w:val="22"/>
        </w:rPr>
        <w:t>complimentary</w:t>
      </w:r>
      <w:r>
        <w:rPr>
          <w:spacing w:val="-12"/>
          <w:sz w:val="22"/>
        </w:rPr>
        <w:t> </w:t>
      </w:r>
      <w:r>
        <w:rPr>
          <w:sz w:val="22"/>
        </w:rPr>
        <w:t>to the achievement of commercial and industrial objectives.</w:t>
      </w:r>
    </w:p>
    <w:p>
      <w:pPr>
        <w:pStyle w:val="BodyText"/>
        <w:spacing w:before="11"/>
        <w:rPr>
          <w:sz w:val="21"/>
        </w:rPr>
      </w:pPr>
    </w:p>
    <w:p>
      <w:pPr>
        <w:pStyle w:val="Heading5"/>
        <w:spacing w:line="252" w:lineRule="exact"/>
        <w:jc w:val="left"/>
      </w:pPr>
      <w:r>
        <w:rPr/>
        <w:t>Types</w:t>
      </w:r>
      <w:r>
        <w:rPr>
          <w:spacing w:val="-2"/>
        </w:rPr>
        <w:t> </w:t>
      </w:r>
      <w:r>
        <w:rPr/>
        <w:t>and</w:t>
      </w:r>
      <w:r>
        <w:rPr>
          <w:spacing w:val="-1"/>
        </w:rPr>
        <w:t> </w:t>
      </w:r>
      <w:r>
        <w:rPr>
          <w:spacing w:val="-2"/>
        </w:rPr>
        <w:t>Classes:</w:t>
      </w:r>
    </w:p>
    <w:p>
      <w:pPr>
        <w:pStyle w:val="BodyText"/>
        <w:spacing w:line="252" w:lineRule="exact"/>
        <w:ind w:left="144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spacing w:before="2"/>
        <w:ind w:left="1440" w:right="1434"/>
        <w:jc w:val="both"/>
      </w:pPr>
      <w:r>
        <w:rPr/>
        <w:t>The differential rate will be used to fund some of those items of expenditure described in the Budget adopted by Council. The level of differential rate is the level which Council considers is necessary to achieve the objectives specified above.</w:t>
      </w:r>
    </w:p>
    <w:p>
      <w:pPr>
        <w:pStyle w:val="BodyText"/>
        <w:spacing w:before="10"/>
        <w:rPr>
          <w:sz w:val="21"/>
        </w:rPr>
      </w:pPr>
    </w:p>
    <w:p>
      <w:pPr>
        <w:pStyle w:val="Heading5"/>
        <w:jc w:val="left"/>
      </w:pPr>
      <w:r>
        <w:rPr/>
        <w:t>Geographic</w:t>
      </w:r>
      <w:r>
        <w:rPr>
          <w:spacing w:val="-5"/>
        </w:rPr>
        <w:t> </w:t>
      </w:r>
      <w:r>
        <w:rPr>
          <w:spacing w:val="-2"/>
        </w:rPr>
        <w:t>Location:</w:t>
      </w:r>
    </w:p>
    <w:p>
      <w:pPr>
        <w:pStyle w:val="BodyText"/>
        <w:spacing w:before="1"/>
        <w:ind w:left="144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10"/>
        <w:rPr>
          <w:sz w:val="21"/>
        </w:rPr>
      </w:pPr>
    </w:p>
    <w:p>
      <w:pPr>
        <w:pStyle w:val="Heading5"/>
        <w:jc w:val="left"/>
      </w:pPr>
      <w:r>
        <w:rPr/>
        <w:t>Use of</w:t>
      </w:r>
      <w:r>
        <w:rPr>
          <w:spacing w:val="-1"/>
        </w:rPr>
        <w:t> </w:t>
      </w:r>
      <w:r>
        <w:rPr>
          <w:spacing w:val="-4"/>
        </w:rPr>
        <w:t>Land:</w:t>
      </w:r>
    </w:p>
    <w:p>
      <w:pPr>
        <w:pStyle w:val="BodyText"/>
        <w:spacing w:before="1"/>
        <w:ind w:left="144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spacing w:before="1"/>
      </w:pPr>
    </w:p>
    <w:p>
      <w:pPr>
        <w:pStyle w:val="Heading5"/>
        <w:spacing w:line="252" w:lineRule="exact"/>
        <w:jc w:val="left"/>
      </w:pPr>
      <w:r>
        <w:rPr/>
        <w:t>Planning</w:t>
      </w:r>
      <w:r>
        <w:rPr>
          <w:spacing w:val="-4"/>
        </w:rPr>
        <w:t> </w:t>
      </w:r>
      <w:r>
        <w:rPr/>
        <w:t>Scheme</w:t>
      </w:r>
      <w:r>
        <w:rPr>
          <w:spacing w:val="-2"/>
        </w:rPr>
        <w:t> Zoning:</w:t>
      </w:r>
    </w:p>
    <w:p>
      <w:pPr>
        <w:pStyle w:val="BodyText"/>
        <w:ind w:left="1440" w:right="1342"/>
      </w:pPr>
      <w:r>
        <w:rPr/>
        <w:t>The</w:t>
      </w:r>
      <w:r>
        <w:rPr>
          <w:spacing w:val="-4"/>
        </w:rPr>
        <w:t> </w:t>
      </w:r>
      <w:r>
        <w:rPr/>
        <w:t>zoning</w:t>
      </w:r>
      <w:r>
        <w:rPr>
          <w:spacing w:val="-4"/>
        </w:rPr>
        <w:t> </w:t>
      </w:r>
      <w:r>
        <w:rPr/>
        <w:t>applicable</w:t>
      </w:r>
      <w:r>
        <w:rPr>
          <w:spacing w:val="-4"/>
        </w:rPr>
        <w:t> </w:t>
      </w:r>
      <w:r>
        <w:rPr/>
        <w:t>to</w:t>
      </w:r>
      <w:r>
        <w:rPr>
          <w:spacing w:val="-6"/>
        </w:rPr>
        <w:t> </w:t>
      </w:r>
      <w:r>
        <w:rPr/>
        <w:t>each</w:t>
      </w:r>
      <w:r>
        <w:rPr>
          <w:spacing w:val="-4"/>
        </w:rPr>
        <w:t> </w:t>
      </w:r>
      <w:r>
        <w:rPr/>
        <w:t>rateable</w:t>
      </w:r>
      <w:r>
        <w:rPr>
          <w:spacing w:val="-5"/>
        </w:rPr>
        <w:t> </w:t>
      </w:r>
      <w:r>
        <w:rPr/>
        <w:t>land</w:t>
      </w:r>
      <w:r>
        <w:rPr>
          <w:spacing w:val="-4"/>
        </w:rPr>
        <w:t> </w:t>
      </w:r>
      <w:r>
        <w:rPr/>
        <w:t>within</w:t>
      </w:r>
      <w:r>
        <w:rPr>
          <w:spacing w:val="-5"/>
        </w:rPr>
        <w:t> </w:t>
      </w:r>
      <w:r>
        <w:rPr/>
        <w:t>this</w:t>
      </w:r>
      <w:r>
        <w:rPr>
          <w:spacing w:val="-4"/>
        </w:rPr>
        <w:t> </w:t>
      </w:r>
      <w:r>
        <w:rPr/>
        <w:t>category,</w:t>
      </w:r>
      <w:r>
        <w:rPr>
          <w:spacing w:val="-4"/>
        </w:rPr>
        <w:t> </w:t>
      </w:r>
      <w:r>
        <w:rPr/>
        <w:t>as</w:t>
      </w:r>
      <w:r>
        <w:rPr>
          <w:spacing w:val="-6"/>
        </w:rPr>
        <w:t> </w:t>
      </w:r>
      <w:r>
        <w:rPr/>
        <w:t>determined</w:t>
      </w:r>
      <w:r>
        <w:rPr>
          <w:spacing w:val="-4"/>
        </w:rPr>
        <w:t> </w:t>
      </w:r>
      <w:r>
        <w:rPr/>
        <w:t>by</w:t>
      </w:r>
      <w:r>
        <w:rPr>
          <w:spacing w:val="-4"/>
        </w:rPr>
        <w:t> </w:t>
      </w:r>
      <w:r>
        <w:rPr/>
        <w:t>consulting maps referred to in the relevant Planning Scheme.</w:t>
      </w:r>
    </w:p>
    <w:p>
      <w:pPr>
        <w:pStyle w:val="BodyText"/>
        <w:spacing w:before="10"/>
        <w:rPr>
          <w:sz w:val="21"/>
        </w:rPr>
      </w:pPr>
    </w:p>
    <w:p>
      <w:pPr>
        <w:pStyle w:val="Heading5"/>
        <w:jc w:val="left"/>
      </w:pPr>
      <w:r>
        <w:rPr/>
        <w:t>Types</w:t>
      </w:r>
      <w:r>
        <w:rPr>
          <w:spacing w:val="-3"/>
        </w:rPr>
        <w:t> </w:t>
      </w:r>
      <w:r>
        <w:rPr/>
        <w:t>of</w:t>
      </w:r>
      <w:r>
        <w:rPr>
          <w:spacing w:val="-1"/>
        </w:rPr>
        <w:t> </w:t>
      </w:r>
      <w:r>
        <w:rPr>
          <w:spacing w:val="-2"/>
        </w:rPr>
        <w:t>Buildings:</w:t>
      </w:r>
    </w:p>
    <w:p>
      <w:pPr>
        <w:pStyle w:val="BodyText"/>
        <w:spacing w:before="2"/>
        <w:ind w:left="1440" w:right="1342"/>
      </w:pPr>
      <w:r>
        <w:rPr/>
        <w:t>All</w:t>
      </w:r>
      <w:r>
        <w:rPr>
          <w:spacing w:val="25"/>
        </w:rPr>
        <w:t> </w:t>
      </w:r>
      <w:r>
        <w:rPr/>
        <w:t>buildings</w:t>
      </w:r>
      <w:r>
        <w:rPr>
          <w:spacing w:val="25"/>
        </w:rPr>
        <w:t> </w:t>
      </w:r>
      <w:r>
        <w:rPr/>
        <w:t>which</w:t>
      </w:r>
      <w:r>
        <w:rPr>
          <w:spacing w:val="23"/>
        </w:rPr>
        <w:t> </w:t>
      </w:r>
      <w:r>
        <w:rPr/>
        <w:t>are</w:t>
      </w:r>
      <w:r>
        <w:rPr>
          <w:spacing w:val="23"/>
        </w:rPr>
        <w:t> </w:t>
      </w:r>
      <w:r>
        <w:rPr/>
        <w:t>now</w:t>
      </w:r>
      <w:r>
        <w:rPr>
          <w:spacing w:val="25"/>
        </w:rPr>
        <w:t> </w:t>
      </w:r>
      <w:r>
        <w:rPr/>
        <w:t>constructed</w:t>
      </w:r>
      <w:r>
        <w:rPr>
          <w:spacing w:val="23"/>
        </w:rPr>
        <w:t> </w:t>
      </w:r>
      <w:r>
        <w:rPr/>
        <w:t>on</w:t>
      </w:r>
      <w:r>
        <w:rPr>
          <w:spacing w:val="25"/>
        </w:rPr>
        <w:t> </w:t>
      </w:r>
      <w:r>
        <w:rPr/>
        <w:t>the</w:t>
      </w:r>
      <w:r>
        <w:rPr>
          <w:spacing w:val="21"/>
        </w:rPr>
        <w:t> </w:t>
      </w:r>
      <w:r>
        <w:rPr/>
        <w:t>land,</w:t>
      </w:r>
      <w:r>
        <w:rPr>
          <w:spacing w:val="27"/>
        </w:rPr>
        <w:t> </w:t>
      </w:r>
      <w:r>
        <w:rPr/>
        <w:t>or</w:t>
      </w:r>
      <w:r>
        <w:rPr>
          <w:spacing w:val="26"/>
        </w:rPr>
        <w:t> </w:t>
      </w:r>
      <w:r>
        <w:rPr/>
        <w:t>which</w:t>
      </w:r>
      <w:r>
        <w:rPr>
          <w:spacing w:val="23"/>
        </w:rPr>
        <w:t> </w:t>
      </w:r>
      <w:r>
        <w:rPr/>
        <w:t>are</w:t>
      </w:r>
      <w:r>
        <w:rPr>
          <w:spacing w:val="26"/>
        </w:rPr>
        <w:t> </w:t>
      </w:r>
      <w:r>
        <w:rPr/>
        <w:t>constructed</w:t>
      </w:r>
      <w:r>
        <w:rPr>
          <w:spacing w:val="23"/>
        </w:rPr>
        <w:t> </w:t>
      </w:r>
      <w:r>
        <w:rPr/>
        <w:t>prior</w:t>
      </w:r>
      <w:r>
        <w:rPr>
          <w:spacing w:val="24"/>
        </w:rPr>
        <w:t> </w:t>
      </w:r>
      <w:r>
        <w:rPr/>
        <w:t>to</w:t>
      </w:r>
      <w:r>
        <w:rPr>
          <w:spacing w:val="23"/>
        </w:rPr>
        <w:t> </w:t>
      </w:r>
      <w:r>
        <w:rPr/>
        <w:t>the expiry of the relevant financial year.</w:t>
      </w:r>
    </w:p>
    <w:p>
      <w:pPr>
        <w:spacing w:after="0"/>
        <w:sectPr>
          <w:pgSz w:w="11910" w:h="16840"/>
          <w:pgMar w:header="0" w:footer="662" w:top="580" w:bottom="860" w:left="0" w:right="0"/>
        </w:sectPr>
      </w:pPr>
    </w:p>
    <w:p>
      <w:pPr>
        <w:pStyle w:val="Heading4"/>
        <w:spacing w:before="80"/>
      </w:pPr>
      <w:r>
        <w:rPr>
          <w:color w:val="134295"/>
        </w:rPr>
        <w:t>Industrial</w:t>
      </w:r>
      <w:r>
        <w:rPr>
          <w:color w:val="134295"/>
          <w:spacing w:val="-2"/>
        </w:rPr>
        <w:t> </w:t>
      </w:r>
      <w:r>
        <w:rPr>
          <w:color w:val="134295"/>
          <w:spacing w:val="-4"/>
        </w:rPr>
        <w:t>Land</w:t>
      </w:r>
    </w:p>
    <w:p>
      <w:pPr>
        <w:pStyle w:val="Heading5"/>
        <w:spacing w:line="252" w:lineRule="exact" w:before="255"/>
        <w:jc w:val="left"/>
      </w:pPr>
      <w:r>
        <w:rPr>
          <w:spacing w:val="-2"/>
        </w:rPr>
        <w:t>Definitions/Characteristics:</w:t>
      </w:r>
    </w:p>
    <w:p>
      <w:pPr>
        <w:pStyle w:val="BodyText"/>
        <w:ind w:left="1440" w:right="1342"/>
      </w:pPr>
      <w:r>
        <w:rPr/>
        <w:t>Industrial</w:t>
      </w:r>
      <w:r>
        <w:rPr>
          <w:spacing w:val="-7"/>
        </w:rPr>
        <w:t> </w:t>
      </w:r>
      <w:r>
        <w:rPr/>
        <w:t>Land</w:t>
      </w:r>
      <w:r>
        <w:rPr>
          <w:spacing w:val="-8"/>
        </w:rPr>
        <w:t> </w:t>
      </w:r>
      <w:r>
        <w:rPr/>
        <w:t>is</w:t>
      </w:r>
      <w:r>
        <w:rPr>
          <w:spacing w:val="-4"/>
        </w:rPr>
        <w:t> </w:t>
      </w:r>
      <w:r>
        <w:rPr/>
        <w:t>any</w:t>
      </w:r>
      <w:r>
        <w:rPr>
          <w:spacing w:val="-8"/>
        </w:rPr>
        <w:t> </w:t>
      </w:r>
      <w:r>
        <w:rPr/>
        <w:t>land</w:t>
      </w:r>
      <w:r>
        <w:rPr>
          <w:spacing w:val="-8"/>
        </w:rPr>
        <w:t> </w:t>
      </w:r>
      <w:r>
        <w:rPr/>
        <w:t>that</w:t>
      </w:r>
      <w:r>
        <w:rPr>
          <w:spacing w:val="-8"/>
        </w:rPr>
        <w:t> </w:t>
      </w:r>
      <w:r>
        <w:rPr/>
        <w:t>is</w:t>
      </w:r>
      <w:r>
        <w:rPr>
          <w:spacing w:val="-6"/>
        </w:rPr>
        <w:t> </w:t>
      </w:r>
      <w:r>
        <w:rPr/>
        <w:t>used,</w:t>
      </w:r>
      <w:r>
        <w:rPr>
          <w:spacing w:val="-6"/>
        </w:rPr>
        <w:t> </w:t>
      </w:r>
      <w:r>
        <w:rPr/>
        <w:t>designed</w:t>
      </w:r>
      <w:r>
        <w:rPr>
          <w:spacing w:val="-10"/>
        </w:rPr>
        <w:t> </w:t>
      </w:r>
      <w:r>
        <w:rPr/>
        <w:t>or</w:t>
      </w:r>
      <w:r>
        <w:rPr>
          <w:spacing w:val="-5"/>
        </w:rPr>
        <w:t> </w:t>
      </w:r>
      <w:r>
        <w:rPr/>
        <w:t>adapted</w:t>
      </w:r>
      <w:r>
        <w:rPr>
          <w:spacing w:val="-8"/>
        </w:rPr>
        <w:t> </w:t>
      </w:r>
      <w:r>
        <w:rPr/>
        <w:t>to</w:t>
      </w:r>
      <w:r>
        <w:rPr>
          <w:spacing w:val="-8"/>
        </w:rPr>
        <w:t> </w:t>
      </w:r>
      <w:r>
        <w:rPr/>
        <w:t>be</w:t>
      </w:r>
      <w:r>
        <w:rPr>
          <w:spacing w:val="-10"/>
        </w:rPr>
        <w:t> </w:t>
      </w:r>
      <w:r>
        <w:rPr/>
        <w:t>used</w:t>
      </w:r>
      <w:r>
        <w:rPr>
          <w:spacing w:val="-10"/>
        </w:rPr>
        <w:t> </w:t>
      </w:r>
      <w:r>
        <w:rPr/>
        <w:t>primarily</w:t>
      </w:r>
      <w:r>
        <w:rPr>
          <w:spacing w:val="-8"/>
        </w:rPr>
        <w:t> </w:t>
      </w:r>
      <w:r>
        <w:rPr/>
        <w:t>for</w:t>
      </w:r>
      <w:r>
        <w:rPr>
          <w:spacing w:val="-8"/>
        </w:rPr>
        <w:t> </w:t>
      </w:r>
      <w:r>
        <w:rPr/>
        <w:t>industrial </w:t>
      </w:r>
      <w:r>
        <w:rPr>
          <w:spacing w:val="-2"/>
        </w:rPr>
        <w:t>purposes.</w:t>
      </w:r>
    </w:p>
    <w:p>
      <w:pPr>
        <w:pStyle w:val="BodyText"/>
        <w:spacing w:before="11"/>
        <w:rPr>
          <w:sz w:val="21"/>
        </w:rPr>
      </w:pPr>
    </w:p>
    <w:p>
      <w:pPr>
        <w:pStyle w:val="Heading5"/>
        <w:jc w:val="left"/>
      </w:pPr>
      <w:r>
        <w:rPr>
          <w:spacing w:val="-2"/>
        </w:rPr>
        <w:t>Objective:</w:t>
      </w:r>
    </w:p>
    <w:p>
      <w:pPr>
        <w:pStyle w:val="BodyText"/>
        <w:spacing w:before="1"/>
        <w:ind w:left="1440" w:right="1342"/>
      </w:pPr>
      <w:r>
        <w:rPr/>
        <w:t>To</w:t>
      </w:r>
      <w:r>
        <w:rPr>
          <w:spacing w:val="-16"/>
        </w:rPr>
        <w:t> </w:t>
      </w:r>
      <w:r>
        <w:rPr/>
        <w:t>ensure</w:t>
      </w:r>
      <w:r>
        <w:rPr>
          <w:spacing w:val="-17"/>
        </w:rPr>
        <w:t> </w:t>
      </w:r>
      <w:r>
        <w:rPr/>
        <w:t>that</w:t>
      </w:r>
      <w:r>
        <w:rPr>
          <w:spacing w:val="-15"/>
        </w:rPr>
        <w:t> </w:t>
      </w:r>
      <w:r>
        <w:rPr/>
        <w:t>all</w:t>
      </w:r>
      <w:r>
        <w:rPr>
          <w:spacing w:val="-15"/>
        </w:rPr>
        <w:t> </w:t>
      </w:r>
      <w:r>
        <w:rPr/>
        <w:t>rateable</w:t>
      </w:r>
      <w:r>
        <w:rPr>
          <w:spacing w:val="-16"/>
        </w:rPr>
        <w:t> </w:t>
      </w:r>
      <w:r>
        <w:rPr/>
        <w:t>land</w:t>
      </w:r>
      <w:r>
        <w:rPr>
          <w:spacing w:val="-15"/>
        </w:rPr>
        <w:t> </w:t>
      </w:r>
      <w:r>
        <w:rPr/>
        <w:t>makes</w:t>
      </w:r>
      <w:r>
        <w:rPr>
          <w:spacing w:val="-15"/>
        </w:rPr>
        <w:t> </w:t>
      </w:r>
      <w:r>
        <w:rPr/>
        <w:t>an</w:t>
      </w:r>
      <w:r>
        <w:rPr>
          <w:spacing w:val="-15"/>
        </w:rPr>
        <w:t> </w:t>
      </w:r>
      <w:r>
        <w:rPr/>
        <w:t>equitable</w:t>
      </w:r>
      <w:r>
        <w:rPr>
          <w:spacing w:val="-16"/>
        </w:rPr>
        <w:t> </w:t>
      </w:r>
      <w:r>
        <w:rPr/>
        <w:t>financial</w:t>
      </w:r>
      <w:r>
        <w:rPr>
          <w:spacing w:val="-15"/>
        </w:rPr>
        <w:t> </w:t>
      </w:r>
      <w:r>
        <w:rPr/>
        <w:t>contribution</w:t>
      </w:r>
      <w:r>
        <w:rPr>
          <w:spacing w:val="-15"/>
        </w:rPr>
        <w:t> </w:t>
      </w:r>
      <w:r>
        <w:rPr/>
        <w:t>to</w:t>
      </w:r>
      <w:r>
        <w:rPr>
          <w:spacing w:val="-16"/>
        </w:rPr>
        <w:t> </w:t>
      </w:r>
      <w:r>
        <w:rPr/>
        <w:t>the</w:t>
      </w:r>
      <w:r>
        <w:rPr>
          <w:spacing w:val="-15"/>
        </w:rPr>
        <w:t> </w:t>
      </w:r>
      <w:r>
        <w:rPr/>
        <w:t>cost</w:t>
      </w:r>
      <w:r>
        <w:rPr>
          <w:spacing w:val="-15"/>
        </w:rPr>
        <w:t> </w:t>
      </w:r>
      <w:r>
        <w:rPr/>
        <w:t>of</w:t>
      </w:r>
      <w:r>
        <w:rPr>
          <w:spacing w:val="-15"/>
        </w:rPr>
        <w:t> </w:t>
      </w:r>
      <w:r>
        <w:rPr/>
        <w:t>carrying out the functions of Council, including:</w:t>
      </w:r>
    </w:p>
    <w:p>
      <w:pPr>
        <w:pStyle w:val="ListParagraph"/>
        <w:numPr>
          <w:ilvl w:val="0"/>
          <w:numId w:val="9"/>
        </w:numPr>
        <w:tabs>
          <w:tab w:pos="2160" w:val="left" w:leader="none"/>
        </w:tabs>
        <w:spacing w:line="251" w:lineRule="exact" w:before="0" w:after="0"/>
        <w:ind w:left="2159" w:right="0" w:hanging="360"/>
        <w:jc w:val="left"/>
        <w:rPr>
          <w:sz w:val="22"/>
        </w:rPr>
      </w:pPr>
      <w:r>
        <w:rPr>
          <w:sz w:val="22"/>
        </w:rPr>
        <w:t>Construction</w:t>
      </w:r>
      <w:r>
        <w:rPr>
          <w:spacing w:val="-5"/>
          <w:sz w:val="22"/>
        </w:rPr>
        <w:t> </w:t>
      </w:r>
      <w:r>
        <w:rPr>
          <w:sz w:val="22"/>
        </w:rPr>
        <w:t>and</w:t>
      </w:r>
      <w:r>
        <w:rPr>
          <w:spacing w:val="-7"/>
          <w:sz w:val="22"/>
        </w:rPr>
        <w:t> </w:t>
      </w:r>
      <w:r>
        <w:rPr>
          <w:sz w:val="22"/>
        </w:rPr>
        <w:t>maintenance</w:t>
      </w:r>
      <w:r>
        <w:rPr>
          <w:spacing w:val="-4"/>
          <w:sz w:val="22"/>
        </w:rPr>
        <w:t> </w:t>
      </w:r>
      <w:r>
        <w:rPr>
          <w:sz w:val="22"/>
        </w:rPr>
        <w:t>of</w:t>
      </w:r>
      <w:r>
        <w:rPr>
          <w:spacing w:val="-4"/>
          <w:sz w:val="22"/>
        </w:rPr>
        <w:t> </w:t>
      </w:r>
      <w:r>
        <w:rPr>
          <w:sz w:val="22"/>
        </w:rPr>
        <w:t>public</w:t>
      </w:r>
      <w:r>
        <w:rPr>
          <w:spacing w:val="-5"/>
          <w:sz w:val="22"/>
        </w:rPr>
        <w:t> </w:t>
      </w:r>
      <w:r>
        <w:rPr>
          <w:sz w:val="22"/>
        </w:rPr>
        <w:t>infrastructure:</w:t>
      </w:r>
      <w:r>
        <w:rPr>
          <w:spacing w:val="-3"/>
          <w:sz w:val="22"/>
        </w:rPr>
        <w:t> </w:t>
      </w:r>
      <w:r>
        <w:rPr>
          <w:spacing w:val="-5"/>
          <w:sz w:val="22"/>
        </w:rPr>
        <w:t>and</w:t>
      </w:r>
    </w:p>
    <w:p>
      <w:pPr>
        <w:pStyle w:val="ListParagraph"/>
        <w:numPr>
          <w:ilvl w:val="0"/>
          <w:numId w:val="9"/>
        </w:numPr>
        <w:tabs>
          <w:tab w:pos="2160" w:val="left" w:leader="none"/>
        </w:tabs>
        <w:spacing w:line="252" w:lineRule="exact" w:before="2" w:after="0"/>
        <w:ind w:left="2159" w:right="0" w:hanging="360"/>
        <w:jc w:val="left"/>
        <w:rPr>
          <w:sz w:val="22"/>
        </w:rPr>
      </w:pPr>
      <w:r>
        <w:rPr>
          <w:sz w:val="22"/>
        </w:rPr>
        <w:t>Development</w:t>
      </w:r>
      <w:r>
        <w:rPr>
          <w:spacing w:val="-2"/>
          <w:sz w:val="22"/>
        </w:rPr>
        <w:t> </w:t>
      </w:r>
      <w:r>
        <w:rPr>
          <w:sz w:val="22"/>
        </w:rPr>
        <w:t>and</w:t>
      </w:r>
      <w:r>
        <w:rPr>
          <w:spacing w:val="-6"/>
          <w:sz w:val="22"/>
        </w:rPr>
        <w:t> </w:t>
      </w:r>
      <w:r>
        <w:rPr>
          <w:sz w:val="22"/>
        </w:rPr>
        <w:t>provision</w:t>
      </w:r>
      <w:r>
        <w:rPr>
          <w:spacing w:val="-3"/>
          <w:sz w:val="22"/>
        </w:rPr>
        <w:t> </w:t>
      </w:r>
      <w:r>
        <w:rPr>
          <w:sz w:val="22"/>
        </w:rPr>
        <w:t>of</w:t>
      </w:r>
      <w:r>
        <w:rPr>
          <w:spacing w:val="-3"/>
          <w:sz w:val="22"/>
        </w:rPr>
        <w:t> </w:t>
      </w:r>
      <w:r>
        <w:rPr>
          <w:sz w:val="22"/>
        </w:rPr>
        <w:t>health</w:t>
      </w:r>
      <w:r>
        <w:rPr>
          <w:spacing w:val="-4"/>
          <w:sz w:val="22"/>
        </w:rPr>
        <w:t> </w:t>
      </w:r>
      <w:r>
        <w:rPr>
          <w:sz w:val="22"/>
        </w:rPr>
        <w:t>&amp;</w:t>
      </w:r>
      <w:r>
        <w:rPr>
          <w:spacing w:val="-5"/>
          <w:sz w:val="22"/>
        </w:rPr>
        <w:t> </w:t>
      </w:r>
      <w:r>
        <w:rPr>
          <w:sz w:val="22"/>
        </w:rPr>
        <w:t>community</w:t>
      </w:r>
      <w:r>
        <w:rPr>
          <w:spacing w:val="-4"/>
          <w:sz w:val="22"/>
        </w:rPr>
        <w:t> </w:t>
      </w:r>
      <w:r>
        <w:rPr>
          <w:sz w:val="22"/>
        </w:rPr>
        <w:t>services;</w:t>
      </w:r>
      <w:r>
        <w:rPr>
          <w:spacing w:val="-2"/>
          <w:sz w:val="22"/>
        </w:rPr>
        <w:t> </w:t>
      </w:r>
      <w:r>
        <w:rPr>
          <w:spacing w:val="-5"/>
          <w:sz w:val="22"/>
        </w:rPr>
        <w:t>and</w:t>
      </w:r>
    </w:p>
    <w:p>
      <w:pPr>
        <w:pStyle w:val="ListParagraph"/>
        <w:numPr>
          <w:ilvl w:val="0"/>
          <w:numId w:val="9"/>
        </w:numPr>
        <w:tabs>
          <w:tab w:pos="2160" w:val="left" w:leader="none"/>
        </w:tabs>
        <w:spacing w:line="252" w:lineRule="exact" w:before="0" w:after="0"/>
        <w:ind w:left="2159" w:right="0" w:hanging="360"/>
        <w:jc w:val="left"/>
        <w:rPr>
          <w:sz w:val="22"/>
        </w:rPr>
      </w:pPr>
      <w:r>
        <w:rPr>
          <w:sz w:val="22"/>
        </w:rPr>
        <w:t>Provision</w:t>
      </w:r>
      <w:r>
        <w:rPr>
          <w:spacing w:val="-3"/>
          <w:sz w:val="22"/>
        </w:rPr>
        <w:t> </w:t>
      </w:r>
      <w:r>
        <w:rPr>
          <w:sz w:val="22"/>
        </w:rPr>
        <w:t>of</w:t>
      </w:r>
      <w:r>
        <w:rPr>
          <w:spacing w:val="-3"/>
          <w:sz w:val="22"/>
        </w:rPr>
        <w:t> </w:t>
      </w:r>
      <w:r>
        <w:rPr>
          <w:sz w:val="22"/>
        </w:rPr>
        <w:t>general</w:t>
      </w:r>
      <w:r>
        <w:rPr>
          <w:spacing w:val="-4"/>
          <w:sz w:val="22"/>
        </w:rPr>
        <w:t> </w:t>
      </w:r>
      <w:r>
        <w:rPr>
          <w:sz w:val="22"/>
        </w:rPr>
        <w:t>support</w:t>
      </w:r>
      <w:r>
        <w:rPr>
          <w:spacing w:val="-6"/>
          <w:sz w:val="22"/>
        </w:rPr>
        <w:t> </w:t>
      </w:r>
      <w:r>
        <w:rPr>
          <w:sz w:val="22"/>
        </w:rPr>
        <w:t>services;</w:t>
      </w:r>
      <w:r>
        <w:rPr>
          <w:spacing w:val="-1"/>
          <w:sz w:val="22"/>
        </w:rPr>
        <w:t> </w:t>
      </w:r>
      <w:r>
        <w:rPr>
          <w:spacing w:val="-5"/>
          <w:sz w:val="22"/>
        </w:rPr>
        <w:t>and</w:t>
      </w:r>
    </w:p>
    <w:p>
      <w:pPr>
        <w:pStyle w:val="ListParagraph"/>
        <w:numPr>
          <w:ilvl w:val="0"/>
          <w:numId w:val="9"/>
        </w:numPr>
        <w:tabs>
          <w:tab w:pos="2160" w:val="left" w:leader="none"/>
        </w:tabs>
        <w:spacing w:line="240" w:lineRule="auto" w:before="1" w:after="0"/>
        <w:ind w:left="2160" w:right="1435" w:hanging="360"/>
        <w:jc w:val="left"/>
        <w:rPr>
          <w:sz w:val="22"/>
        </w:rPr>
      </w:pPr>
      <w:r>
        <w:rPr>
          <w:sz w:val="22"/>
        </w:rPr>
        <w:t>Enhancement</w:t>
      </w:r>
      <w:r>
        <w:rPr>
          <w:spacing w:val="-11"/>
          <w:sz w:val="22"/>
        </w:rPr>
        <w:t> </w:t>
      </w:r>
      <w:r>
        <w:rPr>
          <w:sz w:val="22"/>
        </w:rPr>
        <w:t>of</w:t>
      </w:r>
      <w:r>
        <w:rPr>
          <w:spacing w:val="-11"/>
          <w:sz w:val="22"/>
        </w:rPr>
        <w:t> </w:t>
      </w:r>
      <w:r>
        <w:rPr>
          <w:sz w:val="22"/>
        </w:rPr>
        <w:t>the</w:t>
      </w:r>
      <w:r>
        <w:rPr>
          <w:spacing w:val="-9"/>
          <w:sz w:val="22"/>
        </w:rPr>
        <w:t> </w:t>
      </w:r>
      <w:r>
        <w:rPr>
          <w:sz w:val="22"/>
        </w:rPr>
        <w:t>economic</w:t>
      </w:r>
      <w:r>
        <w:rPr>
          <w:spacing w:val="-11"/>
          <w:sz w:val="22"/>
        </w:rPr>
        <w:t> </w:t>
      </w:r>
      <w:r>
        <w:rPr>
          <w:sz w:val="22"/>
        </w:rPr>
        <w:t>viability</w:t>
      </w:r>
      <w:r>
        <w:rPr>
          <w:spacing w:val="-9"/>
          <w:sz w:val="22"/>
        </w:rPr>
        <w:t> </w:t>
      </w:r>
      <w:r>
        <w:rPr>
          <w:sz w:val="22"/>
        </w:rPr>
        <w:t>of</w:t>
      </w:r>
      <w:r>
        <w:rPr>
          <w:spacing w:val="-11"/>
          <w:sz w:val="22"/>
        </w:rPr>
        <w:t> </w:t>
      </w:r>
      <w:r>
        <w:rPr>
          <w:sz w:val="22"/>
        </w:rPr>
        <w:t>the</w:t>
      </w:r>
      <w:r>
        <w:rPr>
          <w:spacing w:val="-11"/>
          <w:sz w:val="22"/>
        </w:rPr>
        <w:t> </w:t>
      </w:r>
      <w:r>
        <w:rPr>
          <w:sz w:val="22"/>
        </w:rPr>
        <w:t>commercial</w:t>
      </w:r>
      <w:r>
        <w:rPr>
          <w:spacing w:val="-11"/>
          <w:sz w:val="22"/>
        </w:rPr>
        <w:t> </w:t>
      </w:r>
      <w:r>
        <w:rPr>
          <w:sz w:val="22"/>
        </w:rPr>
        <w:t>and</w:t>
      </w:r>
      <w:r>
        <w:rPr>
          <w:spacing w:val="-12"/>
          <w:sz w:val="22"/>
        </w:rPr>
        <w:t> </w:t>
      </w:r>
      <w:r>
        <w:rPr>
          <w:sz w:val="22"/>
        </w:rPr>
        <w:t>industrial</w:t>
      </w:r>
      <w:r>
        <w:rPr>
          <w:spacing w:val="-11"/>
          <w:sz w:val="22"/>
        </w:rPr>
        <w:t> </w:t>
      </w:r>
      <w:r>
        <w:rPr>
          <w:sz w:val="22"/>
        </w:rPr>
        <w:t>sector</w:t>
      </w:r>
      <w:r>
        <w:rPr>
          <w:spacing w:val="-11"/>
          <w:sz w:val="22"/>
        </w:rPr>
        <w:t> </w:t>
      </w:r>
      <w:r>
        <w:rPr>
          <w:sz w:val="22"/>
        </w:rPr>
        <w:t>through targeted programs and projects; and</w:t>
      </w:r>
    </w:p>
    <w:p>
      <w:pPr>
        <w:pStyle w:val="ListParagraph"/>
        <w:numPr>
          <w:ilvl w:val="0"/>
          <w:numId w:val="9"/>
        </w:numPr>
        <w:tabs>
          <w:tab w:pos="2160" w:val="left" w:leader="none"/>
        </w:tabs>
        <w:spacing w:line="251" w:lineRule="exact" w:before="0" w:after="0"/>
        <w:ind w:left="2159" w:right="0" w:hanging="360"/>
        <w:jc w:val="left"/>
        <w:rPr>
          <w:sz w:val="22"/>
        </w:rPr>
      </w:pPr>
      <w:r>
        <w:rPr>
          <w:sz w:val="22"/>
        </w:rPr>
        <w:t>Encouragement</w:t>
      </w:r>
      <w:r>
        <w:rPr>
          <w:spacing w:val="-7"/>
          <w:sz w:val="22"/>
        </w:rPr>
        <w:t> </w:t>
      </w:r>
      <w:r>
        <w:rPr>
          <w:sz w:val="22"/>
        </w:rPr>
        <w:t>of</w:t>
      </w:r>
      <w:r>
        <w:rPr>
          <w:spacing w:val="-7"/>
          <w:sz w:val="22"/>
        </w:rPr>
        <w:t> </w:t>
      </w:r>
      <w:r>
        <w:rPr>
          <w:sz w:val="22"/>
        </w:rPr>
        <w:t>employment</w:t>
      </w:r>
      <w:r>
        <w:rPr>
          <w:spacing w:val="-7"/>
          <w:sz w:val="22"/>
        </w:rPr>
        <w:t> </w:t>
      </w:r>
      <w:r>
        <w:rPr>
          <w:sz w:val="22"/>
        </w:rPr>
        <w:t>opportunities;</w:t>
      </w:r>
      <w:r>
        <w:rPr>
          <w:spacing w:val="-6"/>
          <w:sz w:val="22"/>
        </w:rPr>
        <w:t> </w:t>
      </w:r>
      <w:r>
        <w:rPr>
          <w:spacing w:val="-5"/>
          <w:sz w:val="22"/>
        </w:rPr>
        <w:t>and</w:t>
      </w:r>
    </w:p>
    <w:p>
      <w:pPr>
        <w:pStyle w:val="ListParagraph"/>
        <w:numPr>
          <w:ilvl w:val="0"/>
          <w:numId w:val="9"/>
        </w:numPr>
        <w:tabs>
          <w:tab w:pos="2160" w:val="left" w:leader="none"/>
        </w:tabs>
        <w:spacing w:line="252" w:lineRule="exact" w:before="2" w:after="0"/>
        <w:ind w:left="2159" w:right="0" w:hanging="360"/>
        <w:jc w:val="left"/>
        <w:rPr>
          <w:sz w:val="22"/>
        </w:rPr>
      </w:pPr>
      <w:r>
        <w:rPr>
          <w:sz w:val="22"/>
        </w:rPr>
        <w:t>Promotion</w:t>
      </w:r>
      <w:r>
        <w:rPr>
          <w:spacing w:val="-4"/>
          <w:sz w:val="22"/>
        </w:rPr>
        <w:t> </w:t>
      </w:r>
      <w:r>
        <w:rPr>
          <w:sz w:val="22"/>
        </w:rPr>
        <w:t>of</w:t>
      </w:r>
      <w:r>
        <w:rPr>
          <w:spacing w:val="-6"/>
          <w:sz w:val="22"/>
        </w:rPr>
        <w:t> </w:t>
      </w:r>
      <w:r>
        <w:rPr>
          <w:sz w:val="22"/>
        </w:rPr>
        <w:t>economic</w:t>
      </w:r>
      <w:r>
        <w:rPr>
          <w:spacing w:val="-5"/>
          <w:sz w:val="22"/>
        </w:rPr>
        <w:t> </w:t>
      </w:r>
      <w:r>
        <w:rPr>
          <w:sz w:val="22"/>
        </w:rPr>
        <w:t>development;</w:t>
      </w:r>
      <w:r>
        <w:rPr>
          <w:spacing w:val="-3"/>
          <w:sz w:val="22"/>
        </w:rPr>
        <w:t> </w:t>
      </w:r>
      <w:r>
        <w:rPr>
          <w:spacing w:val="-5"/>
          <w:sz w:val="22"/>
        </w:rPr>
        <w:t>and</w:t>
      </w:r>
    </w:p>
    <w:p>
      <w:pPr>
        <w:pStyle w:val="ListParagraph"/>
        <w:numPr>
          <w:ilvl w:val="0"/>
          <w:numId w:val="9"/>
        </w:numPr>
        <w:tabs>
          <w:tab w:pos="2160" w:val="left" w:leader="none"/>
        </w:tabs>
        <w:spacing w:line="240" w:lineRule="auto" w:before="0" w:after="0"/>
        <w:ind w:left="2160" w:right="1438" w:hanging="360"/>
        <w:jc w:val="left"/>
        <w:rPr>
          <w:sz w:val="22"/>
        </w:rPr>
      </w:pPr>
      <w:r>
        <w:rPr>
          <w:sz w:val="22"/>
        </w:rPr>
        <w:t>Requirement</w:t>
      </w:r>
      <w:r>
        <w:rPr>
          <w:spacing w:val="-11"/>
          <w:sz w:val="22"/>
        </w:rPr>
        <w:t> </w:t>
      </w:r>
      <w:r>
        <w:rPr>
          <w:sz w:val="22"/>
        </w:rPr>
        <w:t>to</w:t>
      </w:r>
      <w:r>
        <w:rPr>
          <w:spacing w:val="-9"/>
          <w:sz w:val="22"/>
        </w:rPr>
        <w:t> </w:t>
      </w:r>
      <w:r>
        <w:rPr>
          <w:sz w:val="22"/>
        </w:rPr>
        <w:t>ensure</w:t>
      </w:r>
      <w:r>
        <w:rPr>
          <w:spacing w:val="-13"/>
          <w:sz w:val="22"/>
        </w:rPr>
        <w:t> </w:t>
      </w:r>
      <w:r>
        <w:rPr>
          <w:sz w:val="22"/>
        </w:rPr>
        <w:t>that</w:t>
      </w:r>
      <w:r>
        <w:rPr>
          <w:spacing w:val="-9"/>
          <w:sz w:val="22"/>
        </w:rPr>
        <w:t> </w:t>
      </w:r>
      <w:r>
        <w:rPr>
          <w:sz w:val="22"/>
        </w:rPr>
        <w:t>streetscaping</w:t>
      </w:r>
      <w:r>
        <w:rPr>
          <w:spacing w:val="-7"/>
          <w:sz w:val="22"/>
        </w:rPr>
        <w:t> </w:t>
      </w:r>
      <w:r>
        <w:rPr>
          <w:sz w:val="22"/>
        </w:rPr>
        <w:t>and</w:t>
      </w:r>
      <w:r>
        <w:rPr>
          <w:spacing w:val="-11"/>
          <w:sz w:val="22"/>
        </w:rPr>
        <w:t> </w:t>
      </w:r>
      <w:r>
        <w:rPr>
          <w:sz w:val="22"/>
        </w:rPr>
        <w:t>promotional</w:t>
      </w:r>
      <w:r>
        <w:rPr>
          <w:spacing w:val="-7"/>
          <w:sz w:val="22"/>
        </w:rPr>
        <w:t> </w:t>
      </w:r>
      <w:r>
        <w:rPr>
          <w:sz w:val="22"/>
        </w:rPr>
        <w:t>activity</w:t>
      </w:r>
      <w:r>
        <w:rPr>
          <w:spacing w:val="-9"/>
          <w:sz w:val="22"/>
        </w:rPr>
        <w:t> </w:t>
      </w:r>
      <w:r>
        <w:rPr>
          <w:sz w:val="22"/>
        </w:rPr>
        <w:t>is</w:t>
      </w:r>
      <w:r>
        <w:rPr>
          <w:spacing w:val="-9"/>
          <w:sz w:val="22"/>
        </w:rPr>
        <w:t> </w:t>
      </w:r>
      <w:r>
        <w:rPr>
          <w:sz w:val="22"/>
        </w:rPr>
        <w:t>complimentary</w:t>
      </w:r>
      <w:r>
        <w:rPr>
          <w:spacing w:val="-12"/>
          <w:sz w:val="22"/>
        </w:rPr>
        <w:t> </w:t>
      </w:r>
      <w:r>
        <w:rPr>
          <w:sz w:val="22"/>
        </w:rPr>
        <w:t>to the achievement of commercial and industrial objectives.</w:t>
      </w:r>
    </w:p>
    <w:p>
      <w:pPr>
        <w:pStyle w:val="BodyText"/>
        <w:spacing w:before="10"/>
        <w:rPr>
          <w:sz w:val="21"/>
        </w:rPr>
      </w:pPr>
    </w:p>
    <w:p>
      <w:pPr>
        <w:pStyle w:val="Heading5"/>
        <w:jc w:val="left"/>
      </w:pPr>
      <w:r>
        <w:rPr/>
        <w:t>Types</w:t>
      </w:r>
      <w:r>
        <w:rPr>
          <w:spacing w:val="-2"/>
        </w:rPr>
        <w:t> </w:t>
      </w:r>
      <w:r>
        <w:rPr/>
        <w:t>and</w:t>
      </w:r>
      <w:r>
        <w:rPr>
          <w:spacing w:val="-1"/>
        </w:rPr>
        <w:t> </w:t>
      </w:r>
      <w:r>
        <w:rPr>
          <w:spacing w:val="-2"/>
        </w:rPr>
        <w:t>Classes:</w:t>
      </w:r>
    </w:p>
    <w:p>
      <w:pPr>
        <w:pStyle w:val="BodyText"/>
        <w:spacing w:before="1"/>
        <w:ind w:left="144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spacing w:before="1"/>
      </w:pPr>
    </w:p>
    <w:p>
      <w:pPr>
        <w:pStyle w:val="Heading5"/>
        <w:spacing w:line="252" w:lineRule="exact"/>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1440" w:right="1434"/>
        <w:jc w:val="both"/>
      </w:pPr>
      <w:r>
        <w:rPr/>
        <w:t>The differential rate will be used to fund some of those items of expenditure described in the Budget adopted by Council. The level of differential rate is the level which Council considers is necessary to achieve the objectives specified above.</w:t>
      </w:r>
    </w:p>
    <w:p>
      <w:pPr>
        <w:pStyle w:val="BodyText"/>
      </w:pPr>
    </w:p>
    <w:p>
      <w:pPr>
        <w:pStyle w:val="Heading5"/>
        <w:spacing w:line="252" w:lineRule="exact"/>
      </w:pPr>
      <w:r>
        <w:rPr/>
        <w:t>Geographic</w:t>
      </w:r>
      <w:r>
        <w:rPr>
          <w:spacing w:val="-5"/>
        </w:rPr>
        <w:t> </w:t>
      </w:r>
      <w:r>
        <w:rPr>
          <w:spacing w:val="-2"/>
        </w:rPr>
        <w:t>Location:</w:t>
      </w:r>
    </w:p>
    <w:p>
      <w:pPr>
        <w:pStyle w:val="BodyText"/>
        <w:spacing w:line="252" w:lineRule="exact"/>
        <w:ind w:left="144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1"/>
      </w:pPr>
    </w:p>
    <w:p>
      <w:pPr>
        <w:pStyle w:val="Heading5"/>
        <w:spacing w:line="252" w:lineRule="exact"/>
      </w:pPr>
      <w:r>
        <w:rPr/>
        <w:t>Use of</w:t>
      </w:r>
      <w:r>
        <w:rPr>
          <w:spacing w:val="-1"/>
        </w:rPr>
        <w:t> </w:t>
      </w:r>
      <w:r>
        <w:rPr>
          <w:spacing w:val="-4"/>
        </w:rPr>
        <w:t>Land:</w:t>
      </w:r>
    </w:p>
    <w:p>
      <w:pPr>
        <w:pStyle w:val="BodyText"/>
        <w:spacing w:line="252" w:lineRule="exact"/>
        <w:ind w:left="144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pPr>
      <w:r>
        <w:rPr/>
        <w:t>Planning</w:t>
      </w:r>
      <w:r>
        <w:rPr>
          <w:spacing w:val="-4"/>
        </w:rPr>
        <w:t> </w:t>
      </w:r>
      <w:r>
        <w:rPr/>
        <w:t>Scheme</w:t>
      </w:r>
      <w:r>
        <w:rPr>
          <w:spacing w:val="-2"/>
        </w:rPr>
        <w:t> Zoning:</w:t>
      </w:r>
    </w:p>
    <w:p>
      <w:pPr>
        <w:pStyle w:val="BodyText"/>
        <w:spacing w:before="2"/>
        <w:ind w:left="1440" w:right="1434"/>
        <w:jc w:val="both"/>
      </w:pPr>
      <w:r>
        <w:rPr/>
        <w:t>The</w:t>
      </w:r>
      <w:r>
        <w:rPr>
          <w:spacing w:val="-4"/>
        </w:rPr>
        <w:t> </w:t>
      </w:r>
      <w:r>
        <w:rPr/>
        <w:t>zoning</w:t>
      </w:r>
      <w:r>
        <w:rPr>
          <w:spacing w:val="-4"/>
        </w:rPr>
        <w:t> </w:t>
      </w:r>
      <w:r>
        <w:rPr/>
        <w:t>applicable</w:t>
      </w:r>
      <w:r>
        <w:rPr>
          <w:spacing w:val="-4"/>
        </w:rPr>
        <w:t> </w:t>
      </w:r>
      <w:r>
        <w:rPr/>
        <w:t>to</w:t>
      </w:r>
      <w:r>
        <w:rPr>
          <w:spacing w:val="-6"/>
        </w:rPr>
        <w:t> </w:t>
      </w:r>
      <w:r>
        <w:rPr/>
        <w:t>each</w:t>
      </w:r>
      <w:r>
        <w:rPr>
          <w:spacing w:val="-4"/>
        </w:rPr>
        <w:t> </w:t>
      </w:r>
      <w:r>
        <w:rPr/>
        <w:t>rateable</w:t>
      </w:r>
      <w:r>
        <w:rPr>
          <w:spacing w:val="-5"/>
        </w:rPr>
        <w:t> </w:t>
      </w:r>
      <w:r>
        <w:rPr/>
        <w:t>land</w:t>
      </w:r>
      <w:r>
        <w:rPr>
          <w:spacing w:val="-4"/>
        </w:rPr>
        <w:t> </w:t>
      </w:r>
      <w:r>
        <w:rPr/>
        <w:t>within</w:t>
      </w:r>
      <w:r>
        <w:rPr>
          <w:spacing w:val="-5"/>
        </w:rPr>
        <w:t> </w:t>
      </w:r>
      <w:r>
        <w:rPr/>
        <w:t>this</w:t>
      </w:r>
      <w:r>
        <w:rPr>
          <w:spacing w:val="-4"/>
        </w:rPr>
        <w:t> </w:t>
      </w:r>
      <w:r>
        <w:rPr/>
        <w:t>category,</w:t>
      </w:r>
      <w:r>
        <w:rPr>
          <w:spacing w:val="-4"/>
        </w:rPr>
        <w:t> </w:t>
      </w:r>
      <w:r>
        <w:rPr/>
        <w:t>as</w:t>
      </w:r>
      <w:r>
        <w:rPr>
          <w:spacing w:val="-6"/>
        </w:rPr>
        <w:t> </w:t>
      </w:r>
      <w:r>
        <w:rPr/>
        <w:t>determined</w:t>
      </w:r>
      <w:r>
        <w:rPr>
          <w:spacing w:val="-4"/>
        </w:rPr>
        <w:t> </w:t>
      </w:r>
      <w:r>
        <w:rPr/>
        <w:t>by</w:t>
      </w:r>
      <w:r>
        <w:rPr>
          <w:spacing w:val="-4"/>
        </w:rPr>
        <w:t> </w:t>
      </w:r>
      <w:r>
        <w:rPr/>
        <w:t>consulting maps referred to in the relevant Planning Scheme.</w:t>
      </w:r>
    </w:p>
    <w:p>
      <w:pPr>
        <w:pStyle w:val="BodyText"/>
        <w:spacing w:before="10"/>
        <w:rPr>
          <w:sz w:val="21"/>
        </w:rPr>
      </w:pPr>
    </w:p>
    <w:p>
      <w:pPr>
        <w:pStyle w:val="Heading5"/>
        <w:spacing w:line="252" w:lineRule="exact" w:before="1"/>
      </w:pPr>
      <w:r>
        <w:rPr/>
        <w:t>Types</w:t>
      </w:r>
      <w:r>
        <w:rPr>
          <w:spacing w:val="-3"/>
        </w:rPr>
        <w:t> </w:t>
      </w:r>
      <w:r>
        <w:rPr/>
        <w:t>of</w:t>
      </w:r>
      <w:r>
        <w:rPr>
          <w:spacing w:val="-1"/>
        </w:rPr>
        <w:t> </w:t>
      </w:r>
      <w:r>
        <w:rPr>
          <w:spacing w:val="-2"/>
        </w:rPr>
        <w:t>Buildings:</w:t>
      </w:r>
    </w:p>
    <w:p>
      <w:pPr>
        <w:pStyle w:val="BodyText"/>
        <w:ind w:left="1440" w:right="1438"/>
        <w:jc w:val="both"/>
      </w:pPr>
      <w:r>
        <w:rPr/>
        <w:t>All buildings which are now constructed on the land, or which are constructed prior to the expiry of the relevant financial year.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drawing>
          <wp:anchor distT="0" distB="0" distL="0" distR="0" allowOverlap="1" layoutInCell="1" locked="0" behindDoc="0" simplePos="0" relativeHeight="22">
            <wp:simplePos x="0" y="0"/>
            <wp:positionH relativeFrom="page">
              <wp:posOffset>27432</wp:posOffset>
            </wp:positionH>
            <wp:positionV relativeFrom="paragraph">
              <wp:posOffset>109257</wp:posOffset>
            </wp:positionV>
            <wp:extent cx="7378567" cy="97440"/>
            <wp:effectExtent l="0" t="0" r="0" b="0"/>
            <wp:wrapTopAndBottom/>
            <wp:docPr id="43" name="image4.png"/>
            <wp:cNvGraphicFramePr>
              <a:graphicFrameLocks noChangeAspect="1"/>
            </wp:cNvGraphicFramePr>
            <a:graphic>
              <a:graphicData uri="http://schemas.openxmlformats.org/drawingml/2006/picture">
                <pic:pic>
                  <pic:nvPicPr>
                    <pic:cNvPr id="44"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2"/>
        </w:rPr>
        <w:sectPr>
          <w:pgSz w:w="11910" w:h="16840"/>
          <w:pgMar w:header="0" w:footer="662" w:top="1340" w:bottom="860" w:left="0" w:right="0"/>
        </w:sectPr>
      </w:pPr>
    </w:p>
    <w:p>
      <w:pPr>
        <w:pStyle w:val="BodyText"/>
        <w:rPr>
          <w:sz w:val="20"/>
        </w:rPr>
      </w:pPr>
      <w:r>
        <w:rPr/>
        <w:drawing>
          <wp:anchor distT="0" distB="0" distL="0" distR="0" allowOverlap="1" layoutInCell="1" locked="0" behindDoc="0" simplePos="0" relativeHeight="15740928">
            <wp:simplePos x="0" y="0"/>
            <wp:positionH relativeFrom="page">
              <wp:posOffset>0</wp:posOffset>
            </wp:positionH>
            <wp:positionV relativeFrom="page">
              <wp:posOffset>9829800</wp:posOffset>
            </wp:positionV>
            <wp:extent cx="7560564" cy="101981"/>
            <wp:effectExtent l="0" t="0" r="0" b="0"/>
            <wp:wrapNone/>
            <wp:docPr id="45" name="image2.png"/>
            <wp:cNvGraphicFramePr>
              <a:graphicFrameLocks noChangeAspect="1"/>
            </wp:cNvGraphicFramePr>
            <a:graphic>
              <a:graphicData uri="http://schemas.openxmlformats.org/drawingml/2006/picture">
                <pic:pic>
                  <pic:nvPicPr>
                    <pic:cNvPr id="46"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sz w:val="20"/>
        </w:rPr>
      </w:pPr>
    </w:p>
    <w:p>
      <w:pPr>
        <w:pStyle w:val="BodyText"/>
        <w:spacing w:before="1"/>
        <w:rPr>
          <w:sz w:val="25"/>
        </w:rPr>
      </w:pPr>
    </w:p>
    <w:p>
      <w:pPr>
        <w:pStyle w:val="Heading4"/>
        <w:spacing w:before="92"/>
      </w:pPr>
      <w:r>
        <w:rPr/>
        <w:drawing>
          <wp:anchor distT="0" distB="0" distL="0" distR="0" allowOverlap="1" layoutInCell="1" locked="0" behindDoc="0" simplePos="0" relativeHeight="15740416">
            <wp:simplePos x="0" y="0"/>
            <wp:positionH relativeFrom="page">
              <wp:posOffset>6461760</wp:posOffset>
            </wp:positionH>
            <wp:positionV relativeFrom="paragraph">
              <wp:posOffset>-480417</wp:posOffset>
            </wp:positionV>
            <wp:extent cx="545591" cy="637031"/>
            <wp:effectExtent l="0" t="0" r="0" b="0"/>
            <wp:wrapNone/>
            <wp:docPr id="47" name="image3.png"/>
            <wp:cNvGraphicFramePr>
              <a:graphicFrameLocks noChangeAspect="1"/>
            </wp:cNvGraphicFramePr>
            <a:graphic>
              <a:graphicData uri="http://schemas.openxmlformats.org/drawingml/2006/picture">
                <pic:pic>
                  <pic:nvPicPr>
                    <pic:cNvPr id="48" name="image3.png"/>
                    <pic:cNvPicPr/>
                  </pic:nvPicPr>
                  <pic:blipFill>
                    <a:blip r:embed="rId8" cstate="print"/>
                    <a:stretch>
                      <a:fillRect/>
                    </a:stretch>
                  </pic:blipFill>
                  <pic:spPr>
                    <a:xfrm>
                      <a:off x="0" y="0"/>
                      <a:ext cx="545591" cy="637031"/>
                    </a:xfrm>
                    <a:prstGeom prst="rect">
                      <a:avLst/>
                    </a:prstGeom>
                  </pic:spPr>
                </pic:pic>
              </a:graphicData>
            </a:graphic>
          </wp:anchor>
        </w:drawing>
      </w:r>
      <w:r>
        <w:rPr>
          <w:color w:val="134295"/>
        </w:rPr>
        <w:t>Cultural</w:t>
      </w:r>
      <w:r>
        <w:rPr>
          <w:color w:val="134295"/>
          <w:spacing w:val="-4"/>
        </w:rPr>
        <w:t> </w:t>
      </w:r>
      <w:r>
        <w:rPr>
          <w:color w:val="134295"/>
        </w:rPr>
        <w:t>and</w:t>
      </w:r>
      <w:r>
        <w:rPr>
          <w:color w:val="134295"/>
          <w:spacing w:val="-3"/>
        </w:rPr>
        <w:t> </w:t>
      </w:r>
      <w:r>
        <w:rPr>
          <w:color w:val="134295"/>
        </w:rPr>
        <w:t>Recreational</w:t>
      </w:r>
      <w:r>
        <w:rPr>
          <w:color w:val="134295"/>
          <w:spacing w:val="-3"/>
        </w:rPr>
        <w:t> </w:t>
      </w:r>
      <w:r>
        <w:rPr>
          <w:color w:val="134295"/>
          <w:spacing w:val="-4"/>
        </w:rPr>
        <w:t>Land</w:t>
      </w:r>
    </w:p>
    <w:p>
      <w:pPr>
        <w:pStyle w:val="BodyText"/>
        <w:rPr>
          <w:sz w:val="14"/>
        </w:rPr>
      </w:pPr>
    </w:p>
    <w:p>
      <w:pPr>
        <w:pStyle w:val="Heading5"/>
        <w:spacing w:line="252" w:lineRule="exact" w:before="94"/>
        <w:jc w:val="left"/>
      </w:pPr>
      <w:r>
        <w:rPr>
          <w:spacing w:val="-2"/>
        </w:rPr>
        <w:t>Definitions/Characteristics:</w:t>
      </w:r>
    </w:p>
    <w:p>
      <w:pPr>
        <w:pStyle w:val="BodyText"/>
        <w:ind w:left="1440" w:right="1438"/>
        <w:jc w:val="both"/>
      </w:pPr>
      <w:r>
        <w:rPr/>
        <w:t>Any land upon which sporting, recreational or cultural activities are conducted, including buildings which may be ancillary to such activities, in accordance with the Cultural and Recreational Lands Act 1963.</w:t>
      </w:r>
    </w:p>
    <w:p>
      <w:pPr>
        <w:pStyle w:val="BodyText"/>
      </w:pPr>
    </w:p>
    <w:p>
      <w:pPr>
        <w:pStyle w:val="Heading5"/>
        <w:spacing w:line="252" w:lineRule="exact"/>
        <w:jc w:val="left"/>
      </w:pPr>
      <w:r>
        <w:rPr>
          <w:spacing w:val="-2"/>
        </w:rPr>
        <w:t>Objective:</w:t>
      </w:r>
    </w:p>
    <w:p>
      <w:pPr>
        <w:pStyle w:val="BodyText"/>
        <w:ind w:left="1440" w:right="1342"/>
      </w:pPr>
      <w:r>
        <w:rPr/>
        <w:t>To</w:t>
      </w:r>
      <w:r>
        <w:rPr>
          <w:spacing w:val="-16"/>
        </w:rPr>
        <w:t> </w:t>
      </w:r>
      <w:r>
        <w:rPr/>
        <w:t>ensure</w:t>
      </w:r>
      <w:r>
        <w:rPr>
          <w:spacing w:val="-17"/>
        </w:rPr>
        <w:t> </w:t>
      </w:r>
      <w:r>
        <w:rPr/>
        <w:t>that</w:t>
      </w:r>
      <w:r>
        <w:rPr>
          <w:spacing w:val="-15"/>
        </w:rPr>
        <w:t> </w:t>
      </w:r>
      <w:r>
        <w:rPr/>
        <w:t>all</w:t>
      </w:r>
      <w:r>
        <w:rPr>
          <w:spacing w:val="-15"/>
        </w:rPr>
        <w:t> </w:t>
      </w:r>
      <w:r>
        <w:rPr/>
        <w:t>rateable</w:t>
      </w:r>
      <w:r>
        <w:rPr>
          <w:spacing w:val="-16"/>
        </w:rPr>
        <w:t> </w:t>
      </w:r>
      <w:r>
        <w:rPr/>
        <w:t>land</w:t>
      </w:r>
      <w:r>
        <w:rPr>
          <w:spacing w:val="-15"/>
        </w:rPr>
        <w:t> </w:t>
      </w:r>
      <w:r>
        <w:rPr/>
        <w:t>makes</w:t>
      </w:r>
      <w:r>
        <w:rPr>
          <w:spacing w:val="-15"/>
        </w:rPr>
        <w:t> </w:t>
      </w:r>
      <w:r>
        <w:rPr/>
        <w:t>an</w:t>
      </w:r>
      <w:r>
        <w:rPr>
          <w:spacing w:val="-15"/>
        </w:rPr>
        <w:t> </w:t>
      </w:r>
      <w:r>
        <w:rPr/>
        <w:t>equitable</w:t>
      </w:r>
      <w:r>
        <w:rPr>
          <w:spacing w:val="-16"/>
        </w:rPr>
        <w:t> </w:t>
      </w:r>
      <w:r>
        <w:rPr/>
        <w:t>financial</w:t>
      </w:r>
      <w:r>
        <w:rPr>
          <w:spacing w:val="-15"/>
        </w:rPr>
        <w:t> </w:t>
      </w:r>
      <w:r>
        <w:rPr/>
        <w:t>contribution</w:t>
      </w:r>
      <w:r>
        <w:rPr>
          <w:spacing w:val="-15"/>
        </w:rPr>
        <w:t> </w:t>
      </w:r>
      <w:r>
        <w:rPr/>
        <w:t>to</w:t>
      </w:r>
      <w:r>
        <w:rPr>
          <w:spacing w:val="-16"/>
        </w:rPr>
        <w:t> </w:t>
      </w:r>
      <w:r>
        <w:rPr/>
        <w:t>the</w:t>
      </w:r>
      <w:r>
        <w:rPr>
          <w:spacing w:val="-15"/>
        </w:rPr>
        <w:t> </w:t>
      </w:r>
      <w:r>
        <w:rPr/>
        <w:t>cost</w:t>
      </w:r>
      <w:r>
        <w:rPr>
          <w:spacing w:val="-15"/>
        </w:rPr>
        <w:t> </w:t>
      </w:r>
      <w:r>
        <w:rPr/>
        <w:t>of</w:t>
      </w:r>
      <w:r>
        <w:rPr>
          <w:spacing w:val="-15"/>
        </w:rPr>
        <w:t> </w:t>
      </w:r>
      <w:r>
        <w:rPr/>
        <w:t>carrying out the functions of Council, including:</w:t>
      </w:r>
    </w:p>
    <w:p>
      <w:pPr>
        <w:pStyle w:val="ListParagraph"/>
        <w:numPr>
          <w:ilvl w:val="0"/>
          <w:numId w:val="10"/>
        </w:numPr>
        <w:tabs>
          <w:tab w:pos="2160" w:val="left" w:leader="none"/>
        </w:tabs>
        <w:spacing w:line="252" w:lineRule="exact" w:before="0" w:after="0"/>
        <w:ind w:left="2159" w:right="0" w:hanging="360"/>
        <w:jc w:val="left"/>
        <w:rPr>
          <w:sz w:val="22"/>
        </w:rPr>
      </w:pPr>
      <w:r>
        <w:rPr>
          <w:sz w:val="22"/>
        </w:rPr>
        <w:t>Construction</w:t>
      </w:r>
      <w:r>
        <w:rPr>
          <w:spacing w:val="-5"/>
          <w:sz w:val="22"/>
        </w:rPr>
        <w:t> </w:t>
      </w:r>
      <w:r>
        <w:rPr>
          <w:sz w:val="22"/>
        </w:rPr>
        <w:t>and</w:t>
      </w:r>
      <w:r>
        <w:rPr>
          <w:spacing w:val="-7"/>
          <w:sz w:val="22"/>
        </w:rPr>
        <w:t> </w:t>
      </w:r>
      <w:r>
        <w:rPr>
          <w:sz w:val="22"/>
        </w:rPr>
        <w:t>maintenance</w:t>
      </w:r>
      <w:r>
        <w:rPr>
          <w:spacing w:val="-4"/>
          <w:sz w:val="22"/>
        </w:rPr>
        <w:t> </w:t>
      </w:r>
      <w:r>
        <w:rPr>
          <w:sz w:val="22"/>
        </w:rPr>
        <w:t>of</w:t>
      </w:r>
      <w:r>
        <w:rPr>
          <w:spacing w:val="-4"/>
          <w:sz w:val="22"/>
        </w:rPr>
        <w:t> </w:t>
      </w:r>
      <w:r>
        <w:rPr>
          <w:sz w:val="22"/>
        </w:rPr>
        <w:t>public</w:t>
      </w:r>
      <w:r>
        <w:rPr>
          <w:spacing w:val="-5"/>
          <w:sz w:val="22"/>
        </w:rPr>
        <w:t> </w:t>
      </w:r>
      <w:r>
        <w:rPr>
          <w:sz w:val="22"/>
        </w:rPr>
        <w:t>infrastructure;</w:t>
      </w:r>
      <w:r>
        <w:rPr>
          <w:spacing w:val="-3"/>
          <w:sz w:val="22"/>
        </w:rPr>
        <w:t> </w:t>
      </w:r>
      <w:r>
        <w:rPr>
          <w:spacing w:val="-5"/>
          <w:sz w:val="22"/>
        </w:rPr>
        <w:t>and</w:t>
      </w:r>
    </w:p>
    <w:p>
      <w:pPr>
        <w:pStyle w:val="ListParagraph"/>
        <w:numPr>
          <w:ilvl w:val="0"/>
          <w:numId w:val="10"/>
        </w:numPr>
        <w:tabs>
          <w:tab w:pos="2160" w:val="left" w:leader="none"/>
        </w:tabs>
        <w:spacing w:line="252" w:lineRule="exact" w:before="0" w:after="0"/>
        <w:ind w:left="2159" w:right="0" w:hanging="360"/>
        <w:jc w:val="left"/>
        <w:rPr>
          <w:sz w:val="22"/>
        </w:rPr>
      </w:pPr>
      <w:r>
        <w:rPr>
          <w:sz w:val="22"/>
        </w:rPr>
        <w:t>Development</w:t>
      </w:r>
      <w:r>
        <w:rPr>
          <w:spacing w:val="-2"/>
          <w:sz w:val="22"/>
        </w:rPr>
        <w:t> </w:t>
      </w:r>
      <w:r>
        <w:rPr>
          <w:sz w:val="22"/>
        </w:rPr>
        <w:t>and</w:t>
      </w:r>
      <w:r>
        <w:rPr>
          <w:spacing w:val="-6"/>
          <w:sz w:val="22"/>
        </w:rPr>
        <w:t> </w:t>
      </w:r>
      <w:r>
        <w:rPr>
          <w:sz w:val="22"/>
        </w:rPr>
        <w:t>provision</w:t>
      </w:r>
      <w:r>
        <w:rPr>
          <w:spacing w:val="-3"/>
          <w:sz w:val="22"/>
        </w:rPr>
        <w:t> </w:t>
      </w:r>
      <w:r>
        <w:rPr>
          <w:sz w:val="22"/>
        </w:rPr>
        <w:t>of</w:t>
      </w:r>
      <w:r>
        <w:rPr>
          <w:spacing w:val="-3"/>
          <w:sz w:val="22"/>
        </w:rPr>
        <w:t> </w:t>
      </w:r>
      <w:r>
        <w:rPr>
          <w:sz w:val="22"/>
        </w:rPr>
        <w:t>health</w:t>
      </w:r>
      <w:r>
        <w:rPr>
          <w:spacing w:val="-4"/>
          <w:sz w:val="22"/>
        </w:rPr>
        <w:t> </w:t>
      </w:r>
      <w:r>
        <w:rPr>
          <w:sz w:val="22"/>
        </w:rPr>
        <w:t>and</w:t>
      </w:r>
      <w:r>
        <w:rPr>
          <w:spacing w:val="-5"/>
          <w:sz w:val="22"/>
        </w:rPr>
        <w:t> </w:t>
      </w:r>
      <w:r>
        <w:rPr>
          <w:sz w:val="22"/>
        </w:rPr>
        <w:t>community</w:t>
      </w:r>
      <w:r>
        <w:rPr>
          <w:spacing w:val="-4"/>
          <w:sz w:val="22"/>
        </w:rPr>
        <w:t> </w:t>
      </w:r>
      <w:r>
        <w:rPr>
          <w:sz w:val="22"/>
        </w:rPr>
        <w:t>services;</w:t>
      </w:r>
      <w:r>
        <w:rPr>
          <w:spacing w:val="-2"/>
          <w:sz w:val="22"/>
        </w:rPr>
        <w:t> </w:t>
      </w:r>
      <w:r>
        <w:rPr>
          <w:spacing w:val="-5"/>
          <w:sz w:val="22"/>
        </w:rPr>
        <w:t>and</w:t>
      </w:r>
    </w:p>
    <w:p>
      <w:pPr>
        <w:pStyle w:val="ListParagraph"/>
        <w:numPr>
          <w:ilvl w:val="0"/>
          <w:numId w:val="10"/>
        </w:numPr>
        <w:tabs>
          <w:tab w:pos="2160" w:val="left" w:leader="none"/>
        </w:tabs>
        <w:spacing w:line="252" w:lineRule="exact" w:before="2" w:after="0"/>
        <w:ind w:left="2159" w:right="0" w:hanging="360"/>
        <w:jc w:val="left"/>
        <w:rPr>
          <w:sz w:val="22"/>
        </w:rPr>
      </w:pPr>
      <w:r>
        <w:rPr>
          <w:sz w:val="22"/>
        </w:rPr>
        <w:t>Provision</w:t>
      </w:r>
      <w:r>
        <w:rPr>
          <w:spacing w:val="-3"/>
          <w:sz w:val="22"/>
        </w:rPr>
        <w:t> </w:t>
      </w:r>
      <w:r>
        <w:rPr>
          <w:sz w:val="22"/>
        </w:rPr>
        <w:t>of</w:t>
      </w:r>
      <w:r>
        <w:rPr>
          <w:spacing w:val="-3"/>
          <w:sz w:val="22"/>
        </w:rPr>
        <w:t> </w:t>
      </w:r>
      <w:r>
        <w:rPr>
          <w:sz w:val="22"/>
        </w:rPr>
        <w:t>general</w:t>
      </w:r>
      <w:r>
        <w:rPr>
          <w:spacing w:val="-4"/>
          <w:sz w:val="22"/>
        </w:rPr>
        <w:t> </w:t>
      </w:r>
      <w:r>
        <w:rPr>
          <w:sz w:val="22"/>
        </w:rPr>
        <w:t>support</w:t>
      </w:r>
      <w:r>
        <w:rPr>
          <w:spacing w:val="-6"/>
          <w:sz w:val="22"/>
        </w:rPr>
        <w:t> </w:t>
      </w:r>
      <w:r>
        <w:rPr>
          <w:sz w:val="22"/>
        </w:rPr>
        <w:t>services;</w:t>
      </w:r>
      <w:r>
        <w:rPr>
          <w:spacing w:val="-1"/>
          <w:sz w:val="22"/>
        </w:rPr>
        <w:t> </w:t>
      </w:r>
      <w:r>
        <w:rPr>
          <w:spacing w:val="-5"/>
          <w:sz w:val="22"/>
        </w:rPr>
        <w:t>and</w:t>
      </w:r>
    </w:p>
    <w:p>
      <w:pPr>
        <w:pStyle w:val="ListParagraph"/>
        <w:numPr>
          <w:ilvl w:val="0"/>
          <w:numId w:val="10"/>
        </w:numPr>
        <w:tabs>
          <w:tab w:pos="2160" w:val="left" w:leader="none"/>
        </w:tabs>
        <w:spacing w:line="240" w:lineRule="auto" w:before="0" w:after="0"/>
        <w:ind w:left="2160" w:right="1437" w:hanging="360"/>
        <w:jc w:val="left"/>
        <w:rPr>
          <w:sz w:val="22"/>
        </w:rPr>
      </w:pPr>
      <w:r>
        <w:rPr>
          <w:sz w:val="22"/>
        </w:rPr>
        <w:t>Requirement to ensure that Council has adequate funding to undertake its strategic, statutory, and service provision obligations; and</w:t>
      </w:r>
    </w:p>
    <w:p>
      <w:pPr>
        <w:pStyle w:val="ListParagraph"/>
        <w:numPr>
          <w:ilvl w:val="0"/>
          <w:numId w:val="10"/>
        </w:numPr>
        <w:tabs>
          <w:tab w:pos="2160" w:val="left" w:leader="none"/>
        </w:tabs>
        <w:spacing w:line="240" w:lineRule="auto" w:before="0" w:after="0"/>
        <w:ind w:left="2160" w:right="1435" w:hanging="360"/>
        <w:jc w:val="left"/>
        <w:rPr>
          <w:sz w:val="22"/>
        </w:rPr>
      </w:pPr>
      <w:r>
        <w:rPr>
          <w:sz w:val="22"/>
        </w:rPr>
        <w:t>Recognition</w:t>
      </w:r>
      <w:r>
        <w:rPr>
          <w:spacing w:val="37"/>
          <w:sz w:val="22"/>
        </w:rPr>
        <w:t> </w:t>
      </w:r>
      <w:r>
        <w:rPr>
          <w:sz w:val="22"/>
        </w:rPr>
        <w:t>of</w:t>
      </w:r>
      <w:r>
        <w:rPr>
          <w:spacing w:val="37"/>
          <w:sz w:val="22"/>
        </w:rPr>
        <w:t> </w:t>
      </w:r>
      <w:r>
        <w:rPr>
          <w:sz w:val="22"/>
        </w:rPr>
        <w:t>expenditures</w:t>
      </w:r>
      <w:r>
        <w:rPr>
          <w:spacing w:val="37"/>
          <w:sz w:val="22"/>
        </w:rPr>
        <w:t> </w:t>
      </w:r>
      <w:r>
        <w:rPr>
          <w:sz w:val="22"/>
        </w:rPr>
        <w:t>made</w:t>
      </w:r>
      <w:r>
        <w:rPr>
          <w:spacing w:val="33"/>
          <w:sz w:val="22"/>
        </w:rPr>
        <w:t> </w:t>
      </w:r>
      <w:r>
        <w:rPr>
          <w:sz w:val="22"/>
        </w:rPr>
        <w:t>by</w:t>
      </w:r>
      <w:r>
        <w:rPr>
          <w:spacing w:val="37"/>
          <w:sz w:val="22"/>
        </w:rPr>
        <w:t> </w:t>
      </w:r>
      <w:r>
        <w:rPr>
          <w:sz w:val="22"/>
        </w:rPr>
        <w:t>Council</w:t>
      </w:r>
      <w:r>
        <w:rPr>
          <w:spacing w:val="34"/>
          <w:sz w:val="22"/>
        </w:rPr>
        <w:t> </w:t>
      </w:r>
      <w:r>
        <w:rPr>
          <w:sz w:val="22"/>
        </w:rPr>
        <w:t>in</w:t>
      </w:r>
      <w:r>
        <w:rPr>
          <w:spacing w:val="35"/>
          <w:sz w:val="22"/>
        </w:rPr>
        <w:t> </w:t>
      </w:r>
      <w:r>
        <w:rPr>
          <w:sz w:val="22"/>
        </w:rPr>
        <w:t>cultural</w:t>
      </w:r>
      <w:r>
        <w:rPr>
          <w:spacing w:val="35"/>
          <w:sz w:val="22"/>
        </w:rPr>
        <w:t> </w:t>
      </w:r>
      <w:r>
        <w:rPr>
          <w:sz w:val="22"/>
        </w:rPr>
        <w:t>and</w:t>
      </w:r>
      <w:r>
        <w:rPr>
          <w:spacing w:val="37"/>
          <w:sz w:val="22"/>
        </w:rPr>
        <w:t> </w:t>
      </w:r>
      <w:r>
        <w:rPr>
          <w:sz w:val="22"/>
        </w:rPr>
        <w:t>recreational</w:t>
      </w:r>
      <w:r>
        <w:rPr>
          <w:spacing w:val="37"/>
          <w:sz w:val="22"/>
        </w:rPr>
        <w:t> </w:t>
      </w:r>
      <w:r>
        <w:rPr>
          <w:sz w:val="22"/>
        </w:rPr>
        <w:t>sporting programs and infrastructure.</w:t>
      </w:r>
    </w:p>
    <w:p>
      <w:pPr>
        <w:pStyle w:val="BodyText"/>
        <w:spacing w:before="4"/>
        <w:rPr>
          <w:sz w:val="23"/>
        </w:rPr>
      </w:pPr>
    </w:p>
    <w:p>
      <w:pPr>
        <w:pStyle w:val="Heading5"/>
        <w:spacing w:line="252" w:lineRule="exact"/>
        <w:jc w:val="left"/>
      </w:pPr>
      <w:r>
        <w:rPr/>
        <w:t>Types</w:t>
      </w:r>
      <w:r>
        <w:rPr>
          <w:spacing w:val="-2"/>
        </w:rPr>
        <w:t> </w:t>
      </w:r>
      <w:r>
        <w:rPr/>
        <w:t>and</w:t>
      </w:r>
      <w:r>
        <w:rPr>
          <w:spacing w:val="-1"/>
        </w:rPr>
        <w:t> </w:t>
      </w:r>
      <w:r>
        <w:rPr>
          <w:spacing w:val="-2"/>
        </w:rPr>
        <w:t>Classes:</w:t>
      </w:r>
    </w:p>
    <w:p>
      <w:pPr>
        <w:pStyle w:val="BodyText"/>
        <w:spacing w:line="252" w:lineRule="exact"/>
        <w:ind w:left="144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spacing w:before="1"/>
      </w:pPr>
    </w:p>
    <w:p>
      <w:pPr>
        <w:pStyle w:val="Heading5"/>
        <w:spacing w:line="252" w:lineRule="exact"/>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1440" w:right="1434"/>
        <w:jc w:val="both"/>
      </w:pPr>
      <w:r>
        <w:rPr/>
        <w:t>The differential rate will be used to fund some of those items of expenditure described in the Budget adopted by Council. The level of the differential rate is the level which Council considers is necessary to achieve the objectives specified above.</w:t>
      </w:r>
    </w:p>
    <w:p>
      <w:pPr>
        <w:pStyle w:val="BodyText"/>
      </w:pPr>
    </w:p>
    <w:p>
      <w:pPr>
        <w:pStyle w:val="Heading5"/>
        <w:spacing w:line="252" w:lineRule="exact"/>
      </w:pPr>
      <w:r>
        <w:rPr/>
        <w:t>Geographic</w:t>
      </w:r>
      <w:r>
        <w:rPr>
          <w:spacing w:val="-5"/>
        </w:rPr>
        <w:t> </w:t>
      </w:r>
      <w:r>
        <w:rPr>
          <w:spacing w:val="-2"/>
        </w:rPr>
        <w:t>Location:</w:t>
      </w:r>
    </w:p>
    <w:p>
      <w:pPr>
        <w:pStyle w:val="BodyText"/>
        <w:spacing w:line="252" w:lineRule="exact"/>
        <w:ind w:left="144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1"/>
      </w:pPr>
    </w:p>
    <w:p>
      <w:pPr>
        <w:pStyle w:val="Heading5"/>
        <w:spacing w:line="252" w:lineRule="exact"/>
      </w:pPr>
      <w:r>
        <w:rPr/>
        <w:t>Use of</w:t>
      </w:r>
      <w:r>
        <w:rPr>
          <w:spacing w:val="-1"/>
        </w:rPr>
        <w:t> </w:t>
      </w:r>
      <w:r>
        <w:rPr>
          <w:spacing w:val="-4"/>
        </w:rPr>
        <w:t>Land:</w:t>
      </w:r>
    </w:p>
    <w:p>
      <w:pPr>
        <w:pStyle w:val="BodyText"/>
        <w:spacing w:line="252" w:lineRule="exact"/>
        <w:ind w:left="144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jc w:val="left"/>
      </w:pPr>
      <w:r>
        <w:rPr/>
        <w:t>Planning</w:t>
      </w:r>
      <w:r>
        <w:rPr>
          <w:spacing w:val="-4"/>
        </w:rPr>
        <w:t> </w:t>
      </w:r>
      <w:r>
        <w:rPr/>
        <w:t>Scheme</w:t>
      </w:r>
      <w:r>
        <w:rPr>
          <w:spacing w:val="-2"/>
        </w:rPr>
        <w:t> Zoning:</w:t>
      </w:r>
    </w:p>
    <w:p>
      <w:pPr>
        <w:pStyle w:val="BodyText"/>
        <w:spacing w:before="2"/>
        <w:ind w:left="1440" w:right="1342"/>
      </w:pPr>
      <w:r>
        <w:rPr/>
        <w:t>The</w:t>
      </w:r>
      <w:r>
        <w:rPr>
          <w:spacing w:val="-4"/>
        </w:rPr>
        <w:t> </w:t>
      </w:r>
      <w:r>
        <w:rPr/>
        <w:t>zoning</w:t>
      </w:r>
      <w:r>
        <w:rPr>
          <w:spacing w:val="-4"/>
        </w:rPr>
        <w:t> </w:t>
      </w:r>
      <w:r>
        <w:rPr/>
        <w:t>applicable</w:t>
      </w:r>
      <w:r>
        <w:rPr>
          <w:spacing w:val="-4"/>
        </w:rPr>
        <w:t> </w:t>
      </w:r>
      <w:r>
        <w:rPr/>
        <w:t>to</w:t>
      </w:r>
      <w:r>
        <w:rPr>
          <w:spacing w:val="-6"/>
        </w:rPr>
        <w:t> </w:t>
      </w:r>
      <w:r>
        <w:rPr/>
        <w:t>each</w:t>
      </w:r>
      <w:r>
        <w:rPr>
          <w:spacing w:val="-4"/>
        </w:rPr>
        <w:t> </w:t>
      </w:r>
      <w:r>
        <w:rPr/>
        <w:t>rateable</w:t>
      </w:r>
      <w:r>
        <w:rPr>
          <w:spacing w:val="-5"/>
        </w:rPr>
        <w:t> </w:t>
      </w:r>
      <w:r>
        <w:rPr/>
        <w:t>land</w:t>
      </w:r>
      <w:r>
        <w:rPr>
          <w:spacing w:val="-4"/>
        </w:rPr>
        <w:t> </w:t>
      </w:r>
      <w:r>
        <w:rPr/>
        <w:t>within</w:t>
      </w:r>
      <w:r>
        <w:rPr>
          <w:spacing w:val="-5"/>
        </w:rPr>
        <w:t> </w:t>
      </w:r>
      <w:r>
        <w:rPr/>
        <w:t>this</w:t>
      </w:r>
      <w:r>
        <w:rPr>
          <w:spacing w:val="-4"/>
        </w:rPr>
        <w:t> </w:t>
      </w:r>
      <w:r>
        <w:rPr/>
        <w:t>category,</w:t>
      </w:r>
      <w:r>
        <w:rPr>
          <w:spacing w:val="-4"/>
        </w:rPr>
        <w:t> </w:t>
      </w:r>
      <w:r>
        <w:rPr/>
        <w:t>as</w:t>
      </w:r>
      <w:r>
        <w:rPr>
          <w:spacing w:val="-6"/>
        </w:rPr>
        <w:t> </w:t>
      </w:r>
      <w:r>
        <w:rPr/>
        <w:t>determined</w:t>
      </w:r>
      <w:r>
        <w:rPr>
          <w:spacing w:val="-4"/>
        </w:rPr>
        <w:t> </w:t>
      </w:r>
      <w:r>
        <w:rPr/>
        <w:t>by</w:t>
      </w:r>
      <w:r>
        <w:rPr>
          <w:spacing w:val="-4"/>
        </w:rPr>
        <w:t> </w:t>
      </w:r>
      <w:r>
        <w:rPr/>
        <w:t>consulting maps referred to in the relevant Planning Scheme.</w:t>
      </w:r>
    </w:p>
    <w:p>
      <w:pPr>
        <w:spacing w:after="0"/>
        <w:sectPr>
          <w:pgSz w:w="11910" w:h="16840"/>
          <w:pgMar w:header="0" w:footer="662" w:top="580" w:bottom="860" w:left="0" w:right="0"/>
        </w:sectPr>
      </w:pPr>
    </w:p>
    <w:p>
      <w:pPr>
        <w:pStyle w:val="Heading4"/>
        <w:spacing w:before="80"/>
      </w:pPr>
      <w:r>
        <w:rPr>
          <w:color w:val="1F497C"/>
        </w:rPr>
        <w:t>Vacant</w:t>
      </w:r>
      <w:r>
        <w:rPr>
          <w:color w:val="1F497C"/>
          <w:spacing w:val="-1"/>
        </w:rPr>
        <w:t> </w:t>
      </w:r>
      <w:r>
        <w:rPr>
          <w:color w:val="1F497C"/>
          <w:spacing w:val="-4"/>
        </w:rPr>
        <w:t>Land</w:t>
      </w:r>
    </w:p>
    <w:p>
      <w:pPr>
        <w:pStyle w:val="Heading5"/>
        <w:spacing w:line="252" w:lineRule="exact" w:before="255"/>
        <w:jc w:val="left"/>
      </w:pPr>
      <w:r>
        <w:rPr>
          <w:spacing w:val="-2"/>
        </w:rPr>
        <w:t>Definitions/Characteristics:</w:t>
      </w:r>
    </w:p>
    <w:p>
      <w:pPr>
        <w:pStyle w:val="BodyText"/>
        <w:ind w:left="1440" w:right="1436"/>
      </w:pPr>
      <w:r>
        <w:rPr/>
        <w:t>Any land on which there is no building which is occupied or adapted for occupation and that is not General, Derelict, Commercial or Industrial Land.</w:t>
      </w:r>
    </w:p>
    <w:p>
      <w:pPr>
        <w:pStyle w:val="BodyText"/>
        <w:spacing w:before="11"/>
        <w:rPr>
          <w:sz w:val="21"/>
        </w:rPr>
      </w:pPr>
    </w:p>
    <w:p>
      <w:pPr>
        <w:pStyle w:val="Heading5"/>
        <w:jc w:val="left"/>
      </w:pPr>
      <w:r>
        <w:rPr>
          <w:spacing w:val="-2"/>
        </w:rPr>
        <w:t>Objective:</w:t>
      </w:r>
    </w:p>
    <w:p>
      <w:pPr>
        <w:pStyle w:val="BodyText"/>
        <w:spacing w:before="1"/>
        <w:ind w:left="1440" w:right="1342"/>
      </w:pPr>
      <w:r>
        <w:rPr/>
        <w:t>To</w:t>
      </w:r>
      <w:r>
        <w:rPr>
          <w:spacing w:val="-16"/>
        </w:rPr>
        <w:t> </w:t>
      </w:r>
      <w:r>
        <w:rPr/>
        <w:t>ensure</w:t>
      </w:r>
      <w:r>
        <w:rPr>
          <w:spacing w:val="-17"/>
        </w:rPr>
        <w:t> </w:t>
      </w:r>
      <w:r>
        <w:rPr/>
        <w:t>that</w:t>
      </w:r>
      <w:r>
        <w:rPr>
          <w:spacing w:val="-15"/>
        </w:rPr>
        <w:t> </w:t>
      </w:r>
      <w:r>
        <w:rPr/>
        <w:t>all</w:t>
      </w:r>
      <w:r>
        <w:rPr>
          <w:spacing w:val="-15"/>
        </w:rPr>
        <w:t> </w:t>
      </w:r>
      <w:r>
        <w:rPr/>
        <w:t>rateable</w:t>
      </w:r>
      <w:r>
        <w:rPr>
          <w:spacing w:val="-16"/>
        </w:rPr>
        <w:t> </w:t>
      </w:r>
      <w:r>
        <w:rPr/>
        <w:t>land</w:t>
      </w:r>
      <w:r>
        <w:rPr>
          <w:spacing w:val="-15"/>
        </w:rPr>
        <w:t> </w:t>
      </w:r>
      <w:r>
        <w:rPr/>
        <w:t>makes</w:t>
      </w:r>
      <w:r>
        <w:rPr>
          <w:spacing w:val="-15"/>
        </w:rPr>
        <w:t> </w:t>
      </w:r>
      <w:r>
        <w:rPr/>
        <w:t>an</w:t>
      </w:r>
      <w:r>
        <w:rPr>
          <w:spacing w:val="-15"/>
        </w:rPr>
        <w:t> </w:t>
      </w:r>
      <w:r>
        <w:rPr/>
        <w:t>equitable</w:t>
      </w:r>
      <w:r>
        <w:rPr>
          <w:spacing w:val="-16"/>
        </w:rPr>
        <w:t> </w:t>
      </w:r>
      <w:r>
        <w:rPr/>
        <w:t>financial</w:t>
      </w:r>
      <w:r>
        <w:rPr>
          <w:spacing w:val="-15"/>
        </w:rPr>
        <w:t> </w:t>
      </w:r>
      <w:r>
        <w:rPr/>
        <w:t>contribution</w:t>
      </w:r>
      <w:r>
        <w:rPr>
          <w:spacing w:val="-15"/>
        </w:rPr>
        <w:t> </w:t>
      </w:r>
      <w:r>
        <w:rPr/>
        <w:t>to</w:t>
      </w:r>
      <w:r>
        <w:rPr>
          <w:spacing w:val="-16"/>
        </w:rPr>
        <w:t> </w:t>
      </w:r>
      <w:r>
        <w:rPr/>
        <w:t>the</w:t>
      </w:r>
      <w:r>
        <w:rPr>
          <w:spacing w:val="-15"/>
        </w:rPr>
        <w:t> </w:t>
      </w:r>
      <w:r>
        <w:rPr/>
        <w:t>cost</w:t>
      </w:r>
      <w:r>
        <w:rPr>
          <w:spacing w:val="-15"/>
        </w:rPr>
        <w:t> </w:t>
      </w:r>
      <w:r>
        <w:rPr/>
        <w:t>of</w:t>
      </w:r>
      <w:r>
        <w:rPr>
          <w:spacing w:val="-15"/>
        </w:rPr>
        <w:t> </w:t>
      </w:r>
      <w:r>
        <w:rPr/>
        <w:t>carrying out the functions of Council, including:</w:t>
      </w:r>
    </w:p>
    <w:p>
      <w:pPr>
        <w:pStyle w:val="ListParagraph"/>
        <w:numPr>
          <w:ilvl w:val="0"/>
          <w:numId w:val="11"/>
        </w:numPr>
        <w:tabs>
          <w:tab w:pos="2160" w:val="left" w:leader="none"/>
        </w:tabs>
        <w:spacing w:line="251" w:lineRule="exact" w:before="0" w:after="0"/>
        <w:ind w:left="2159" w:right="0" w:hanging="360"/>
        <w:jc w:val="left"/>
        <w:rPr>
          <w:sz w:val="22"/>
        </w:rPr>
      </w:pPr>
      <w:r>
        <w:rPr>
          <w:sz w:val="22"/>
        </w:rPr>
        <w:t>Construction</w:t>
      </w:r>
      <w:r>
        <w:rPr>
          <w:spacing w:val="-5"/>
          <w:sz w:val="22"/>
        </w:rPr>
        <w:t> </w:t>
      </w:r>
      <w:r>
        <w:rPr>
          <w:sz w:val="22"/>
        </w:rPr>
        <w:t>and</w:t>
      </w:r>
      <w:r>
        <w:rPr>
          <w:spacing w:val="-7"/>
          <w:sz w:val="22"/>
        </w:rPr>
        <w:t> </w:t>
      </w:r>
      <w:r>
        <w:rPr>
          <w:sz w:val="22"/>
        </w:rPr>
        <w:t>maintenance</w:t>
      </w:r>
      <w:r>
        <w:rPr>
          <w:spacing w:val="-4"/>
          <w:sz w:val="22"/>
        </w:rPr>
        <w:t> </w:t>
      </w:r>
      <w:r>
        <w:rPr>
          <w:sz w:val="22"/>
        </w:rPr>
        <w:t>of</w:t>
      </w:r>
      <w:r>
        <w:rPr>
          <w:spacing w:val="-4"/>
          <w:sz w:val="22"/>
        </w:rPr>
        <w:t> </w:t>
      </w:r>
      <w:r>
        <w:rPr>
          <w:sz w:val="22"/>
        </w:rPr>
        <w:t>public</w:t>
      </w:r>
      <w:r>
        <w:rPr>
          <w:spacing w:val="-5"/>
          <w:sz w:val="22"/>
        </w:rPr>
        <w:t> </w:t>
      </w:r>
      <w:r>
        <w:rPr>
          <w:sz w:val="22"/>
        </w:rPr>
        <w:t>infrastructure:</w:t>
      </w:r>
      <w:r>
        <w:rPr>
          <w:spacing w:val="-3"/>
          <w:sz w:val="22"/>
        </w:rPr>
        <w:t> </w:t>
      </w:r>
      <w:r>
        <w:rPr>
          <w:spacing w:val="-5"/>
          <w:sz w:val="22"/>
        </w:rPr>
        <w:t>and</w:t>
      </w:r>
    </w:p>
    <w:p>
      <w:pPr>
        <w:pStyle w:val="ListParagraph"/>
        <w:numPr>
          <w:ilvl w:val="0"/>
          <w:numId w:val="11"/>
        </w:numPr>
        <w:tabs>
          <w:tab w:pos="2160" w:val="left" w:leader="none"/>
        </w:tabs>
        <w:spacing w:line="252" w:lineRule="exact" w:before="2" w:after="0"/>
        <w:ind w:left="2159" w:right="0" w:hanging="360"/>
        <w:jc w:val="left"/>
        <w:rPr>
          <w:sz w:val="22"/>
        </w:rPr>
      </w:pPr>
      <w:r>
        <w:rPr>
          <w:sz w:val="22"/>
        </w:rPr>
        <w:t>Development</w:t>
      </w:r>
      <w:r>
        <w:rPr>
          <w:spacing w:val="-2"/>
          <w:sz w:val="22"/>
        </w:rPr>
        <w:t> </w:t>
      </w:r>
      <w:r>
        <w:rPr>
          <w:sz w:val="22"/>
        </w:rPr>
        <w:t>and</w:t>
      </w:r>
      <w:r>
        <w:rPr>
          <w:spacing w:val="-6"/>
          <w:sz w:val="22"/>
        </w:rPr>
        <w:t> </w:t>
      </w:r>
      <w:r>
        <w:rPr>
          <w:sz w:val="22"/>
        </w:rPr>
        <w:t>provision</w:t>
      </w:r>
      <w:r>
        <w:rPr>
          <w:spacing w:val="-3"/>
          <w:sz w:val="22"/>
        </w:rPr>
        <w:t> </w:t>
      </w:r>
      <w:r>
        <w:rPr>
          <w:sz w:val="22"/>
        </w:rPr>
        <w:t>of</w:t>
      </w:r>
      <w:r>
        <w:rPr>
          <w:spacing w:val="-3"/>
          <w:sz w:val="22"/>
        </w:rPr>
        <w:t> </w:t>
      </w:r>
      <w:r>
        <w:rPr>
          <w:sz w:val="22"/>
        </w:rPr>
        <w:t>health</w:t>
      </w:r>
      <w:r>
        <w:rPr>
          <w:spacing w:val="-4"/>
          <w:sz w:val="22"/>
        </w:rPr>
        <w:t> </w:t>
      </w:r>
      <w:r>
        <w:rPr>
          <w:sz w:val="22"/>
        </w:rPr>
        <w:t>&amp;</w:t>
      </w:r>
      <w:r>
        <w:rPr>
          <w:spacing w:val="-5"/>
          <w:sz w:val="22"/>
        </w:rPr>
        <w:t> </w:t>
      </w:r>
      <w:r>
        <w:rPr>
          <w:sz w:val="22"/>
        </w:rPr>
        <w:t>community</w:t>
      </w:r>
      <w:r>
        <w:rPr>
          <w:spacing w:val="-4"/>
          <w:sz w:val="22"/>
        </w:rPr>
        <w:t> </w:t>
      </w:r>
      <w:r>
        <w:rPr>
          <w:sz w:val="22"/>
        </w:rPr>
        <w:t>services;</w:t>
      </w:r>
      <w:r>
        <w:rPr>
          <w:spacing w:val="-2"/>
          <w:sz w:val="22"/>
        </w:rPr>
        <w:t> </w:t>
      </w:r>
      <w:r>
        <w:rPr>
          <w:spacing w:val="-5"/>
          <w:sz w:val="22"/>
        </w:rPr>
        <w:t>and</w:t>
      </w:r>
    </w:p>
    <w:p>
      <w:pPr>
        <w:pStyle w:val="ListParagraph"/>
        <w:numPr>
          <w:ilvl w:val="0"/>
          <w:numId w:val="11"/>
        </w:numPr>
        <w:tabs>
          <w:tab w:pos="2160" w:val="left" w:leader="none"/>
        </w:tabs>
        <w:spacing w:line="252" w:lineRule="exact" w:before="0" w:after="0"/>
        <w:ind w:left="2159" w:right="0" w:hanging="360"/>
        <w:jc w:val="left"/>
        <w:rPr>
          <w:sz w:val="22"/>
        </w:rPr>
      </w:pPr>
      <w:r>
        <w:rPr>
          <w:sz w:val="22"/>
        </w:rPr>
        <w:t>Provision</w:t>
      </w:r>
      <w:r>
        <w:rPr>
          <w:spacing w:val="-3"/>
          <w:sz w:val="22"/>
        </w:rPr>
        <w:t> </w:t>
      </w:r>
      <w:r>
        <w:rPr>
          <w:sz w:val="22"/>
        </w:rPr>
        <w:t>of</w:t>
      </w:r>
      <w:r>
        <w:rPr>
          <w:spacing w:val="-3"/>
          <w:sz w:val="22"/>
        </w:rPr>
        <w:t> </w:t>
      </w:r>
      <w:r>
        <w:rPr>
          <w:sz w:val="22"/>
        </w:rPr>
        <w:t>general</w:t>
      </w:r>
      <w:r>
        <w:rPr>
          <w:spacing w:val="-4"/>
          <w:sz w:val="22"/>
        </w:rPr>
        <w:t> </w:t>
      </w:r>
      <w:r>
        <w:rPr>
          <w:sz w:val="22"/>
        </w:rPr>
        <w:t>support</w:t>
      </w:r>
      <w:r>
        <w:rPr>
          <w:spacing w:val="-6"/>
          <w:sz w:val="22"/>
        </w:rPr>
        <w:t> </w:t>
      </w:r>
      <w:r>
        <w:rPr>
          <w:sz w:val="22"/>
        </w:rPr>
        <w:t>services;</w:t>
      </w:r>
      <w:r>
        <w:rPr>
          <w:spacing w:val="-1"/>
          <w:sz w:val="22"/>
        </w:rPr>
        <w:t> </w:t>
      </w:r>
      <w:r>
        <w:rPr>
          <w:spacing w:val="-5"/>
          <w:sz w:val="22"/>
        </w:rPr>
        <w:t>and</w:t>
      </w:r>
    </w:p>
    <w:p>
      <w:pPr>
        <w:pStyle w:val="ListParagraph"/>
        <w:numPr>
          <w:ilvl w:val="0"/>
          <w:numId w:val="11"/>
        </w:numPr>
        <w:tabs>
          <w:tab w:pos="2160" w:val="left" w:leader="none"/>
        </w:tabs>
        <w:spacing w:line="240" w:lineRule="auto" w:before="1" w:after="0"/>
        <w:ind w:left="2160" w:right="1435" w:hanging="360"/>
        <w:jc w:val="left"/>
        <w:rPr>
          <w:sz w:val="22"/>
        </w:rPr>
      </w:pPr>
      <w:r>
        <w:rPr>
          <w:sz w:val="22"/>
        </w:rPr>
        <w:t>Enhancement</w:t>
      </w:r>
      <w:r>
        <w:rPr>
          <w:spacing w:val="-11"/>
          <w:sz w:val="22"/>
        </w:rPr>
        <w:t> </w:t>
      </w:r>
      <w:r>
        <w:rPr>
          <w:sz w:val="22"/>
        </w:rPr>
        <w:t>of</w:t>
      </w:r>
      <w:r>
        <w:rPr>
          <w:spacing w:val="-11"/>
          <w:sz w:val="22"/>
        </w:rPr>
        <w:t> </w:t>
      </w:r>
      <w:r>
        <w:rPr>
          <w:sz w:val="22"/>
        </w:rPr>
        <w:t>the</w:t>
      </w:r>
      <w:r>
        <w:rPr>
          <w:spacing w:val="-9"/>
          <w:sz w:val="22"/>
        </w:rPr>
        <w:t> </w:t>
      </w:r>
      <w:r>
        <w:rPr>
          <w:sz w:val="22"/>
        </w:rPr>
        <w:t>economic</w:t>
      </w:r>
      <w:r>
        <w:rPr>
          <w:spacing w:val="-11"/>
          <w:sz w:val="22"/>
        </w:rPr>
        <w:t> </w:t>
      </w:r>
      <w:r>
        <w:rPr>
          <w:sz w:val="22"/>
        </w:rPr>
        <w:t>viability</w:t>
      </w:r>
      <w:r>
        <w:rPr>
          <w:spacing w:val="-9"/>
          <w:sz w:val="22"/>
        </w:rPr>
        <w:t> </w:t>
      </w:r>
      <w:r>
        <w:rPr>
          <w:sz w:val="22"/>
        </w:rPr>
        <w:t>of</w:t>
      </w:r>
      <w:r>
        <w:rPr>
          <w:spacing w:val="-11"/>
          <w:sz w:val="22"/>
        </w:rPr>
        <w:t> </w:t>
      </w:r>
      <w:r>
        <w:rPr>
          <w:sz w:val="22"/>
        </w:rPr>
        <w:t>the</w:t>
      </w:r>
      <w:r>
        <w:rPr>
          <w:spacing w:val="-11"/>
          <w:sz w:val="22"/>
        </w:rPr>
        <w:t> </w:t>
      </w:r>
      <w:r>
        <w:rPr>
          <w:sz w:val="22"/>
        </w:rPr>
        <w:t>commercial</w:t>
      </w:r>
      <w:r>
        <w:rPr>
          <w:spacing w:val="-11"/>
          <w:sz w:val="22"/>
        </w:rPr>
        <w:t> </w:t>
      </w:r>
      <w:r>
        <w:rPr>
          <w:sz w:val="22"/>
        </w:rPr>
        <w:t>and</w:t>
      </w:r>
      <w:r>
        <w:rPr>
          <w:spacing w:val="-12"/>
          <w:sz w:val="22"/>
        </w:rPr>
        <w:t> </w:t>
      </w:r>
      <w:r>
        <w:rPr>
          <w:sz w:val="22"/>
        </w:rPr>
        <w:t>industrial</w:t>
      </w:r>
      <w:r>
        <w:rPr>
          <w:spacing w:val="-11"/>
          <w:sz w:val="22"/>
        </w:rPr>
        <w:t> </w:t>
      </w:r>
      <w:r>
        <w:rPr>
          <w:sz w:val="22"/>
        </w:rPr>
        <w:t>sector</w:t>
      </w:r>
      <w:r>
        <w:rPr>
          <w:spacing w:val="-11"/>
          <w:sz w:val="22"/>
        </w:rPr>
        <w:t> </w:t>
      </w:r>
      <w:r>
        <w:rPr>
          <w:sz w:val="22"/>
        </w:rPr>
        <w:t>through targeted programs and projects; and</w:t>
      </w:r>
    </w:p>
    <w:p>
      <w:pPr>
        <w:pStyle w:val="ListParagraph"/>
        <w:numPr>
          <w:ilvl w:val="0"/>
          <w:numId w:val="11"/>
        </w:numPr>
        <w:tabs>
          <w:tab w:pos="2160" w:val="left" w:leader="none"/>
        </w:tabs>
        <w:spacing w:line="240" w:lineRule="auto" w:before="0" w:after="0"/>
        <w:ind w:left="2160" w:right="1434" w:hanging="360"/>
        <w:jc w:val="left"/>
        <w:rPr>
          <w:sz w:val="22"/>
        </w:rPr>
      </w:pPr>
      <w:r>
        <w:rPr>
          <w:sz w:val="22"/>
        </w:rPr>
        <w:t>Encouragement of development on land to reduce land banking and promote more</w:t>
      </w:r>
      <w:r>
        <w:rPr>
          <w:spacing w:val="40"/>
          <w:sz w:val="22"/>
        </w:rPr>
        <w:t> </w:t>
      </w:r>
      <w:r>
        <w:rPr>
          <w:sz w:val="22"/>
        </w:rPr>
        <w:t>housing within the municipality.</w:t>
      </w:r>
    </w:p>
    <w:p>
      <w:pPr>
        <w:pStyle w:val="BodyText"/>
        <w:rPr>
          <w:sz w:val="24"/>
        </w:rPr>
      </w:pPr>
    </w:p>
    <w:p>
      <w:pPr>
        <w:pStyle w:val="BodyText"/>
        <w:spacing w:before="2"/>
      </w:pPr>
    </w:p>
    <w:p>
      <w:pPr>
        <w:pStyle w:val="Heading5"/>
        <w:jc w:val="left"/>
      </w:pPr>
      <w:r>
        <w:rPr/>
        <w:t>Types</w:t>
      </w:r>
      <w:r>
        <w:rPr>
          <w:spacing w:val="-2"/>
        </w:rPr>
        <w:t> </w:t>
      </w:r>
      <w:r>
        <w:rPr/>
        <w:t>and</w:t>
      </w:r>
      <w:r>
        <w:rPr>
          <w:spacing w:val="-1"/>
        </w:rPr>
        <w:t> </w:t>
      </w:r>
      <w:r>
        <w:rPr>
          <w:spacing w:val="-2"/>
        </w:rPr>
        <w:t>Classes:</w:t>
      </w:r>
    </w:p>
    <w:p>
      <w:pPr>
        <w:pStyle w:val="BodyText"/>
        <w:spacing w:before="2"/>
        <w:ind w:left="144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1440" w:right="1434"/>
        <w:jc w:val="both"/>
      </w:pPr>
      <w:r>
        <w:rPr/>
        <w:t>The differential rate will be used to fund some of those items of expenditure described in the Budget adopted by Council. The level of differential rate is the level which Council considers is necessary to achieve the objectives specified above.</w:t>
      </w:r>
    </w:p>
    <w:p>
      <w:pPr>
        <w:pStyle w:val="BodyText"/>
        <w:spacing w:before="1"/>
      </w:pPr>
    </w:p>
    <w:p>
      <w:pPr>
        <w:pStyle w:val="Heading5"/>
        <w:spacing w:line="252" w:lineRule="exact"/>
      </w:pPr>
      <w:r>
        <w:rPr/>
        <w:t>Geographic</w:t>
      </w:r>
      <w:r>
        <w:rPr>
          <w:spacing w:val="-5"/>
        </w:rPr>
        <w:t> </w:t>
      </w:r>
      <w:r>
        <w:rPr>
          <w:spacing w:val="-2"/>
        </w:rPr>
        <w:t>Location:</w:t>
      </w:r>
    </w:p>
    <w:p>
      <w:pPr>
        <w:pStyle w:val="BodyText"/>
        <w:spacing w:line="252" w:lineRule="exact"/>
        <w:ind w:left="144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pPr>
    </w:p>
    <w:p>
      <w:pPr>
        <w:pStyle w:val="Heading5"/>
        <w:spacing w:line="252" w:lineRule="exact"/>
      </w:pPr>
      <w:r>
        <w:rPr/>
        <w:t>Use of</w:t>
      </w:r>
      <w:r>
        <w:rPr>
          <w:spacing w:val="-1"/>
        </w:rPr>
        <w:t> </w:t>
      </w:r>
      <w:r>
        <w:rPr>
          <w:spacing w:val="-4"/>
        </w:rPr>
        <w:t>Land:</w:t>
      </w:r>
    </w:p>
    <w:p>
      <w:pPr>
        <w:pStyle w:val="BodyText"/>
        <w:spacing w:line="252" w:lineRule="exact"/>
        <w:ind w:left="144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spacing w:line="252" w:lineRule="exact" w:before="1"/>
      </w:pPr>
      <w:r>
        <w:rPr/>
        <w:t>Planning</w:t>
      </w:r>
      <w:r>
        <w:rPr>
          <w:spacing w:val="-4"/>
        </w:rPr>
        <w:t> </w:t>
      </w:r>
      <w:r>
        <w:rPr/>
        <w:t>Scheme</w:t>
      </w:r>
      <w:r>
        <w:rPr>
          <w:spacing w:val="-2"/>
        </w:rPr>
        <w:t> Zoning:</w:t>
      </w:r>
    </w:p>
    <w:p>
      <w:pPr>
        <w:pStyle w:val="BodyText"/>
        <w:ind w:left="1440" w:right="1434"/>
        <w:jc w:val="both"/>
      </w:pPr>
      <w:r>
        <w:rPr/>
        <w:t>The</w:t>
      </w:r>
      <w:r>
        <w:rPr>
          <w:spacing w:val="-4"/>
        </w:rPr>
        <w:t> </w:t>
      </w:r>
      <w:r>
        <w:rPr/>
        <w:t>zoning</w:t>
      </w:r>
      <w:r>
        <w:rPr>
          <w:spacing w:val="-4"/>
        </w:rPr>
        <w:t> </w:t>
      </w:r>
      <w:r>
        <w:rPr/>
        <w:t>applicable</w:t>
      </w:r>
      <w:r>
        <w:rPr>
          <w:spacing w:val="-4"/>
        </w:rPr>
        <w:t> </w:t>
      </w:r>
      <w:r>
        <w:rPr/>
        <w:t>to</w:t>
      </w:r>
      <w:r>
        <w:rPr>
          <w:spacing w:val="-6"/>
        </w:rPr>
        <w:t> </w:t>
      </w:r>
      <w:r>
        <w:rPr/>
        <w:t>each</w:t>
      </w:r>
      <w:r>
        <w:rPr>
          <w:spacing w:val="-4"/>
        </w:rPr>
        <w:t> </w:t>
      </w:r>
      <w:r>
        <w:rPr/>
        <w:t>rateable</w:t>
      </w:r>
      <w:r>
        <w:rPr>
          <w:spacing w:val="-5"/>
        </w:rPr>
        <w:t> </w:t>
      </w:r>
      <w:r>
        <w:rPr/>
        <w:t>land</w:t>
      </w:r>
      <w:r>
        <w:rPr>
          <w:spacing w:val="-4"/>
        </w:rPr>
        <w:t> </w:t>
      </w:r>
      <w:r>
        <w:rPr/>
        <w:t>within</w:t>
      </w:r>
      <w:r>
        <w:rPr>
          <w:spacing w:val="-5"/>
        </w:rPr>
        <w:t> </w:t>
      </w:r>
      <w:r>
        <w:rPr/>
        <w:t>this</w:t>
      </w:r>
      <w:r>
        <w:rPr>
          <w:spacing w:val="-4"/>
        </w:rPr>
        <w:t> </w:t>
      </w:r>
      <w:r>
        <w:rPr/>
        <w:t>category,</w:t>
      </w:r>
      <w:r>
        <w:rPr>
          <w:spacing w:val="-4"/>
        </w:rPr>
        <w:t> </w:t>
      </w:r>
      <w:r>
        <w:rPr/>
        <w:t>as</w:t>
      </w:r>
      <w:r>
        <w:rPr>
          <w:spacing w:val="-6"/>
        </w:rPr>
        <w:t> </w:t>
      </w:r>
      <w:r>
        <w:rPr/>
        <w:t>determined</w:t>
      </w:r>
      <w:r>
        <w:rPr>
          <w:spacing w:val="-4"/>
        </w:rPr>
        <w:t> </w:t>
      </w:r>
      <w:r>
        <w:rPr/>
        <w:t>by</w:t>
      </w:r>
      <w:r>
        <w:rPr>
          <w:spacing w:val="-4"/>
        </w:rPr>
        <w:t> </w:t>
      </w:r>
      <w:r>
        <w:rPr/>
        <w:t>consulting maps referred to in the relevant Planning Scheme.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25">
            <wp:simplePos x="0" y="0"/>
            <wp:positionH relativeFrom="page">
              <wp:posOffset>27432</wp:posOffset>
            </wp:positionH>
            <wp:positionV relativeFrom="paragraph">
              <wp:posOffset>165087</wp:posOffset>
            </wp:positionV>
            <wp:extent cx="7378567" cy="97440"/>
            <wp:effectExtent l="0" t="0" r="0" b="0"/>
            <wp:wrapTopAndBottom/>
            <wp:docPr id="49" name="image4.png"/>
            <wp:cNvGraphicFramePr>
              <a:graphicFrameLocks noChangeAspect="1"/>
            </wp:cNvGraphicFramePr>
            <a:graphic>
              <a:graphicData uri="http://schemas.openxmlformats.org/drawingml/2006/picture">
                <pic:pic>
                  <pic:nvPicPr>
                    <pic:cNvPr id="50"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20"/>
        </w:rPr>
        <w:sectPr>
          <w:pgSz w:w="11910" w:h="16840"/>
          <w:pgMar w:header="0" w:footer="662" w:top="1340" w:bottom="860" w:left="0" w:right="0"/>
        </w:sectPr>
      </w:pPr>
    </w:p>
    <w:p>
      <w:pPr>
        <w:pStyle w:val="BodyText"/>
        <w:rPr>
          <w:sz w:val="20"/>
        </w:rPr>
      </w:pPr>
    </w:p>
    <w:p>
      <w:pPr>
        <w:pStyle w:val="BodyText"/>
        <w:rPr>
          <w:sz w:val="20"/>
        </w:rPr>
      </w:pPr>
    </w:p>
    <w:p>
      <w:pPr>
        <w:pStyle w:val="BodyText"/>
        <w:spacing w:before="1"/>
        <w:rPr>
          <w:sz w:val="25"/>
        </w:rPr>
      </w:pPr>
    </w:p>
    <w:p>
      <w:pPr>
        <w:pStyle w:val="Heading4"/>
        <w:spacing w:before="92"/>
      </w:pPr>
      <w:r>
        <w:rPr/>
        <w:drawing>
          <wp:anchor distT="0" distB="0" distL="0" distR="0" allowOverlap="1" layoutInCell="1" locked="0" behindDoc="0" simplePos="0" relativeHeight="15741952">
            <wp:simplePos x="0" y="0"/>
            <wp:positionH relativeFrom="page">
              <wp:posOffset>6461760</wp:posOffset>
            </wp:positionH>
            <wp:positionV relativeFrom="paragraph">
              <wp:posOffset>-480417</wp:posOffset>
            </wp:positionV>
            <wp:extent cx="545591" cy="637031"/>
            <wp:effectExtent l="0" t="0" r="0" b="0"/>
            <wp:wrapNone/>
            <wp:docPr id="51" name="image3.png"/>
            <wp:cNvGraphicFramePr>
              <a:graphicFrameLocks noChangeAspect="1"/>
            </wp:cNvGraphicFramePr>
            <a:graphic>
              <a:graphicData uri="http://schemas.openxmlformats.org/drawingml/2006/picture">
                <pic:pic>
                  <pic:nvPicPr>
                    <pic:cNvPr id="52" name="image3.png"/>
                    <pic:cNvPicPr/>
                  </pic:nvPicPr>
                  <pic:blipFill>
                    <a:blip r:embed="rId8" cstate="print"/>
                    <a:stretch>
                      <a:fillRect/>
                    </a:stretch>
                  </pic:blipFill>
                  <pic:spPr>
                    <a:xfrm>
                      <a:off x="0" y="0"/>
                      <a:ext cx="545591" cy="637031"/>
                    </a:xfrm>
                    <a:prstGeom prst="rect">
                      <a:avLst/>
                    </a:prstGeom>
                  </pic:spPr>
                </pic:pic>
              </a:graphicData>
            </a:graphic>
          </wp:anchor>
        </w:drawing>
      </w:r>
      <w:r>
        <w:rPr>
          <w:color w:val="134295"/>
        </w:rPr>
        <w:t>Derelict</w:t>
      </w:r>
      <w:r>
        <w:rPr>
          <w:color w:val="134295"/>
          <w:spacing w:val="-2"/>
        </w:rPr>
        <w:t> </w:t>
      </w:r>
      <w:r>
        <w:rPr>
          <w:color w:val="134295"/>
          <w:spacing w:val="-4"/>
        </w:rPr>
        <w:t>Land</w:t>
      </w:r>
    </w:p>
    <w:p>
      <w:pPr>
        <w:pStyle w:val="BodyText"/>
        <w:rPr>
          <w:sz w:val="14"/>
        </w:rPr>
      </w:pPr>
    </w:p>
    <w:p>
      <w:pPr>
        <w:pStyle w:val="Heading5"/>
        <w:spacing w:before="94"/>
        <w:jc w:val="left"/>
      </w:pPr>
      <w:r>
        <w:rPr>
          <w:spacing w:val="-2"/>
        </w:rPr>
        <w:t>Definitions/Characteristics:</w:t>
      </w:r>
    </w:p>
    <w:p>
      <w:pPr>
        <w:pStyle w:val="BodyText"/>
        <w:spacing w:before="9"/>
        <w:rPr>
          <w:b/>
          <w:sz w:val="20"/>
        </w:rPr>
      </w:pPr>
    </w:p>
    <w:p>
      <w:pPr>
        <w:pStyle w:val="BodyText"/>
        <w:ind w:left="1440" w:right="1436"/>
        <w:jc w:val="both"/>
      </w:pPr>
      <w:r>
        <w:rPr/>
        <w:t>Land is “Derelict Land” where, at any point in the rating year, a notice to comply is issued to the Owner or Occupier of the land under the Local Law on the grounds that the land is unsightly, or derelict as defined in the Local Law, whereby;</w:t>
      </w:r>
    </w:p>
    <w:p>
      <w:pPr>
        <w:pStyle w:val="BodyText"/>
        <w:spacing w:before="9"/>
        <w:rPr>
          <w:sz w:val="20"/>
        </w:rPr>
      </w:pPr>
    </w:p>
    <w:p>
      <w:pPr>
        <w:pStyle w:val="ListParagraph"/>
        <w:numPr>
          <w:ilvl w:val="0"/>
          <w:numId w:val="12"/>
        </w:numPr>
        <w:tabs>
          <w:tab w:pos="2160" w:val="left" w:leader="none"/>
        </w:tabs>
        <w:spacing w:line="240" w:lineRule="auto" w:before="0" w:after="0"/>
        <w:ind w:left="2160" w:right="1435" w:hanging="360"/>
        <w:jc w:val="left"/>
        <w:rPr>
          <w:sz w:val="22"/>
        </w:rPr>
      </w:pPr>
      <w:r>
        <w:rPr>
          <w:sz w:val="22"/>
        </w:rPr>
        <w:t>The</w:t>
      </w:r>
      <w:r>
        <w:rPr>
          <w:spacing w:val="40"/>
          <w:sz w:val="22"/>
        </w:rPr>
        <w:t> </w:t>
      </w:r>
      <w:r>
        <w:rPr>
          <w:sz w:val="22"/>
        </w:rPr>
        <w:t>grounds</w:t>
      </w:r>
      <w:r>
        <w:rPr>
          <w:spacing w:val="40"/>
          <w:sz w:val="22"/>
        </w:rPr>
        <w:t> </w:t>
      </w:r>
      <w:r>
        <w:rPr>
          <w:sz w:val="22"/>
        </w:rPr>
        <w:t>in</w:t>
      </w:r>
      <w:r>
        <w:rPr>
          <w:spacing w:val="40"/>
          <w:sz w:val="22"/>
        </w:rPr>
        <w:t> </w:t>
      </w:r>
      <w:r>
        <w:rPr>
          <w:sz w:val="22"/>
        </w:rPr>
        <w:t>the</w:t>
      </w:r>
      <w:r>
        <w:rPr>
          <w:spacing w:val="40"/>
          <w:sz w:val="22"/>
        </w:rPr>
        <w:t> </w:t>
      </w:r>
      <w:r>
        <w:rPr>
          <w:sz w:val="22"/>
        </w:rPr>
        <w:t>notice</w:t>
      </w:r>
      <w:r>
        <w:rPr>
          <w:spacing w:val="40"/>
          <w:sz w:val="22"/>
        </w:rPr>
        <w:t> </w:t>
      </w:r>
      <w:r>
        <w:rPr>
          <w:sz w:val="22"/>
        </w:rPr>
        <w:t>to</w:t>
      </w:r>
      <w:r>
        <w:rPr>
          <w:spacing w:val="40"/>
          <w:sz w:val="22"/>
        </w:rPr>
        <w:t> </w:t>
      </w:r>
      <w:r>
        <w:rPr>
          <w:sz w:val="22"/>
        </w:rPr>
        <w:t>comply</w:t>
      </w:r>
      <w:r>
        <w:rPr>
          <w:spacing w:val="40"/>
          <w:sz w:val="22"/>
        </w:rPr>
        <w:t> </w:t>
      </w:r>
      <w:r>
        <w:rPr>
          <w:sz w:val="22"/>
        </w:rPr>
        <w:t>have</w:t>
      </w:r>
      <w:r>
        <w:rPr>
          <w:spacing w:val="40"/>
          <w:sz w:val="22"/>
        </w:rPr>
        <w:t> </w:t>
      </w:r>
      <w:r>
        <w:rPr>
          <w:sz w:val="22"/>
        </w:rPr>
        <w:t>not</w:t>
      </w:r>
      <w:r>
        <w:rPr>
          <w:spacing w:val="40"/>
          <w:sz w:val="22"/>
        </w:rPr>
        <w:t> </w:t>
      </w:r>
      <w:r>
        <w:rPr>
          <w:sz w:val="22"/>
        </w:rPr>
        <w:t>been</w:t>
      </w:r>
      <w:r>
        <w:rPr>
          <w:spacing w:val="40"/>
          <w:sz w:val="22"/>
        </w:rPr>
        <w:t> </w:t>
      </w:r>
      <w:r>
        <w:rPr>
          <w:sz w:val="22"/>
        </w:rPr>
        <w:t>addressed</w:t>
      </w:r>
      <w:r>
        <w:rPr>
          <w:spacing w:val="40"/>
          <w:sz w:val="22"/>
        </w:rPr>
        <w:t> </w:t>
      </w:r>
      <w:r>
        <w:rPr>
          <w:sz w:val="22"/>
        </w:rPr>
        <w:t>to</w:t>
      </w:r>
      <w:r>
        <w:rPr>
          <w:spacing w:val="40"/>
          <w:sz w:val="22"/>
        </w:rPr>
        <w:t> </w:t>
      </w:r>
      <w:r>
        <w:rPr>
          <w:sz w:val="22"/>
        </w:rPr>
        <w:t>an</w:t>
      </w:r>
      <w:r>
        <w:rPr>
          <w:spacing w:val="40"/>
          <w:sz w:val="22"/>
        </w:rPr>
        <w:t> </w:t>
      </w:r>
      <w:r>
        <w:rPr>
          <w:sz w:val="22"/>
        </w:rPr>
        <w:t>Authorised Officer’s satisfaction; and/or</w:t>
      </w:r>
    </w:p>
    <w:p>
      <w:pPr>
        <w:pStyle w:val="BodyText"/>
        <w:spacing w:before="11"/>
        <w:rPr>
          <w:sz w:val="20"/>
        </w:rPr>
      </w:pPr>
    </w:p>
    <w:p>
      <w:pPr>
        <w:pStyle w:val="ListParagraph"/>
        <w:numPr>
          <w:ilvl w:val="0"/>
          <w:numId w:val="12"/>
        </w:numPr>
        <w:tabs>
          <w:tab w:pos="2160" w:val="left" w:leader="none"/>
        </w:tabs>
        <w:spacing w:line="240" w:lineRule="auto" w:before="0" w:after="0"/>
        <w:ind w:left="2160" w:right="1435" w:hanging="360"/>
        <w:jc w:val="left"/>
        <w:rPr>
          <w:sz w:val="22"/>
        </w:rPr>
      </w:pPr>
      <w:r>
        <w:rPr>
          <w:sz w:val="22"/>
        </w:rPr>
        <w:t>More than one notice</w:t>
      </w:r>
      <w:r>
        <w:rPr>
          <w:spacing w:val="-1"/>
          <w:sz w:val="22"/>
        </w:rPr>
        <w:t> </w:t>
      </w:r>
      <w:r>
        <w:rPr>
          <w:sz w:val="22"/>
        </w:rPr>
        <w:t>to</w:t>
      </w:r>
      <w:r>
        <w:rPr>
          <w:spacing w:val="-2"/>
          <w:sz w:val="22"/>
        </w:rPr>
        <w:t> </w:t>
      </w:r>
      <w:r>
        <w:rPr>
          <w:sz w:val="22"/>
        </w:rPr>
        <w:t>comply is</w:t>
      </w:r>
      <w:r>
        <w:rPr>
          <w:spacing w:val="-1"/>
          <w:sz w:val="22"/>
        </w:rPr>
        <w:t> </w:t>
      </w:r>
      <w:r>
        <w:rPr>
          <w:sz w:val="22"/>
        </w:rPr>
        <w:t>issued</w:t>
      </w:r>
      <w:r>
        <w:rPr>
          <w:spacing w:val="-1"/>
          <w:sz w:val="22"/>
        </w:rPr>
        <w:t> </w:t>
      </w:r>
      <w:r>
        <w:rPr>
          <w:sz w:val="22"/>
        </w:rPr>
        <w:t>to</w:t>
      </w:r>
      <w:r>
        <w:rPr>
          <w:spacing w:val="-3"/>
          <w:sz w:val="22"/>
        </w:rPr>
        <w:t> </w:t>
      </w:r>
      <w:r>
        <w:rPr>
          <w:sz w:val="22"/>
        </w:rPr>
        <w:t>the</w:t>
      </w:r>
      <w:r>
        <w:rPr>
          <w:spacing w:val="-1"/>
          <w:sz w:val="22"/>
        </w:rPr>
        <w:t> </w:t>
      </w:r>
      <w:r>
        <w:rPr>
          <w:sz w:val="22"/>
        </w:rPr>
        <w:t>Owner or Occupier of the land on</w:t>
      </w:r>
      <w:r>
        <w:rPr>
          <w:spacing w:val="-1"/>
          <w:sz w:val="22"/>
        </w:rPr>
        <w:t> </w:t>
      </w:r>
      <w:r>
        <w:rPr>
          <w:sz w:val="22"/>
        </w:rPr>
        <w:t>the grounds that the land is unsightly or derelict within a 12-month period.</w:t>
      </w:r>
    </w:p>
    <w:p>
      <w:pPr>
        <w:pStyle w:val="BodyText"/>
        <w:spacing w:before="10"/>
        <w:rPr>
          <w:sz w:val="20"/>
        </w:rPr>
      </w:pPr>
    </w:p>
    <w:p>
      <w:pPr>
        <w:pStyle w:val="BodyText"/>
        <w:ind w:left="1440"/>
        <w:jc w:val="both"/>
      </w:pPr>
      <w:r>
        <w:rPr/>
        <w:t>For</w:t>
      </w:r>
      <w:r>
        <w:rPr>
          <w:spacing w:val="-2"/>
        </w:rPr>
        <w:t> </w:t>
      </w:r>
      <w:r>
        <w:rPr/>
        <w:t>the</w:t>
      </w:r>
      <w:r>
        <w:rPr>
          <w:spacing w:val="-1"/>
        </w:rPr>
        <w:t> </w:t>
      </w:r>
      <w:r>
        <w:rPr/>
        <w:t>purposes</w:t>
      </w:r>
      <w:r>
        <w:rPr>
          <w:spacing w:val="-4"/>
        </w:rPr>
        <w:t> </w:t>
      </w:r>
      <w:r>
        <w:rPr/>
        <w:t>of</w:t>
      </w:r>
      <w:r>
        <w:rPr>
          <w:spacing w:val="-1"/>
        </w:rPr>
        <w:t> </w:t>
      </w:r>
      <w:r>
        <w:rPr/>
        <w:t>this</w:t>
      </w:r>
      <w:r>
        <w:rPr>
          <w:spacing w:val="-3"/>
        </w:rPr>
        <w:t> </w:t>
      </w:r>
      <w:r>
        <w:rPr>
          <w:spacing w:val="-2"/>
        </w:rPr>
        <w:t>section:</w:t>
      </w:r>
    </w:p>
    <w:p>
      <w:pPr>
        <w:pStyle w:val="BodyText"/>
        <w:spacing w:before="9"/>
        <w:rPr>
          <w:sz w:val="20"/>
        </w:rPr>
      </w:pPr>
    </w:p>
    <w:p>
      <w:pPr>
        <w:pStyle w:val="BodyText"/>
        <w:ind w:left="2160" w:right="1342"/>
      </w:pPr>
      <w:r>
        <w:rPr/>
        <w:t>“Land”</w:t>
      </w:r>
      <w:r>
        <w:rPr>
          <w:spacing w:val="30"/>
        </w:rPr>
        <w:t> </w:t>
      </w:r>
      <w:r>
        <w:rPr/>
        <w:t>includes</w:t>
      </w:r>
      <w:r>
        <w:rPr>
          <w:spacing w:val="28"/>
        </w:rPr>
        <w:t> </w:t>
      </w:r>
      <w:r>
        <w:rPr/>
        <w:t>all</w:t>
      </w:r>
      <w:r>
        <w:rPr>
          <w:spacing w:val="28"/>
        </w:rPr>
        <w:t> </w:t>
      </w:r>
      <w:r>
        <w:rPr/>
        <w:t>land</w:t>
      </w:r>
      <w:r>
        <w:rPr>
          <w:spacing w:val="28"/>
        </w:rPr>
        <w:t> </w:t>
      </w:r>
      <w:r>
        <w:rPr/>
        <w:t>within</w:t>
      </w:r>
      <w:r>
        <w:rPr>
          <w:spacing w:val="29"/>
        </w:rPr>
        <w:t> </w:t>
      </w:r>
      <w:r>
        <w:rPr/>
        <w:t>Council’s</w:t>
      </w:r>
      <w:r>
        <w:rPr>
          <w:spacing w:val="28"/>
        </w:rPr>
        <w:t> </w:t>
      </w:r>
      <w:r>
        <w:rPr/>
        <w:t>municipality,</w:t>
      </w:r>
      <w:r>
        <w:rPr>
          <w:spacing w:val="30"/>
        </w:rPr>
        <w:t> </w:t>
      </w:r>
      <w:r>
        <w:rPr/>
        <w:t>including</w:t>
      </w:r>
      <w:r>
        <w:rPr>
          <w:spacing w:val="30"/>
        </w:rPr>
        <w:t> </w:t>
      </w:r>
      <w:r>
        <w:rPr/>
        <w:t>land</w:t>
      </w:r>
      <w:r>
        <w:rPr>
          <w:spacing w:val="29"/>
        </w:rPr>
        <w:t> </w:t>
      </w:r>
      <w:r>
        <w:rPr/>
        <w:t>with</w:t>
      </w:r>
      <w:r>
        <w:rPr>
          <w:spacing w:val="27"/>
        </w:rPr>
        <w:t> </w:t>
      </w:r>
      <w:r>
        <w:rPr/>
        <w:t>or</w:t>
      </w:r>
      <w:r>
        <w:rPr>
          <w:spacing w:val="27"/>
        </w:rPr>
        <w:t> </w:t>
      </w:r>
      <w:r>
        <w:rPr/>
        <w:t>(where relevant) without structures or buildings on it, in any zone.</w:t>
      </w:r>
    </w:p>
    <w:p>
      <w:pPr>
        <w:pStyle w:val="BodyText"/>
        <w:spacing w:before="11"/>
        <w:rPr>
          <w:sz w:val="20"/>
        </w:rPr>
      </w:pPr>
    </w:p>
    <w:p>
      <w:pPr>
        <w:pStyle w:val="BodyText"/>
        <w:ind w:left="2160" w:right="1342"/>
      </w:pPr>
      <w:r>
        <w:rPr/>
        <w:t>“Authorised Officer” means an officer appointed by Council as an Authorised Officer under s224 of the Local Government Act 1989.</w:t>
      </w:r>
    </w:p>
    <w:p>
      <w:pPr>
        <w:pStyle w:val="BodyText"/>
        <w:spacing w:before="10"/>
        <w:rPr>
          <w:sz w:val="20"/>
        </w:rPr>
      </w:pPr>
    </w:p>
    <w:p>
      <w:pPr>
        <w:pStyle w:val="BodyText"/>
        <w:ind w:left="1440" w:right="1437"/>
        <w:jc w:val="both"/>
      </w:pPr>
      <w:r>
        <w:rPr/>
        <w:t>Local Law means the Maroondah City Council Community Local Law 2023 as amended or replaced from time to time.</w:t>
      </w:r>
    </w:p>
    <w:p>
      <w:pPr>
        <w:pStyle w:val="BodyText"/>
      </w:pPr>
    </w:p>
    <w:p>
      <w:pPr>
        <w:pStyle w:val="Heading5"/>
        <w:jc w:val="left"/>
      </w:pPr>
      <w:r>
        <w:rPr>
          <w:spacing w:val="-2"/>
        </w:rPr>
        <w:t>Objective:</w:t>
      </w:r>
    </w:p>
    <w:p>
      <w:pPr>
        <w:pStyle w:val="BodyText"/>
        <w:rPr>
          <w:b/>
        </w:rPr>
      </w:pPr>
    </w:p>
    <w:p>
      <w:pPr>
        <w:pStyle w:val="BodyText"/>
        <w:ind w:left="1440" w:right="1342"/>
      </w:pPr>
      <w:r>
        <w:rPr/>
        <w:t>To</w:t>
      </w:r>
      <w:r>
        <w:rPr>
          <w:spacing w:val="-16"/>
        </w:rPr>
        <w:t> </w:t>
      </w:r>
      <w:r>
        <w:rPr/>
        <w:t>ensure</w:t>
      </w:r>
      <w:r>
        <w:rPr>
          <w:spacing w:val="-17"/>
        </w:rPr>
        <w:t> </w:t>
      </w:r>
      <w:r>
        <w:rPr/>
        <w:t>that</w:t>
      </w:r>
      <w:r>
        <w:rPr>
          <w:spacing w:val="-15"/>
        </w:rPr>
        <w:t> </w:t>
      </w:r>
      <w:r>
        <w:rPr/>
        <w:t>all</w:t>
      </w:r>
      <w:r>
        <w:rPr>
          <w:spacing w:val="-15"/>
        </w:rPr>
        <w:t> </w:t>
      </w:r>
      <w:r>
        <w:rPr/>
        <w:t>rateable</w:t>
      </w:r>
      <w:r>
        <w:rPr>
          <w:spacing w:val="-16"/>
        </w:rPr>
        <w:t> </w:t>
      </w:r>
      <w:r>
        <w:rPr/>
        <w:t>land</w:t>
      </w:r>
      <w:r>
        <w:rPr>
          <w:spacing w:val="-15"/>
        </w:rPr>
        <w:t> </w:t>
      </w:r>
      <w:r>
        <w:rPr/>
        <w:t>makes</w:t>
      </w:r>
      <w:r>
        <w:rPr>
          <w:spacing w:val="-15"/>
        </w:rPr>
        <w:t> </w:t>
      </w:r>
      <w:r>
        <w:rPr/>
        <w:t>an</w:t>
      </w:r>
      <w:r>
        <w:rPr>
          <w:spacing w:val="-15"/>
        </w:rPr>
        <w:t> </w:t>
      </w:r>
      <w:r>
        <w:rPr/>
        <w:t>equitable</w:t>
      </w:r>
      <w:r>
        <w:rPr>
          <w:spacing w:val="-16"/>
        </w:rPr>
        <w:t> </w:t>
      </w:r>
      <w:r>
        <w:rPr/>
        <w:t>financial</w:t>
      </w:r>
      <w:r>
        <w:rPr>
          <w:spacing w:val="-15"/>
        </w:rPr>
        <w:t> </w:t>
      </w:r>
      <w:r>
        <w:rPr/>
        <w:t>contribution</w:t>
      </w:r>
      <w:r>
        <w:rPr>
          <w:spacing w:val="-15"/>
        </w:rPr>
        <w:t> </w:t>
      </w:r>
      <w:r>
        <w:rPr/>
        <w:t>to</w:t>
      </w:r>
      <w:r>
        <w:rPr>
          <w:spacing w:val="-16"/>
        </w:rPr>
        <w:t> </w:t>
      </w:r>
      <w:r>
        <w:rPr/>
        <w:t>the</w:t>
      </w:r>
      <w:r>
        <w:rPr>
          <w:spacing w:val="-15"/>
        </w:rPr>
        <w:t> </w:t>
      </w:r>
      <w:r>
        <w:rPr/>
        <w:t>cost</w:t>
      </w:r>
      <w:r>
        <w:rPr>
          <w:spacing w:val="-15"/>
        </w:rPr>
        <w:t> </w:t>
      </w:r>
      <w:r>
        <w:rPr/>
        <w:t>of</w:t>
      </w:r>
      <w:r>
        <w:rPr>
          <w:spacing w:val="-15"/>
        </w:rPr>
        <w:t> </w:t>
      </w:r>
      <w:r>
        <w:rPr/>
        <w:t>carrying out the functions of Council, including:</w:t>
      </w:r>
    </w:p>
    <w:p>
      <w:pPr>
        <w:pStyle w:val="ListParagraph"/>
        <w:numPr>
          <w:ilvl w:val="0"/>
          <w:numId w:val="13"/>
        </w:numPr>
        <w:tabs>
          <w:tab w:pos="2160" w:val="left" w:leader="none"/>
        </w:tabs>
        <w:spacing w:line="252" w:lineRule="exact" w:before="1" w:after="0"/>
        <w:ind w:left="2159" w:right="0" w:hanging="360"/>
        <w:jc w:val="left"/>
        <w:rPr>
          <w:sz w:val="22"/>
        </w:rPr>
      </w:pPr>
      <w:r>
        <w:rPr>
          <w:sz w:val="22"/>
        </w:rPr>
        <w:t>Construction</w:t>
      </w:r>
      <w:r>
        <w:rPr>
          <w:spacing w:val="-5"/>
          <w:sz w:val="22"/>
        </w:rPr>
        <w:t> </w:t>
      </w:r>
      <w:r>
        <w:rPr>
          <w:sz w:val="22"/>
        </w:rPr>
        <w:t>and</w:t>
      </w:r>
      <w:r>
        <w:rPr>
          <w:spacing w:val="-7"/>
          <w:sz w:val="22"/>
        </w:rPr>
        <w:t> </w:t>
      </w:r>
      <w:r>
        <w:rPr>
          <w:sz w:val="22"/>
        </w:rPr>
        <w:t>maintenance</w:t>
      </w:r>
      <w:r>
        <w:rPr>
          <w:spacing w:val="-4"/>
          <w:sz w:val="22"/>
        </w:rPr>
        <w:t> </w:t>
      </w:r>
      <w:r>
        <w:rPr>
          <w:sz w:val="22"/>
        </w:rPr>
        <w:t>of</w:t>
      </w:r>
      <w:r>
        <w:rPr>
          <w:spacing w:val="-4"/>
          <w:sz w:val="22"/>
        </w:rPr>
        <w:t> </w:t>
      </w:r>
      <w:r>
        <w:rPr>
          <w:sz w:val="22"/>
        </w:rPr>
        <w:t>public</w:t>
      </w:r>
      <w:r>
        <w:rPr>
          <w:spacing w:val="-5"/>
          <w:sz w:val="22"/>
        </w:rPr>
        <w:t> </w:t>
      </w:r>
      <w:r>
        <w:rPr>
          <w:sz w:val="22"/>
        </w:rPr>
        <w:t>infrastructure:</w:t>
      </w:r>
      <w:r>
        <w:rPr>
          <w:spacing w:val="-3"/>
          <w:sz w:val="22"/>
        </w:rPr>
        <w:t> </w:t>
      </w:r>
      <w:r>
        <w:rPr>
          <w:spacing w:val="-5"/>
          <w:sz w:val="22"/>
        </w:rPr>
        <w:t>and</w:t>
      </w:r>
    </w:p>
    <w:p>
      <w:pPr>
        <w:pStyle w:val="ListParagraph"/>
        <w:numPr>
          <w:ilvl w:val="0"/>
          <w:numId w:val="13"/>
        </w:numPr>
        <w:tabs>
          <w:tab w:pos="2160" w:val="left" w:leader="none"/>
        </w:tabs>
        <w:spacing w:line="252" w:lineRule="exact" w:before="0" w:after="0"/>
        <w:ind w:left="2159" w:right="0" w:hanging="360"/>
        <w:jc w:val="left"/>
        <w:rPr>
          <w:sz w:val="22"/>
        </w:rPr>
      </w:pPr>
      <w:r>
        <w:rPr>
          <w:sz w:val="22"/>
        </w:rPr>
        <w:t>Development</w:t>
      </w:r>
      <w:r>
        <w:rPr>
          <w:spacing w:val="-2"/>
          <w:sz w:val="22"/>
        </w:rPr>
        <w:t> </w:t>
      </w:r>
      <w:r>
        <w:rPr>
          <w:sz w:val="22"/>
        </w:rPr>
        <w:t>and</w:t>
      </w:r>
      <w:r>
        <w:rPr>
          <w:spacing w:val="-6"/>
          <w:sz w:val="22"/>
        </w:rPr>
        <w:t> </w:t>
      </w:r>
      <w:r>
        <w:rPr>
          <w:sz w:val="22"/>
        </w:rPr>
        <w:t>provision</w:t>
      </w:r>
      <w:r>
        <w:rPr>
          <w:spacing w:val="-3"/>
          <w:sz w:val="22"/>
        </w:rPr>
        <w:t> </w:t>
      </w:r>
      <w:r>
        <w:rPr>
          <w:sz w:val="22"/>
        </w:rPr>
        <w:t>of</w:t>
      </w:r>
      <w:r>
        <w:rPr>
          <w:spacing w:val="-3"/>
          <w:sz w:val="22"/>
        </w:rPr>
        <w:t> </w:t>
      </w:r>
      <w:r>
        <w:rPr>
          <w:sz w:val="22"/>
        </w:rPr>
        <w:t>health</w:t>
      </w:r>
      <w:r>
        <w:rPr>
          <w:spacing w:val="-4"/>
          <w:sz w:val="22"/>
        </w:rPr>
        <w:t> </w:t>
      </w:r>
      <w:r>
        <w:rPr>
          <w:sz w:val="22"/>
        </w:rPr>
        <w:t>&amp;</w:t>
      </w:r>
      <w:r>
        <w:rPr>
          <w:spacing w:val="-5"/>
          <w:sz w:val="22"/>
        </w:rPr>
        <w:t> </w:t>
      </w:r>
      <w:r>
        <w:rPr>
          <w:sz w:val="22"/>
        </w:rPr>
        <w:t>community</w:t>
      </w:r>
      <w:r>
        <w:rPr>
          <w:spacing w:val="-4"/>
          <w:sz w:val="22"/>
        </w:rPr>
        <w:t> </w:t>
      </w:r>
      <w:r>
        <w:rPr>
          <w:sz w:val="22"/>
        </w:rPr>
        <w:t>services;</w:t>
      </w:r>
      <w:r>
        <w:rPr>
          <w:spacing w:val="-2"/>
          <w:sz w:val="22"/>
        </w:rPr>
        <w:t> </w:t>
      </w:r>
      <w:r>
        <w:rPr>
          <w:spacing w:val="-5"/>
          <w:sz w:val="22"/>
        </w:rPr>
        <w:t>and</w:t>
      </w:r>
    </w:p>
    <w:p>
      <w:pPr>
        <w:pStyle w:val="ListParagraph"/>
        <w:numPr>
          <w:ilvl w:val="0"/>
          <w:numId w:val="13"/>
        </w:numPr>
        <w:tabs>
          <w:tab w:pos="2160" w:val="left" w:leader="none"/>
        </w:tabs>
        <w:spacing w:line="252" w:lineRule="exact" w:before="1" w:after="0"/>
        <w:ind w:left="2159" w:right="0" w:hanging="360"/>
        <w:jc w:val="left"/>
        <w:rPr>
          <w:sz w:val="22"/>
        </w:rPr>
      </w:pPr>
      <w:r>
        <w:rPr>
          <w:sz w:val="22"/>
        </w:rPr>
        <w:t>Provision</w:t>
      </w:r>
      <w:r>
        <w:rPr>
          <w:spacing w:val="-3"/>
          <w:sz w:val="22"/>
        </w:rPr>
        <w:t> </w:t>
      </w:r>
      <w:r>
        <w:rPr>
          <w:sz w:val="22"/>
        </w:rPr>
        <w:t>of</w:t>
      </w:r>
      <w:r>
        <w:rPr>
          <w:spacing w:val="-3"/>
          <w:sz w:val="22"/>
        </w:rPr>
        <w:t> </w:t>
      </w:r>
      <w:r>
        <w:rPr>
          <w:sz w:val="22"/>
        </w:rPr>
        <w:t>general</w:t>
      </w:r>
      <w:r>
        <w:rPr>
          <w:spacing w:val="-4"/>
          <w:sz w:val="22"/>
        </w:rPr>
        <w:t> </w:t>
      </w:r>
      <w:r>
        <w:rPr>
          <w:sz w:val="22"/>
        </w:rPr>
        <w:t>support</w:t>
      </w:r>
      <w:r>
        <w:rPr>
          <w:spacing w:val="-6"/>
          <w:sz w:val="22"/>
        </w:rPr>
        <w:t> </w:t>
      </w:r>
      <w:r>
        <w:rPr>
          <w:sz w:val="22"/>
        </w:rPr>
        <w:t>services;</w:t>
      </w:r>
      <w:r>
        <w:rPr>
          <w:spacing w:val="-1"/>
          <w:sz w:val="22"/>
        </w:rPr>
        <w:t> </w:t>
      </w:r>
      <w:r>
        <w:rPr>
          <w:spacing w:val="-5"/>
          <w:sz w:val="22"/>
        </w:rPr>
        <w:t>and</w:t>
      </w:r>
    </w:p>
    <w:p>
      <w:pPr>
        <w:pStyle w:val="ListParagraph"/>
        <w:numPr>
          <w:ilvl w:val="0"/>
          <w:numId w:val="13"/>
        </w:numPr>
        <w:tabs>
          <w:tab w:pos="2160" w:val="left" w:leader="none"/>
        </w:tabs>
        <w:spacing w:line="240" w:lineRule="auto" w:before="0" w:after="0"/>
        <w:ind w:left="2160" w:right="1435" w:hanging="360"/>
        <w:jc w:val="left"/>
        <w:rPr>
          <w:sz w:val="22"/>
        </w:rPr>
      </w:pPr>
      <w:r>
        <w:rPr>
          <w:sz w:val="22"/>
        </w:rPr>
        <w:t>To provide a strong incentive to ratepayers to proactively maintain the appearance, safety and condition of their properties</w:t>
      </w:r>
    </w:p>
    <w:p>
      <w:pPr>
        <w:pStyle w:val="BodyText"/>
        <w:rPr>
          <w:sz w:val="24"/>
        </w:rPr>
      </w:pPr>
    </w:p>
    <w:p>
      <w:pPr>
        <w:pStyle w:val="BodyText"/>
        <w:rPr>
          <w:sz w:val="20"/>
        </w:rPr>
      </w:pPr>
    </w:p>
    <w:p>
      <w:pPr>
        <w:pStyle w:val="Heading5"/>
        <w:spacing w:line="252" w:lineRule="exact" w:before="1"/>
      </w:pPr>
      <w:r>
        <w:rPr/>
        <w:t>Types</w:t>
      </w:r>
      <w:r>
        <w:rPr>
          <w:spacing w:val="-2"/>
        </w:rPr>
        <w:t> </w:t>
      </w:r>
      <w:r>
        <w:rPr/>
        <w:t>and</w:t>
      </w:r>
      <w:r>
        <w:rPr>
          <w:spacing w:val="-1"/>
        </w:rPr>
        <w:t> </w:t>
      </w:r>
      <w:r>
        <w:rPr>
          <w:spacing w:val="-2"/>
        </w:rPr>
        <w:t>Classes:</w:t>
      </w:r>
    </w:p>
    <w:p>
      <w:pPr>
        <w:pStyle w:val="BodyText"/>
        <w:spacing w:line="252" w:lineRule="exact"/>
        <w:ind w:left="1440"/>
        <w:jc w:val="both"/>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1440" w:right="1434"/>
        <w:jc w:val="both"/>
      </w:pPr>
      <w:r>
        <w:rPr/>
        <w:t>The differential rate will be used to fund some of those items of expenditure described in the Budget adopted by Council. The level of differential rate is the level which Council considers is necessary to achieve the objectives specified above.</w:t>
      </w:r>
    </w:p>
    <w:p>
      <w:pPr>
        <w:pStyle w:val="BodyText"/>
      </w:pPr>
    </w:p>
    <w:p>
      <w:pPr>
        <w:pStyle w:val="Heading5"/>
        <w:spacing w:line="252" w:lineRule="exact"/>
      </w:pPr>
      <w:r>
        <w:rPr/>
        <w:t>Geographic</w:t>
      </w:r>
      <w:r>
        <w:rPr>
          <w:spacing w:val="-5"/>
        </w:rPr>
        <w:t> </w:t>
      </w:r>
      <w:r>
        <w:rPr>
          <w:spacing w:val="-2"/>
        </w:rPr>
        <w:t>Location:</w:t>
      </w:r>
    </w:p>
    <w:p>
      <w:pPr>
        <w:pStyle w:val="BodyText"/>
        <w:spacing w:line="252" w:lineRule="exact"/>
        <w:ind w:left="1440"/>
        <w:jc w:val="both"/>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1"/>
      </w:pPr>
    </w:p>
    <w:p>
      <w:pPr>
        <w:pStyle w:val="Heading5"/>
        <w:spacing w:line="252" w:lineRule="exact"/>
      </w:pPr>
      <w:r>
        <w:rPr/>
        <w:t>Use of</w:t>
      </w:r>
      <w:r>
        <w:rPr>
          <w:spacing w:val="-1"/>
        </w:rPr>
        <w:t> </w:t>
      </w:r>
      <w:r>
        <w:rPr>
          <w:spacing w:val="-4"/>
        </w:rPr>
        <w:t>Land:</w:t>
      </w:r>
    </w:p>
    <w:p>
      <w:pPr>
        <w:pStyle w:val="BodyText"/>
        <w:spacing w:line="252" w:lineRule="exact"/>
        <w:ind w:left="1440"/>
        <w:jc w:val="both"/>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pPr>
      <w:r>
        <w:rPr/>
        <w:t>Planning</w:t>
      </w:r>
      <w:r>
        <w:rPr>
          <w:spacing w:val="-4"/>
        </w:rPr>
        <w:t> </w:t>
      </w:r>
      <w:r>
        <w:rPr/>
        <w:t>Scheme</w:t>
      </w:r>
      <w:r>
        <w:rPr>
          <w:spacing w:val="-2"/>
        </w:rPr>
        <w:t> Zoning:</w:t>
      </w:r>
    </w:p>
    <w:p>
      <w:pPr>
        <w:pStyle w:val="BodyText"/>
        <w:spacing w:before="2"/>
        <w:ind w:left="1440" w:right="1434"/>
        <w:jc w:val="both"/>
      </w:pPr>
      <w:r>
        <w:rPr/>
        <w:drawing>
          <wp:anchor distT="0" distB="0" distL="0" distR="0" allowOverlap="1" layoutInCell="1" locked="0" behindDoc="0" simplePos="0" relativeHeight="15742464">
            <wp:simplePos x="0" y="0"/>
            <wp:positionH relativeFrom="page">
              <wp:posOffset>0</wp:posOffset>
            </wp:positionH>
            <wp:positionV relativeFrom="paragraph">
              <wp:posOffset>737335</wp:posOffset>
            </wp:positionV>
            <wp:extent cx="7560564" cy="101981"/>
            <wp:effectExtent l="0" t="0" r="0" b="0"/>
            <wp:wrapNone/>
            <wp:docPr id="53" name="image2.png"/>
            <wp:cNvGraphicFramePr>
              <a:graphicFrameLocks noChangeAspect="1"/>
            </wp:cNvGraphicFramePr>
            <a:graphic>
              <a:graphicData uri="http://schemas.openxmlformats.org/drawingml/2006/picture">
                <pic:pic>
                  <pic:nvPicPr>
                    <pic:cNvPr id="54" name="image2.png"/>
                    <pic:cNvPicPr/>
                  </pic:nvPicPr>
                  <pic:blipFill>
                    <a:blip r:embed="rId7" cstate="print"/>
                    <a:stretch>
                      <a:fillRect/>
                    </a:stretch>
                  </pic:blipFill>
                  <pic:spPr>
                    <a:xfrm>
                      <a:off x="0" y="0"/>
                      <a:ext cx="7560564" cy="101981"/>
                    </a:xfrm>
                    <a:prstGeom prst="rect">
                      <a:avLst/>
                    </a:prstGeom>
                  </pic:spPr>
                </pic:pic>
              </a:graphicData>
            </a:graphic>
          </wp:anchor>
        </w:drawing>
      </w:r>
      <w:r>
        <w:rPr/>
        <w:t>The</w:t>
      </w:r>
      <w:r>
        <w:rPr>
          <w:spacing w:val="-4"/>
        </w:rPr>
        <w:t> </w:t>
      </w:r>
      <w:r>
        <w:rPr/>
        <w:t>zoning</w:t>
      </w:r>
      <w:r>
        <w:rPr>
          <w:spacing w:val="-4"/>
        </w:rPr>
        <w:t> </w:t>
      </w:r>
      <w:r>
        <w:rPr/>
        <w:t>applicable</w:t>
      </w:r>
      <w:r>
        <w:rPr>
          <w:spacing w:val="-4"/>
        </w:rPr>
        <w:t> </w:t>
      </w:r>
      <w:r>
        <w:rPr/>
        <w:t>to</w:t>
      </w:r>
      <w:r>
        <w:rPr>
          <w:spacing w:val="-6"/>
        </w:rPr>
        <w:t> </w:t>
      </w:r>
      <w:r>
        <w:rPr/>
        <w:t>each</w:t>
      </w:r>
      <w:r>
        <w:rPr>
          <w:spacing w:val="-4"/>
        </w:rPr>
        <w:t> </w:t>
      </w:r>
      <w:r>
        <w:rPr/>
        <w:t>rateable</w:t>
      </w:r>
      <w:r>
        <w:rPr>
          <w:spacing w:val="-5"/>
        </w:rPr>
        <w:t> </w:t>
      </w:r>
      <w:r>
        <w:rPr/>
        <w:t>land</w:t>
      </w:r>
      <w:r>
        <w:rPr>
          <w:spacing w:val="-4"/>
        </w:rPr>
        <w:t> </w:t>
      </w:r>
      <w:r>
        <w:rPr/>
        <w:t>within</w:t>
      </w:r>
      <w:r>
        <w:rPr>
          <w:spacing w:val="-5"/>
        </w:rPr>
        <w:t> </w:t>
      </w:r>
      <w:r>
        <w:rPr/>
        <w:t>this</w:t>
      </w:r>
      <w:r>
        <w:rPr>
          <w:spacing w:val="-4"/>
        </w:rPr>
        <w:t> </w:t>
      </w:r>
      <w:r>
        <w:rPr/>
        <w:t>category,</w:t>
      </w:r>
      <w:r>
        <w:rPr>
          <w:spacing w:val="-4"/>
        </w:rPr>
        <w:t> </w:t>
      </w:r>
      <w:r>
        <w:rPr/>
        <w:t>as</w:t>
      </w:r>
      <w:r>
        <w:rPr>
          <w:spacing w:val="-6"/>
        </w:rPr>
        <w:t> </w:t>
      </w:r>
      <w:r>
        <w:rPr/>
        <w:t>determined</w:t>
      </w:r>
      <w:r>
        <w:rPr>
          <w:spacing w:val="-4"/>
        </w:rPr>
        <w:t> </w:t>
      </w:r>
      <w:r>
        <w:rPr/>
        <w:t>by</w:t>
      </w:r>
      <w:r>
        <w:rPr>
          <w:spacing w:val="-4"/>
        </w:rPr>
        <w:t> </w:t>
      </w:r>
      <w:r>
        <w:rPr/>
        <w:t>consulting maps referred to in the relevant Planning Scheme.</w:t>
      </w:r>
    </w:p>
    <w:p>
      <w:pPr>
        <w:spacing w:after="0"/>
        <w:jc w:val="both"/>
        <w:sectPr>
          <w:footerReference w:type="default" r:id="rId16"/>
          <w:pgSz w:w="11910" w:h="16840"/>
          <w:pgMar w:footer="662" w:header="0" w:top="580" w:bottom="860" w:left="0" w:right="0"/>
        </w:sectPr>
      </w:pPr>
    </w:p>
    <w:p>
      <w:pPr>
        <w:pStyle w:val="Heading5"/>
        <w:spacing w:before="73"/>
      </w:pPr>
      <w:r>
        <w:rPr/>
        <w:t>Types</w:t>
      </w:r>
      <w:r>
        <w:rPr>
          <w:spacing w:val="-3"/>
        </w:rPr>
        <w:t> </w:t>
      </w:r>
      <w:r>
        <w:rPr/>
        <w:t>of</w:t>
      </w:r>
      <w:r>
        <w:rPr>
          <w:spacing w:val="-1"/>
        </w:rPr>
        <w:t> </w:t>
      </w:r>
      <w:r>
        <w:rPr>
          <w:spacing w:val="-2"/>
        </w:rPr>
        <w:t>Buildings:</w:t>
      </w:r>
    </w:p>
    <w:p>
      <w:pPr>
        <w:pStyle w:val="BodyText"/>
        <w:spacing w:before="2"/>
        <w:ind w:left="1440" w:right="1435"/>
        <w:jc w:val="both"/>
      </w:pPr>
      <w:r>
        <w:rPr/>
        <w:t>All</w:t>
      </w:r>
      <w:r>
        <w:rPr>
          <w:spacing w:val="-15"/>
        </w:rPr>
        <w:t> </w:t>
      </w:r>
      <w:r>
        <w:rPr/>
        <w:t>buildings</w:t>
      </w:r>
      <w:r>
        <w:rPr>
          <w:spacing w:val="-13"/>
        </w:rPr>
        <w:t> </w:t>
      </w:r>
      <w:r>
        <w:rPr/>
        <w:t>which</w:t>
      </w:r>
      <w:r>
        <w:rPr>
          <w:spacing w:val="-13"/>
        </w:rPr>
        <w:t> </w:t>
      </w:r>
      <w:r>
        <w:rPr/>
        <w:t>are</w:t>
      </w:r>
      <w:r>
        <w:rPr>
          <w:spacing w:val="-14"/>
        </w:rPr>
        <w:t> </w:t>
      </w:r>
      <w:r>
        <w:rPr/>
        <w:t>now</w:t>
      </w:r>
      <w:r>
        <w:rPr>
          <w:spacing w:val="-16"/>
        </w:rPr>
        <w:t> </w:t>
      </w:r>
      <w:r>
        <w:rPr/>
        <w:t>constructed</w:t>
      </w:r>
      <w:r>
        <w:rPr>
          <w:spacing w:val="-12"/>
        </w:rPr>
        <w:t> </w:t>
      </w:r>
      <w:r>
        <w:rPr/>
        <w:t>on</w:t>
      </w:r>
      <w:r>
        <w:rPr>
          <w:spacing w:val="-16"/>
        </w:rPr>
        <w:t> </w:t>
      </w:r>
      <w:r>
        <w:rPr/>
        <w:t>the</w:t>
      </w:r>
      <w:r>
        <w:rPr>
          <w:spacing w:val="-15"/>
        </w:rPr>
        <w:t> </w:t>
      </w:r>
      <w:r>
        <w:rPr/>
        <w:t>land</w:t>
      </w:r>
      <w:r>
        <w:rPr>
          <w:spacing w:val="-13"/>
        </w:rPr>
        <w:t> </w:t>
      </w:r>
      <w:r>
        <w:rPr/>
        <w:t>or</w:t>
      </w:r>
      <w:r>
        <w:rPr>
          <w:spacing w:val="-11"/>
        </w:rPr>
        <w:t> </w:t>
      </w:r>
      <w:r>
        <w:rPr/>
        <w:t>which</w:t>
      </w:r>
      <w:r>
        <w:rPr>
          <w:spacing w:val="-14"/>
        </w:rPr>
        <w:t> </w:t>
      </w:r>
      <w:r>
        <w:rPr/>
        <w:t>are</w:t>
      </w:r>
      <w:r>
        <w:rPr>
          <w:spacing w:val="-16"/>
        </w:rPr>
        <w:t> </w:t>
      </w:r>
      <w:r>
        <w:rPr/>
        <w:t>constructed</w:t>
      </w:r>
      <w:r>
        <w:rPr>
          <w:spacing w:val="-13"/>
        </w:rPr>
        <w:t> </w:t>
      </w:r>
      <w:r>
        <w:rPr/>
        <w:t>prior</w:t>
      </w:r>
      <w:r>
        <w:rPr>
          <w:spacing w:val="-13"/>
        </w:rPr>
        <w:t> </w:t>
      </w:r>
      <w:r>
        <w:rPr/>
        <w:t>to</w:t>
      </w:r>
      <w:r>
        <w:rPr>
          <w:spacing w:val="-15"/>
        </w:rPr>
        <w:t> </w:t>
      </w:r>
      <w:r>
        <w:rPr/>
        <w:t>the</w:t>
      </w:r>
      <w:r>
        <w:rPr>
          <w:spacing w:val="-14"/>
        </w:rPr>
        <w:t> </w:t>
      </w:r>
      <w:r>
        <w:rPr/>
        <w:t>expiry of the 2024/25 financial Year.</w:t>
      </w:r>
    </w:p>
    <w:p>
      <w:pPr>
        <w:pStyle w:val="BodyText"/>
        <w:spacing w:before="11"/>
        <w:rPr>
          <w:sz w:val="21"/>
        </w:rPr>
      </w:pPr>
    </w:p>
    <w:p>
      <w:pPr>
        <w:pStyle w:val="Heading5"/>
        <w:spacing w:line="252" w:lineRule="exact"/>
      </w:pPr>
      <w:r>
        <w:rPr/>
        <w:t>Application</w:t>
      </w:r>
      <w:r>
        <w:rPr>
          <w:spacing w:val="-3"/>
        </w:rPr>
        <w:t> </w:t>
      </w:r>
      <w:r>
        <w:rPr/>
        <w:t>and</w:t>
      </w:r>
      <w:r>
        <w:rPr>
          <w:spacing w:val="-4"/>
        </w:rPr>
        <w:t> </w:t>
      </w:r>
      <w:r>
        <w:rPr>
          <w:spacing w:val="-2"/>
        </w:rPr>
        <w:t>Removal:</w:t>
      </w:r>
    </w:p>
    <w:p>
      <w:pPr>
        <w:pStyle w:val="BodyText"/>
        <w:spacing w:line="252" w:lineRule="exact"/>
        <w:ind w:left="1440"/>
        <w:jc w:val="both"/>
      </w:pPr>
      <w:r>
        <w:rPr/>
        <w:t>To</w:t>
      </w:r>
      <w:r>
        <w:rPr>
          <w:spacing w:val="-6"/>
        </w:rPr>
        <w:t> </w:t>
      </w:r>
      <w:r>
        <w:rPr/>
        <w:t>be</w:t>
      </w:r>
      <w:r>
        <w:rPr>
          <w:spacing w:val="-2"/>
        </w:rPr>
        <w:t> </w:t>
      </w:r>
      <w:r>
        <w:rPr/>
        <w:t>applied</w:t>
      </w:r>
      <w:r>
        <w:rPr>
          <w:spacing w:val="-6"/>
        </w:rPr>
        <w:t> </w:t>
      </w:r>
      <w:r>
        <w:rPr/>
        <w:t>and</w:t>
      </w:r>
      <w:r>
        <w:rPr>
          <w:spacing w:val="-5"/>
        </w:rPr>
        <w:t> </w:t>
      </w:r>
      <w:r>
        <w:rPr/>
        <w:t>removed</w:t>
      </w:r>
      <w:r>
        <w:rPr>
          <w:spacing w:val="-3"/>
        </w:rPr>
        <w:t> </w:t>
      </w:r>
      <w:r>
        <w:rPr/>
        <w:t>through</w:t>
      </w:r>
      <w:r>
        <w:rPr>
          <w:spacing w:val="-6"/>
        </w:rPr>
        <w:t> </w:t>
      </w:r>
      <w:r>
        <w:rPr/>
        <w:t>the</w:t>
      </w:r>
      <w:r>
        <w:rPr>
          <w:spacing w:val="-4"/>
        </w:rPr>
        <w:t> </w:t>
      </w:r>
      <w:r>
        <w:rPr/>
        <w:t>supplementary</w:t>
      </w:r>
      <w:r>
        <w:rPr>
          <w:spacing w:val="-5"/>
        </w:rPr>
        <w:t> </w:t>
      </w:r>
      <w:r>
        <w:rPr/>
        <w:t>valuation</w:t>
      </w:r>
      <w:r>
        <w:rPr>
          <w:spacing w:val="-4"/>
        </w:rPr>
        <w:t> </w:t>
      </w:r>
      <w:r>
        <w:rPr/>
        <w:t>process</w:t>
      </w:r>
      <w:r>
        <w:rPr>
          <w:spacing w:val="-4"/>
        </w:rPr>
        <w:t> </w:t>
      </w:r>
      <w:r>
        <w:rPr/>
        <w:t>(Section</w:t>
      </w:r>
      <w:r>
        <w:rPr>
          <w:spacing w:val="-3"/>
        </w:rPr>
        <w:t> </w:t>
      </w:r>
      <w:r>
        <w:rPr>
          <w:spacing w:val="-2"/>
        </w:rPr>
        <w:t>4.3).</w:t>
      </w:r>
    </w:p>
    <w:p>
      <w:pPr>
        <w:pStyle w:val="BodyText"/>
        <w:rPr>
          <w:sz w:val="24"/>
        </w:rPr>
      </w:pPr>
    </w:p>
    <w:p>
      <w:pPr>
        <w:pStyle w:val="BodyText"/>
        <w:spacing w:before="10"/>
        <w:rPr>
          <w:sz w:val="25"/>
        </w:rPr>
      </w:pPr>
    </w:p>
    <w:p>
      <w:pPr>
        <w:pStyle w:val="Heading4"/>
        <w:jc w:val="both"/>
      </w:pPr>
      <w:r>
        <w:rPr>
          <w:color w:val="134295"/>
        </w:rPr>
        <w:t>Other</w:t>
      </w:r>
      <w:r>
        <w:rPr>
          <w:color w:val="134295"/>
          <w:spacing w:val="-4"/>
        </w:rPr>
        <w:t> </w:t>
      </w:r>
      <w:r>
        <w:rPr>
          <w:color w:val="134295"/>
        </w:rPr>
        <w:t>Differential</w:t>
      </w:r>
      <w:r>
        <w:rPr>
          <w:color w:val="134295"/>
          <w:spacing w:val="-4"/>
        </w:rPr>
        <w:t> </w:t>
      </w:r>
      <w:r>
        <w:rPr>
          <w:color w:val="134295"/>
        </w:rPr>
        <w:t>-</w:t>
      </w:r>
      <w:r>
        <w:rPr>
          <w:color w:val="134295"/>
          <w:spacing w:val="-3"/>
        </w:rPr>
        <w:t> </w:t>
      </w:r>
      <w:r>
        <w:rPr>
          <w:color w:val="134295"/>
        </w:rPr>
        <w:t>Retirement</w:t>
      </w:r>
      <w:r>
        <w:rPr>
          <w:color w:val="134295"/>
          <w:spacing w:val="-1"/>
        </w:rPr>
        <w:t> </w:t>
      </w:r>
      <w:r>
        <w:rPr>
          <w:color w:val="134295"/>
        </w:rPr>
        <w:t>Village</w:t>
      </w:r>
      <w:r>
        <w:rPr>
          <w:color w:val="134295"/>
          <w:spacing w:val="-3"/>
        </w:rPr>
        <w:t> </w:t>
      </w:r>
      <w:r>
        <w:rPr>
          <w:color w:val="134295"/>
          <w:spacing w:val="-2"/>
        </w:rPr>
        <w:t>Differential</w:t>
      </w:r>
    </w:p>
    <w:p>
      <w:pPr>
        <w:pStyle w:val="BodyText"/>
        <w:spacing w:before="255"/>
        <w:ind w:left="1440" w:right="1435"/>
        <w:jc w:val="both"/>
      </w:pPr>
      <w:r>
        <w:rPr/>
        <w:t>In accordance with the Ministerial Guidelines for Differential Rating, Council has considered the application of a differential rate for retirement village properties. This consideration involved reviewing the nature of services provided to all residents, modelling the financial impact of a potential differential, and assessing the equity implications across the broader ratepayer base.</w:t>
      </w:r>
    </w:p>
    <w:p>
      <w:pPr>
        <w:pStyle w:val="BodyText"/>
        <w:spacing w:before="11"/>
        <w:rPr>
          <w:sz w:val="21"/>
        </w:rPr>
      </w:pPr>
    </w:p>
    <w:p>
      <w:pPr>
        <w:pStyle w:val="BodyText"/>
        <w:ind w:left="1440" w:right="1435"/>
        <w:jc w:val="both"/>
      </w:pPr>
      <w:r>
        <w:rPr/>
        <w:t>Council</w:t>
      </w:r>
      <w:r>
        <w:rPr>
          <w:spacing w:val="-3"/>
        </w:rPr>
        <w:t> </w:t>
      </w:r>
      <w:r>
        <w:rPr/>
        <w:t>acknowledges</w:t>
      </w:r>
      <w:r>
        <w:rPr>
          <w:spacing w:val="-3"/>
        </w:rPr>
        <w:t> </w:t>
      </w:r>
      <w:r>
        <w:rPr/>
        <w:t>that</w:t>
      </w:r>
      <w:r>
        <w:rPr>
          <w:spacing w:val="-1"/>
        </w:rPr>
        <w:t> </w:t>
      </w:r>
      <w:r>
        <w:rPr/>
        <w:t>some</w:t>
      </w:r>
      <w:r>
        <w:rPr>
          <w:spacing w:val="-5"/>
        </w:rPr>
        <w:t> </w:t>
      </w:r>
      <w:r>
        <w:rPr/>
        <w:t>retirement</w:t>
      </w:r>
      <w:r>
        <w:rPr>
          <w:spacing w:val="-3"/>
        </w:rPr>
        <w:t> </w:t>
      </w:r>
      <w:r>
        <w:rPr/>
        <w:t>villages</w:t>
      </w:r>
      <w:r>
        <w:rPr>
          <w:spacing w:val="-1"/>
        </w:rPr>
        <w:t> </w:t>
      </w:r>
      <w:r>
        <w:rPr/>
        <w:t>maintain</w:t>
      </w:r>
      <w:r>
        <w:rPr>
          <w:spacing w:val="-7"/>
        </w:rPr>
        <w:t> </w:t>
      </w:r>
      <w:r>
        <w:rPr/>
        <w:t>internal</w:t>
      </w:r>
      <w:r>
        <w:rPr>
          <w:spacing w:val="-3"/>
        </w:rPr>
        <w:t> </w:t>
      </w:r>
      <w:r>
        <w:rPr/>
        <w:t>infrastructure</w:t>
      </w:r>
      <w:r>
        <w:rPr>
          <w:spacing w:val="-7"/>
        </w:rPr>
        <w:t> </w:t>
      </w:r>
      <w:r>
        <w:rPr/>
        <w:t>privately; however, residents of these villages continue to have available to them, a wide range of municipal services.</w:t>
      </w:r>
    </w:p>
    <w:p>
      <w:pPr>
        <w:pStyle w:val="BodyText"/>
      </w:pPr>
    </w:p>
    <w:p>
      <w:pPr>
        <w:pStyle w:val="BodyText"/>
        <w:spacing w:before="1"/>
        <w:ind w:left="1440" w:right="1433"/>
        <w:jc w:val="both"/>
      </w:pPr>
      <w:r>
        <w:rPr/>
        <w:t>The uniform residential rate already accounts for varying property values, and eligible pensioners continue to receive the State</w:t>
      </w:r>
      <w:r>
        <w:rPr>
          <w:spacing w:val="-3"/>
        </w:rPr>
        <w:t> </w:t>
      </w:r>
      <w:r>
        <w:rPr/>
        <w:t>Government rebates. Applying a differential rate for one category of residential housing was not deemed feasible or equitable. Council is committed</w:t>
      </w:r>
      <w:r>
        <w:rPr>
          <w:spacing w:val="-15"/>
        </w:rPr>
        <w:t> </w:t>
      </w:r>
      <w:r>
        <w:rPr/>
        <w:t>to</w:t>
      </w:r>
      <w:r>
        <w:rPr>
          <w:spacing w:val="-15"/>
        </w:rPr>
        <w:t> </w:t>
      </w:r>
      <w:r>
        <w:rPr/>
        <w:t>long-term</w:t>
      </w:r>
      <w:r>
        <w:rPr>
          <w:spacing w:val="-12"/>
        </w:rPr>
        <w:t> </w:t>
      </w:r>
      <w:r>
        <w:rPr/>
        <w:t>intergenerational</w:t>
      </w:r>
      <w:r>
        <w:rPr>
          <w:spacing w:val="-14"/>
        </w:rPr>
        <w:t> </w:t>
      </w:r>
      <w:r>
        <w:rPr/>
        <w:t>equity</w:t>
      </w:r>
      <w:r>
        <w:rPr>
          <w:spacing w:val="-14"/>
        </w:rPr>
        <w:t> </w:t>
      </w:r>
      <w:r>
        <w:rPr/>
        <w:t>and</w:t>
      </w:r>
      <w:r>
        <w:rPr>
          <w:spacing w:val="-13"/>
        </w:rPr>
        <w:t> </w:t>
      </w:r>
      <w:r>
        <w:rPr/>
        <w:t>recognises</w:t>
      </w:r>
      <w:r>
        <w:rPr>
          <w:spacing w:val="-14"/>
        </w:rPr>
        <w:t> </w:t>
      </w:r>
      <w:r>
        <w:rPr/>
        <w:t>that</w:t>
      </w:r>
      <w:r>
        <w:rPr>
          <w:spacing w:val="-11"/>
        </w:rPr>
        <w:t> </w:t>
      </w:r>
      <w:r>
        <w:rPr/>
        <w:t>community</w:t>
      </w:r>
      <w:r>
        <w:rPr>
          <w:spacing w:val="-12"/>
        </w:rPr>
        <w:t> </w:t>
      </w:r>
      <w:r>
        <w:rPr/>
        <w:t>service</w:t>
      </w:r>
      <w:r>
        <w:rPr>
          <w:spacing w:val="-13"/>
        </w:rPr>
        <w:t> </w:t>
      </w:r>
      <w:r>
        <w:rPr/>
        <w:t>usage fluctuates across life stages and housing types. For these reasons, Council is not currently considering the adoption of a retirement village differential.</w:t>
      </w:r>
    </w:p>
    <w:p>
      <w:pPr>
        <w:pStyle w:val="BodyText"/>
      </w:pPr>
    </w:p>
    <w:p>
      <w:pPr>
        <w:pStyle w:val="Heading5"/>
      </w:pPr>
      <w:r>
        <w:rPr/>
        <w:t>Maroondah</w:t>
      </w:r>
      <w:r>
        <w:rPr>
          <w:spacing w:val="-6"/>
        </w:rPr>
        <w:t> </w:t>
      </w:r>
      <w:r>
        <w:rPr/>
        <w:t>City</w:t>
      </w:r>
      <w:r>
        <w:rPr>
          <w:spacing w:val="-7"/>
        </w:rPr>
        <w:t> </w:t>
      </w:r>
      <w:r>
        <w:rPr/>
        <w:t>Council</w:t>
      </w:r>
      <w:r>
        <w:rPr>
          <w:spacing w:val="-4"/>
        </w:rPr>
        <w:t> </w:t>
      </w:r>
      <w:r>
        <w:rPr/>
        <w:t>does</w:t>
      </w:r>
      <w:r>
        <w:rPr>
          <w:spacing w:val="-3"/>
        </w:rPr>
        <w:t> </w:t>
      </w:r>
      <w:r>
        <w:rPr/>
        <w:t>not</w:t>
      </w:r>
      <w:r>
        <w:rPr>
          <w:spacing w:val="-2"/>
        </w:rPr>
        <w:t> </w:t>
      </w:r>
      <w:r>
        <w:rPr/>
        <w:t>have</w:t>
      </w:r>
      <w:r>
        <w:rPr>
          <w:spacing w:val="-5"/>
        </w:rPr>
        <w:t> </w:t>
      </w:r>
      <w:r>
        <w:rPr/>
        <w:t>a</w:t>
      </w:r>
      <w:r>
        <w:rPr>
          <w:spacing w:val="-5"/>
        </w:rPr>
        <w:t> </w:t>
      </w:r>
      <w:r>
        <w:rPr/>
        <w:t>retirement</w:t>
      </w:r>
      <w:r>
        <w:rPr>
          <w:spacing w:val="-3"/>
        </w:rPr>
        <w:t> </w:t>
      </w:r>
      <w:r>
        <w:rPr/>
        <w:t>village</w:t>
      </w:r>
      <w:r>
        <w:rPr>
          <w:spacing w:val="-5"/>
        </w:rPr>
        <w:t> </w:t>
      </w:r>
      <w:r>
        <w:rPr/>
        <w:t>differential</w:t>
      </w:r>
      <w:r>
        <w:rPr>
          <w:spacing w:val="-1"/>
        </w:rPr>
        <w:t> </w:t>
      </w:r>
      <w:r>
        <w:rPr/>
        <w:t>rate</w:t>
      </w:r>
      <w:r>
        <w:rPr>
          <w:spacing w:val="-2"/>
        </w:rPr>
        <w:t> applied.</w:t>
      </w:r>
    </w:p>
    <w:p>
      <w:pPr>
        <w:pStyle w:val="BodyText"/>
        <w:rPr>
          <w:b/>
          <w:sz w:val="24"/>
        </w:rPr>
      </w:pPr>
    </w:p>
    <w:p>
      <w:pPr>
        <w:pStyle w:val="Heading2"/>
        <w:numPr>
          <w:ilvl w:val="1"/>
          <w:numId w:val="3"/>
        </w:numPr>
        <w:tabs>
          <w:tab w:pos="2161" w:val="left" w:leader="none"/>
          <w:tab w:pos="2162" w:val="left" w:leader="none"/>
        </w:tabs>
        <w:spacing w:line="240" w:lineRule="auto" w:before="176" w:after="0"/>
        <w:ind w:left="2161" w:right="0" w:hanging="722"/>
        <w:jc w:val="left"/>
        <w:rPr>
          <w:color w:val="134295"/>
        </w:rPr>
      </w:pPr>
      <w:bookmarkStart w:name="_TOC_250014" w:id="8"/>
      <w:r>
        <w:rPr>
          <w:color w:val="134295"/>
        </w:rPr>
        <w:t>Municipal</w:t>
      </w:r>
      <w:r>
        <w:rPr>
          <w:color w:val="134295"/>
          <w:spacing w:val="-17"/>
        </w:rPr>
        <w:t> </w:t>
      </w:r>
      <w:bookmarkEnd w:id="8"/>
      <w:r>
        <w:rPr>
          <w:color w:val="134295"/>
          <w:spacing w:val="-2"/>
        </w:rPr>
        <w:t>Charge</w:t>
      </w:r>
    </w:p>
    <w:p>
      <w:pPr>
        <w:pStyle w:val="BodyText"/>
        <w:spacing w:before="254"/>
        <w:ind w:left="1440" w:right="1435"/>
        <w:jc w:val="both"/>
      </w:pPr>
      <w:r>
        <w:rPr/>
        <w:t>Another</w:t>
      </w:r>
      <w:r>
        <w:rPr>
          <w:spacing w:val="-2"/>
        </w:rPr>
        <w:t> </w:t>
      </w:r>
      <w:r>
        <w:rPr/>
        <w:t>principle</w:t>
      </w:r>
      <w:r>
        <w:rPr>
          <w:spacing w:val="-5"/>
        </w:rPr>
        <w:t> </w:t>
      </w:r>
      <w:r>
        <w:rPr/>
        <w:t>rating option available to Councils is the application of a municipal charge. Under Section 159 of the </w:t>
      </w:r>
      <w:r>
        <w:rPr>
          <w:i/>
        </w:rPr>
        <w:t>Local Government Act 1989</w:t>
      </w:r>
      <w:r>
        <w:rPr/>
        <w:t>, Council may declare a municipal charge</w:t>
      </w:r>
      <w:r>
        <w:rPr>
          <w:spacing w:val="-12"/>
        </w:rPr>
        <w:t> </w:t>
      </w:r>
      <w:r>
        <w:rPr/>
        <w:t>to</w:t>
      </w:r>
      <w:r>
        <w:rPr>
          <w:spacing w:val="-14"/>
        </w:rPr>
        <w:t> </w:t>
      </w:r>
      <w:r>
        <w:rPr/>
        <w:t>cover</w:t>
      </w:r>
      <w:r>
        <w:rPr>
          <w:spacing w:val="-13"/>
        </w:rPr>
        <w:t> </w:t>
      </w:r>
      <w:r>
        <w:rPr/>
        <w:t>some</w:t>
      </w:r>
      <w:r>
        <w:rPr>
          <w:spacing w:val="-14"/>
        </w:rPr>
        <w:t> </w:t>
      </w:r>
      <w:r>
        <w:rPr/>
        <w:t>of</w:t>
      </w:r>
      <w:r>
        <w:rPr>
          <w:spacing w:val="-15"/>
        </w:rPr>
        <w:t> </w:t>
      </w:r>
      <w:r>
        <w:rPr/>
        <w:t>the</w:t>
      </w:r>
      <w:r>
        <w:rPr>
          <w:spacing w:val="-11"/>
        </w:rPr>
        <w:t> </w:t>
      </w:r>
      <w:r>
        <w:rPr/>
        <w:t>administrative</w:t>
      </w:r>
      <w:r>
        <w:rPr>
          <w:spacing w:val="-12"/>
        </w:rPr>
        <w:t> </w:t>
      </w:r>
      <w:r>
        <w:rPr/>
        <w:t>costs</w:t>
      </w:r>
      <w:r>
        <w:rPr>
          <w:spacing w:val="-13"/>
        </w:rPr>
        <w:t> </w:t>
      </w:r>
      <w:r>
        <w:rPr/>
        <w:t>of</w:t>
      </w:r>
      <w:r>
        <w:rPr>
          <w:spacing w:val="-11"/>
        </w:rPr>
        <w:t> </w:t>
      </w:r>
      <w:r>
        <w:rPr/>
        <w:t>the</w:t>
      </w:r>
      <w:r>
        <w:rPr>
          <w:spacing w:val="-14"/>
        </w:rPr>
        <w:t> </w:t>
      </w:r>
      <w:r>
        <w:rPr/>
        <w:t>Council.</w:t>
      </w:r>
      <w:r>
        <w:rPr>
          <w:spacing w:val="-12"/>
        </w:rPr>
        <w:t> </w:t>
      </w:r>
      <w:r>
        <w:rPr/>
        <w:t>The</w:t>
      </w:r>
      <w:r>
        <w:rPr>
          <w:spacing w:val="-12"/>
        </w:rPr>
        <w:t> </w:t>
      </w:r>
      <w:r>
        <w:rPr/>
        <w:t>legislation</w:t>
      </w:r>
      <w:r>
        <w:rPr>
          <w:spacing w:val="-11"/>
        </w:rPr>
        <w:t> </w:t>
      </w:r>
      <w:r>
        <w:rPr/>
        <w:t>is</w:t>
      </w:r>
      <w:r>
        <w:rPr>
          <w:spacing w:val="-15"/>
        </w:rPr>
        <w:t> </w:t>
      </w:r>
      <w:r>
        <w:rPr/>
        <w:t>not</w:t>
      </w:r>
      <w:r>
        <w:rPr>
          <w:spacing w:val="-12"/>
        </w:rPr>
        <w:t> </w:t>
      </w:r>
      <w:r>
        <w:rPr/>
        <w:t>definitive on what comprises administrative costs and does not require Council to specify what</w:t>
      </w:r>
      <w:r>
        <w:rPr>
          <w:spacing w:val="-2"/>
        </w:rPr>
        <w:t> </w:t>
      </w:r>
      <w:r>
        <w:rPr/>
        <w:t>is covered by the charge.</w:t>
      </w:r>
    </w:p>
    <w:p>
      <w:pPr>
        <w:pStyle w:val="BodyText"/>
        <w:spacing w:before="11"/>
        <w:rPr>
          <w:sz w:val="21"/>
        </w:rPr>
      </w:pPr>
    </w:p>
    <w:p>
      <w:pPr>
        <w:pStyle w:val="BodyText"/>
        <w:ind w:left="1440" w:right="1439"/>
        <w:jc w:val="both"/>
      </w:pPr>
      <w:r>
        <w:rPr/>
        <w:t>The application of a</w:t>
      </w:r>
      <w:r>
        <w:rPr>
          <w:spacing w:val="-3"/>
        </w:rPr>
        <w:t> </w:t>
      </w:r>
      <w:r>
        <w:rPr/>
        <w:t>municipal charge represents</w:t>
      </w:r>
      <w:r>
        <w:rPr>
          <w:spacing w:val="-2"/>
        </w:rPr>
        <w:t> </w:t>
      </w:r>
      <w:r>
        <w:rPr/>
        <w:t>a choice</w:t>
      </w:r>
      <w:r>
        <w:rPr>
          <w:spacing w:val="-1"/>
        </w:rPr>
        <w:t> </w:t>
      </w:r>
      <w:r>
        <w:rPr/>
        <w:t>to raise a portion of the</w:t>
      </w:r>
      <w:r>
        <w:rPr>
          <w:spacing w:val="-1"/>
        </w:rPr>
        <w:t> </w:t>
      </w:r>
      <w:r>
        <w:rPr/>
        <w:t>rates by a flat fee for all properties, rather than sole use of the CIV valuation method.</w:t>
      </w:r>
    </w:p>
    <w:p>
      <w:pPr>
        <w:pStyle w:val="BodyText"/>
        <w:spacing w:before="10"/>
        <w:rPr>
          <w:sz w:val="21"/>
        </w:rPr>
      </w:pPr>
    </w:p>
    <w:p>
      <w:pPr>
        <w:pStyle w:val="BodyText"/>
        <w:spacing w:before="1"/>
        <w:ind w:left="1440" w:right="1435"/>
        <w:jc w:val="both"/>
      </w:pPr>
      <w:r>
        <w:rPr/>
        <w:t>Under</w:t>
      </w:r>
      <w:r>
        <w:rPr>
          <w:spacing w:val="-2"/>
        </w:rPr>
        <w:t> </w:t>
      </w:r>
      <w:r>
        <w:rPr/>
        <w:t>the</w:t>
      </w:r>
      <w:r>
        <w:rPr>
          <w:spacing w:val="-6"/>
        </w:rPr>
        <w:t> </w:t>
      </w:r>
      <w:r>
        <w:rPr>
          <w:i/>
        </w:rPr>
        <w:t>Local</w:t>
      </w:r>
      <w:r>
        <w:rPr>
          <w:i/>
          <w:spacing w:val="-6"/>
        </w:rPr>
        <w:t> </w:t>
      </w:r>
      <w:r>
        <w:rPr>
          <w:i/>
        </w:rPr>
        <w:t>Government</w:t>
      </w:r>
      <w:r>
        <w:rPr>
          <w:i/>
          <w:spacing w:val="-4"/>
        </w:rPr>
        <w:t> </w:t>
      </w:r>
      <w:r>
        <w:rPr>
          <w:i/>
        </w:rPr>
        <w:t>Act</w:t>
      </w:r>
      <w:r>
        <w:rPr>
          <w:i/>
          <w:spacing w:val="-4"/>
        </w:rPr>
        <w:t> </w:t>
      </w:r>
      <w:r>
        <w:rPr>
          <w:i/>
        </w:rPr>
        <w:t>1989</w:t>
      </w:r>
      <w:r>
        <w:rPr/>
        <w:t>,</w:t>
      </w:r>
      <w:r>
        <w:rPr>
          <w:spacing w:val="-6"/>
        </w:rPr>
        <w:t> </w:t>
      </w:r>
      <w:r>
        <w:rPr/>
        <w:t>a</w:t>
      </w:r>
      <w:r>
        <w:rPr>
          <w:spacing w:val="-6"/>
        </w:rPr>
        <w:t> </w:t>
      </w:r>
      <w:r>
        <w:rPr/>
        <w:t>council’s</w:t>
      </w:r>
      <w:r>
        <w:rPr>
          <w:spacing w:val="-4"/>
        </w:rPr>
        <w:t> </w:t>
      </w:r>
      <w:r>
        <w:rPr/>
        <w:t>total</w:t>
      </w:r>
      <w:r>
        <w:rPr>
          <w:spacing w:val="-4"/>
        </w:rPr>
        <w:t> </w:t>
      </w:r>
      <w:r>
        <w:rPr/>
        <w:t>revenue</w:t>
      </w:r>
      <w:r>
        <w:rPr>
          <w:spacing w:val="-5"/>
        </w:rPr>
        <w:t> </w:t>
      </w:r>
      <w:r>
        <w:rPr/>
        <w:t>from</w:t>
      </w:r>
      <w:r>
        <w:rPr>
          <w:spacing w:val="-2"/>
        </w:rPr>
        <w:t> </w:t>
      </w:r>
      <w:r>
        <w:rPr/>
        <w:t>a</w:t>
      </w:r>
      <w:r>
        <w:rPr>
          <w:spacing w:val="-8"/>
        </w:rPr>
        <w:t> </w:t>
      </w:r>
      <w:r>
        <w:rPr/>
        <w:t>municipal</w:t>
      </w:r>
      <w:r>
        <w:rPr>
          <w:spacing w:val="-4"/>
        </w:rPr>
        <w:t> </w:t>
      </w:r>
      <w:r>
        <w:rPr/>
        <w:t>charge</w:t>
      </w:r>
      <w:r>
        <w:rPr>
          <w:spacing w:val="-4"/>
        </w:rPr>
        <w:t> </w:t>
      </w:r>
      <w:r>
        <w:rPr/>
        <w:t>in</w:t>
      </w:r>
      <w:r>
        <w:rPr>
          <w:spacing w:val="-5"/>
        </w:rPr>
        <w:t> </w:t>
      </w:r>
      <w:r>
        <w:rPr/>
        <w:t>a financial year must not exceed 20 per cent of the combined sum total of the Council’s total revenue from the municipal charge and the revenue from general rates (total rates).</w:t>
      </w:r>
    </w:p>
    <w:p>
      <w:pPr>
        <w:pStyle w:val="BodyText"/>
      </w:pPr>
    </w:p>
    <w:p>
      <w:pPr>
        <w:pStyle w:val="BodyText"/>
        <w:spacing w:before="1"/>
        <w:ind w:left="1440" w:right="1434"/>
        <w:jc w:val="both"/>
      </w:pPr>
      <w:r>
        <w:rPr/>
        <w:t>The municipal charge applies equally to all properties and</w:t>
      </w:r>
      <w:r>
        <w:rPr>
          <w:spacing w:val="-3"/>
        </w:rPr>
        <w:t> </w:t>
      </w:r>
      <w:r>
        <w:rPr/>
        <w:t>is based</w:t>
      </w:r>
      <w:r>
        <w:rPr>
          <w:spacing w:val="-4"/>
        </w:rPr>
        <w:t> </w:t>
      </w:r>
      <w:r>
        <w:rPr/>
        <w:t>upon the recovery of a fixed</w:t>
      </w:r>
      <w:r>
        <w:rPr>
          <w:spacing w:val="-8"/>
        </w:rPr>
        <w:t> </w:t>
      </w:r>
      <w:r>
        <w:rPr/>
        <w:t>cost</w:t>
      </w:r>
      <w:r>
        <w:rPr>
          <w:spacing w:val="-10"/>
        </w:rPr>
        <w:t> </w:t>
      </w:r>
      <w:r>
        <w:rPr/>
        <w:t>of</w:t>
      </w:r>
      <w:r>
        <w:rPr>
          <w:spacing w:val="-10"/>
        </w:rPr>
        <w:t> </w:t>
      </w:r>
      <w:r>
        <w:rPr/>
        <w:t>providing</w:t>
      </w:r>
      <w:r>
        <w:rPr>
          <w:spacing w:val="-10"/>
        </w:rPr>
        <w:t> </w:t>
      </w:r>
      <w:r>
        <w:rPr/>
        <w:t>administrative</w:t>
      </w:r>
      <w:r>
        <w:rPr>
          <w:spacing w:val="-8"/>
        </w:rPr>
        <w:t> </w:t>
      </w:r>
      <w:r>
        <w:rPr/>
        <w:t>services</w:t>
      </w:r>
      <w:r>
        <w:rPr>
          <w:spacing w:val="-10"/>
        </w:rPr>
        <w:t> </w:t>
      </w:r>
      <w:r>
        <w:rPr/>
        <w:t>irrespective</w:t>
      </w:r>
      <w:r>
        <w:rPr>
          <w:spacing w:val="-8"/>
        </w:rPr>
        <w:t> </w:t>
      </w:r>
      <w:r>
        <w:rPr/>
        <w:t>of</w:t>
      </w:r>
      <w:r>
        <w:rPr>
          <w:spacing w:val="-8"/>
        </w:rPr>
        <w:t> </w:t>
      </w:r>
      <w:r>
        <w:rPr/>
        <w:t>valuation.</w:t>
      </w:r>
      <w:r>
        <w:rPr>
          <w:spacing w:val="-8"/>
        </w:rPr>
        <w:t> </w:t>
      </w:r>
      <w:r>
        <w:rPr/>
        <w:t>The</w:t>
      </w:r>
      <w:r>
        <w:rPr>
          <w:spacing w:val="-7"/>
        </w:rPr>
        <w:t> </w:t>
      </w:r>
      <w:r>
        <w:rPr/>
        <w:t>same</w:t>
      </w:r>
      <w:r>
        <w:rPr>
          <w:spacing w:val="-11"/>
        </w:rPr>
        <w:t> </w:t>
      </w:r>
      <w:r>
        <w:rPr/>
        <w:t>contribution amount</w:t>
      </w:r>
      <w:r>
        <w:rPr>
          <w:spacing w:val="80"/>
        </w:rPr>
        <w:t> </w:t>
      </w:r>
      <w:r>
        <w:rPr/>
        <w:t>per</w:t>
      </w:r>
      <w:r>
        <w:rPr>
          <w:spacing w:val="80"/>
        </w:rPr>
        <w:t> </w:t>
      </w:r>
      <w:r>
        <w:rPr/>
        <w:t>assessment</w:t>
      </w:r>
      <w:r>
        <w:rPr>
          <w:spacing w:val="80"/>
        </w:rPr>
        <w:t> </w:t>
      </w:r>
      <w:r>
        <w:rPr/>
        <w:t>to</w:t>
      </w:r>
      <w:r>
        <w:rPr>
          <w:spacing w:val="80"/>
        </w:rPr>
        <w:t> </w:t>
      </w:r>
      <w:r>
        <w:rPr/>
        <w:t>cover</w:t>
      </w:r>
      <w:r>
        <w:rPr>
          <w:spacing w:val="80"/>
        </w:rPr>
        <w:t> </w:t>
      </w:r>
      <w:r>
        <w:rPr/>
        <w:t>a</w:t>
      </w:r>
      <w:r>
        <w:rPr>
          <w:spacing w:val="80"/>
        </w:rPr>
        <w:t> </w:t>
      </w:r>
      <w:r>
        <w:rPr/>
        <w:t>portion</w:t>
      </w:r>
      <w:r>
        <w:rPr>
          <w:spacing w:val="80"/>
        </w:rPr>
        <w:t> </w:t>
      </w:r>
      <w:r>
        <w:rPr/>
        <w:t>of</w:t>
      </w:r>
      <w:r>
        <w:rPr>
          <w:spacing w:val="80"/>
        </w:rPr>
        <w:t> </w:t>
      </w:r>
      <w:r>
        <w:rPr/>
        <w:t>councils</w:t>
      </w:r>
      <w:r>
        <w:rPr>
          <w:spacing w:val="80"/>
        </w:rPr>
        <w:t> </w:t>
      </w:r>
      <w:r>
        <w:rPr/>
        <w:t>administrative</w:t>
      </w:r>
      <w:r>
        <w:rPr>
          <w:spacing w:val="80"/>
        </w:rPr>
        <w:t> </w:t>
      </w:r>
      <w:r>
        <w:rPr/>
        <w:t>costs</w:t>
      </w:r>
      <w:r>
        <w:rPr>
          <w:spacing w:val="-1"/>
        </w:rPr>
        <w:t> </w:t>
      </w:r>
      <w:r>
        <w:rPr/>
        <w:t>can</w:t>
      </w:r>
      <w:r>
        <w:rPr>
          <w:spacing w:val="80"/>
        </w:rPr>
        <w:t> </w:t>
      </w:r>
      <w:r>
        <w:rPr/>
        <w:t>be seen as an equitable method of recovering these costs.</w:t>
      </w:r>
    </w:p>
    <w:p>
      <w:pPr>
        <w:pStyle w:val="BodyText"/>
        <w:spacing w:before="11"/>
        <w:rPr>
          <w:sz w:val="21"/>
        </w:rPr>
      </w:pPr>
    </w:p>
    <w:p>
      <w:pPr>
        <w:pStyle w:val="Heading5"/>
      </w:pPr>
      <w:r>
        <w:rPr/>
        <w:t>Maroondah</w:t>
      </w:r>
      <w:r>
        <w:rPr>
          <w:spacing w:val="-7"/>
        </w:rPr>
        <w:t> </w:t>
      </w:r>
      <w:r>
        <w:rPr/>
        <w:t>City</w:t>
      </w:r>
      <w:r>
        <w:rPr>
          <w:spacing w:val="-6"/>
        </w:rPr>
        <w:t> </w:t>
      </w:r>
      <w:r>
        <w:rPr/>
        <w:t>Council</w:t>
      </w:r>
      <w:r>
        <w:rPr>
          <w:spacing w:val="-2"/>
        </w:rPr>
        <w:t> </w:t>
      </w:r>
      <w:r>
        <w:rPr/>
        <w:t>does</w:t>
      </w:r>
      <w:r>
        <w:rPr>
          <w:spacing w:val="-2"/>
        </w:rPr>
        <w:t> </w:t>
      </w:r>
      <w:r>
        <w:rPr/>
        <w:t>not</w:t>
      </w:r>
      <w:r>
        <w:rPr>
          <w:spacing w:val="-2"/>
        </w:rPr>
        <w:t> </w:t>
      </w:r>
      <w:r>
        <w:rPr/>
        <w:t>levy</w:t>
      </w:r>
      <w:r>
        <w:rPr>
          <w:spacing w:val="-2"/>
        </w:rPr>
        <w:t> </w:t>
      </w:r>
      <w:r>
        <w:rPr/>
        <w:t>a</w:t>
      </w:r>
      <w:r>
        <w:rPr>
          <w:spacing w:val="-4"/>
        </w:rPr>
        <w:t> </w:t>
      </w:r>
      <w:r>
        <w:rPr/>
        <w:t>municipal</w:t>
      </w:r>
      <w:r>
        <w:rPr>
          <w:spacing w:val="-1"/>
        </w:rPr>
        <w:t> </w:t>
      </w:r>
      <w:r>
        <w:rPr>
          <w:spacing w:val="-2"/>
        </w:rPr>
        <w:t>charge.</w:t>
      </w:r>
    </w:p>
    <w:p>
      <w:pPr>
        <w:pStyle w:val="BodyText"/>
        <w:rPr>
          <w:b/>
          <w:sz w:val="20"/>
        </w:rPr>
      </w:pPr>
    </w:p>
    <w:p>
      <w:pPr>
        <w:pStyle w:val="BodyText"/>
        <w:rPr>
          <w:b/>
          <w:sz w:val="20"/>
        </w:rPr>
      </w:pPr>
    </w:p>
    <w:p>
      <w:pPr>
        <w:pStyle w:val="BodyText"/>
        <w:spacing w:before="6"/>
        <w:rPr>
          <w:b/>
          <w:sz w:val="17"/>
        </w:rPr>
      </w:pPr>
      <w:r>
        <w:rPr/>
        <w:drawing>
          <wp:anchor distT="0" distB="0" distL="0" distR="0" allowOverlap="1" layoutInCell="1" locked="0" behindDoc="0" simplePos="0" relativeHeight="28">
            <wp:simplePos x="0" y="0"/>
            <wp:positionH relativeFrom="page">
              <wp:posOffset>27432</wp:posOffset>
            </wp:positionH>
            <wp:positionV relativeFrom="paragraph">
              <wp:posOffset>143297</wp:posOffset>
            </wp:positionV>
            <wp:extent cx="7378567" cy="97440"/>
            <wp:effectExtent l="0" t="0" r="0" b="0"/>
            <wp:wrapTopAndBottom/>
            <wp:docPr id="55" name="image4.png"/>
            <wp:cNvGraphicFramePr>
              <a:graphicFrameLocks noChangeAspect="1"/>
            </wp:cNvGraphicFramePr>
            <a:graphic>
              <a:graphicData uri="http://schemas.openxmlformats.org/drawingml/2006/picture">
                <pic:pic>
                  <pic:nvPicPr>
                    <pic:cNvPr id="56"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7"/>
        </w:rPr>
        <w:sectPr>
          <w:footerReference w:type="default" r:id="rId17"/>
          <w:pgSz w:w="11910" w:h="16840"/>
          <w:pgMar w:footer="662" w:header="0" w:top="1600" w:bottom="860" w:left="0" w:right="0"/>
          <w:pgNumType w:start="1"/>
        </w:sectPr>
      </w:pPr>
    </w:p>
    <w:p>
      <w:pPr>
        <w:pStyle w:val="BodyText"/>
        <w:rPr>
          <w:b/>
          <w:sz w:val="20"/>
        </w:rPr>
      </w:pPr>
      <w:r>
        <w:rPr/>
        <w:drawing>
          <wp:anchor distT="0" distB="0" distL="0" distR="0" allowOverlap="1" layoutInCell="1" locked="0" behindDoc="0" simplePos="0" relativeHeight="15744000">
            <wp:simplePos x="0" y="0"/>
            <wp:positionH relativeFrom="page">
              <wp:posOffset>0</wp:posOffset>
            </wp:positionH>
            <wp:positionV relativeFrom="page">
              <wp:posOffset>9829800</wp:posOffset>
            </wp:positionV>
            <wp:extent cx="7560564" cy="101981"/>
            <wp:effectExtent l="0" t="0" r="0" b="0"/>
            <wp:wrapNone/>
            <wp:docPr id="57" name="image2.png"/>
            <wp:cNvGraphicFramePr>
              <a:graphicFrameLocks noChangeAspect="1"/>
            </wp:cNvGraphicFramePr>
            <a:graphic>
              <a:graphicData uri="http://schemas.openxmlformats.org/drawingml/2006/picture">
                <pic:pic>
                  <pic:nvPicPr>
                    <pic:cNvPr id="58"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b/>
          <w:sz w:val="20"/>
        </w:rPr>
      </w:pPr>
    </w:p>
    <w:p>
      <w:pPr>
        <w:pStyle w:val="BodyText"/>
        <w:spacing w:before="5"/>
        <w:rPr>
          <w:b/>
          <w:sz w:val="25"/>
        </w:rPr>
      </w:pPr>
    </w:p>
    <w:p>
      <w:pPr>
        <w:pStyle w:val="Heading2"/>
        <w:numPr>
          <w:ilvl w:val="1"/>
          <w:numId w:val="3"/>
        </w:numPr>
        <w:tabs>
          <w:tab w:pos="2161" w:val="left" w:leader="none"/>
          <w:tab w:pos="2162" w:val="left" w:leader="none"/>
        </w:tabs>
        <w:spacing w:line="240" w:lineRule="auto" w:before="89" w:after="0"/>
        <w:ind w:left="2161" w:right="0" w:hanging="722"/>
        <w:jc w:val="left"/>
        <w:rPr>
          <w:color w:val="134295"/>
        </w:rPr>
      </w:pPr>
      <w:r>
        <w:rPr/>
        <w:drawing>
          <wp:anchor distT="0" distB="0" distL="0" distR="0" allowOverlap="1" layoutInCell="1" locked="0" behindDoc="0" simplePos="0" relativeHeight="15743488">
            <wp:simplePos x="0" y="0"/>
            <wp:positionH relativeFrom="page">
              <wp:posOffset>6461760</wp:posOffset>
            </wp:positionH>
            <wp:positionV relativeFrom="paragraph">
              <wp:posOffset>-482881</wp:posOffset>
            </wp:positionV>
            <wp:extent cx="545591" cy="637031"/>
            <wp:effectExtent l="0" t="0" r="0" b="0"/>
            <wp:wrapNone/>
            <wp:docPr id="59" name="image3.png"/>
            <wp:cNvGraphicFramePr>
              <a:graphicFrameLocks noChangeAspect="1"/>
            </wp:cNvGraphicFramePr>
            <a:graphic>
              <a:graphicData uri="http://schemas.openxmlformats.org/drawingml/2006/picture">
                <pic:pic>
                  <pic:nvPicPr>
                    <pic:cNvPr id="60" name="image3.png"/>
                    <pic:cNvPicPr/>
                  </pic:nvPicPr>
                  <pic:blipFill>
                    <a:blip r:embed="rId8" cstate="print"/>
                    <a:stretch>
                      <a:fillRect/>
                    </a:stretch>
                  </pic:blipFill>
                  <pic:spPr>
                    <a:xfrm>
                      <a:off x="0" y="0"/>
                      <a:ext cx="545591" cy="637031"/>
                    </a:xfrm>
                    <a:prstGeom prst="rect">
                      <a:avLst/>
                    </a:prstGeom>
                  </pic:spPr>
                </pic:pic>
              </a:graphicData>
            </a:graphic>
          </wp:anchor>
        </w:drawing>
      </w:r>
      <w:bookmarkStart w:name="_TOC_250013" w:id="9"/>
      <w:r>
        <w:rPr>
          <w:color w:val="134295"/>
        </w:rPr>
        <w:t>Special</w:t>
      </w:r>
      <w:r>
        <w:rPr>
          <w:color w:val="134295"/>
          <w:spacing w:val="-13"/>
        </w:rPr>
        <w:t> </w:t>
      </w:r>
      <w:r>
        <w:rPr>
          <w:color w:val="134295"/>
        </w:rPr>
        <w:t>Charge</w:t>
      </w:r>
      <w:r>
        <w:rPr>
          <w:color w:val="134295"/>
          <w:spacing w:val="-9"/>
        </w:rPr>
        <w:t> </w:t>
      </w:r>
      <w:bookmarkEnd w:id="9"/>
      <w:r>
        <w:rPr>
          <w:color w:val="134295"/>
          <w:spacing w:val="-2"/>
        </w:rPr>
        <w:t>Schemes</w:t>
      </w:r>
    </w:p>
    <w:p>
      <w:pPr>
        <w:pStyle w:val="BodyText"/>
        <w:spacing w:before="10"/>
        <w:rPr>
          <w:b/>
          <w:sz w:val="13"/>
        </w:rPr>
      </w:pPr>
    </w:p>
    <w:p>
      <w:pPr>
        <w:pStyle w:val="BodyText"/>
        <w:spacing w:before="94"/>
        <w:ind w:left="1440" w:right="1434"/>
        <w:jc w:val="both"/>
      </w:pPr>
      <w:r>
        <w:rPr/>
        <w:t>The</w:t>
      </w:r>
      <w:r>
        <w:rPr>
          <w:spacing w:val="-1"/>
        </w:rPr>
        <w:t> </w:t>
      </w:r>
      <w:r>
        <w:rPr>
          <w:i/>
        </w:rPr>
        <w:t>Local Government Act 1989</w:t>
      </w:r>
      <w:r>
        <w:rPr>
          <w:i/>
          <w:spacing w:val="-3"/>
        </w:rPr>
        <w:t> </w:t>
      </w:r>
      <w:r>
        <w:rPr/>
        <w:t>recognises that councils need help to provide improved infrastructure for their local communities. Legislation allows councils to pass on the cost of capital infrastructure to the owner of a property that generally receives a unique benefit from the</w:t>
      </w:r>
      <w:r>
        <w:rPr>
          <w:spacing w:val="-3"/>
        </w:rPr>
        <w:t> </w:t>
      </w:r>
      <w:r>
        <w:rPr/>
        <w:t>construction</w:t>
      </w:r>
      <w:r>
        <w:rPr>
          <w:spacing w:val="-5"/>
        </w:rPr>
        <w:t> </w:t>
      </w:r>
      <w:r>
        <w:rPr/>
        <w:t>works.</w:t>
      </w:r>
      <w:r>
        <w:rPr>
          <w:spacing w:val="-7"/>
        </w:rPr>
        <w:t> </w:t>
      </w:r>
      <w:r>
        <w:rPr/>
        <w:t>The</w:t>
      </w:r>
      <w:r>
        <w:rPr>
          <w:spacing w:val="-5"/>
        </w:rPr>
        <w:t> </w:t>
      </w:r>
      <w:r>
        <w:rPr/>
        <w:t>technical</w:t>
      </w:r>
      <w:r>
        <w:rPr>
          <w:spacing w:val="-5"/>
        </w:rPr>
        <w:t> </w:t>
      </w:r>
      <w:r>
        <w:rPr/>
        <w:t>explanation</w:t>
      </w:r>
      <w:r>
        <w:rPr>
          <w:spacing w:val="-7"/>
        </w:rPr>
        <w:t> </w:t>
      </w:r>
      <w:r>
        <w:rPr/>
        <w:t>of</w:t>
      </w:r>
      <w:r>
        <w:rPr>
          <w:spacing w:val="-3"/>
        </w:rPr>
        <w:t> </w:t>
      </w:r>
      <w:r>
        <w:rPr/>
        <w:t>a</w:t>
      </w:r>
      <w:r>
        <w:rPr>
          <w:spacing w:val="-6"/>
        </w:rPr>
        <w:t> </w:t>
      </w:r>
      <w:r>
        <w:rPr/>
        <w:t>Special</w:t>
      </w:r>
      <w:r>
        <w:rPr>
          <w:spacing w:val="-5"/>
        </w:rPr>
        <w:t> </w:t>
      </w:r>
      <w:r>
        <w:rPr/>
        <w:t>Charge</w:t>
      </w:r>
      <w:r>
        <w:rPr>
          <w:spacing w:val="-6"/>
        </w:rPr>
        <w:t> </w:t>
      </w:r>
      <w:r>
        <w:rPr/>
        <w:t>comes</w:t>
      </w:r>
      <w:r>
        <w:rPr>
          <w:spacing w:val="-5"/>
        </w:rPr>
        <w:t> </w:t>
      </w:r>
      <w:r>
        <w:rPr/>
        <w:t>from</w:t>
      </w:r>
      <w:r>
        <w:rPr>
          <w:spacing w:val="-5"/>
        </w:rPr>
        <w:t> </w:t>
      </w:r>
      <w:r>
        <w:rPr/>
        <w:t>legislation (under</w:t>
      </w:r>
      <w:r>
        <w:rPr>
          <w:spacing w:val="-4"/>
        </w:rPr>
        <w:t> </w:t>
      </w:r>
      <w:r>
        <w:rPr/>
        <w:t>the</w:t>
      </w:r>
      <w:r>
        <w:rPr>
          <w:spacing w:val="-4"/>
        </w:rPr>
        <w:t> </w:t>
      </w:r>
      <w:r>
        <w:rPr>
          <w:i/>
        </w:rPr>
        <w:t>Local</w:t>
      </w:r>
      <w:r>
        <w:rPr>
          <w:i/>
          <w:spacing w:val="-7"/>
        </w:rPr>
        <w:t> </w:t>
      </w:r>
      <w:r>
        <w:rPr>
          <w:i/>
        </w:rPr>
        <w:t>Government</w:t>
      </w:r>
      <w:r>
        <w:rPr>
          <w:i/>
          <w:spacing w:val="-4"/>
        </w:rPr>
        <w:t> </w:t>
      </w:r>
      <w:r>
        <w:rPr>
          <w:i/>
        </w:rPr>
        <w:t>Act</w:t>
      </w:r>
      <w:r>
        <w:rPr>
          <w:i/>
          <w:spacing w:val="-6"/>
        </w:rPr>
        <w:t> </w:t>
      </w:r>
      <w:r>
        <w:rPr>
          <w:i/>
        </w:rPr>
        <w:t>1989</w:t>
      </w:r>
      <w:r>
        <w:rPr/>
        <w:t>)</w:t>
      </w:r>
      <w:r>
        <w:rPr>
          <w:spacing w:val="-8"/>
        </w:rPr>
        <w:t> </w:t>
      </w:r>
      <w:r>
        <w:rPr/>
        <w:t>that</w:t>
      </w:r>
      <w:r>
        <w:rPr>
          <w:spacing w:val="-6"/>
        </w:rPr>
        <w:t> </w:t>
      </w:r>
      <w:r>
        <w:rPr/>
        <w:t>allows</w:t>
      </w:r>
      <w:r>
        <w:rPr>
          <w:spacing w:val="-4"/>
        </w:rPr>
        <w:t> </w:t>
      </w:r>
      <w:r>
        <w:rPr/>
        <w:t>councils</w:t>
      </w:r>
      <w:r>
        <w:rPr>
          <w:spacing w:val="-6"/>
        </w:rPr>
        <w:t> </w:t>
      </w:r>
      <w:r>
        <w:rPr/>
        <w:t>to</w:t>
      </w:r>
      <w:r>
        <w:rPr>
          <w:spacing w:val="-10"/>
        </w:rPr>
        <w:t> </w:t>
      </w:r>
      <w:r>
        <w:rPr/>
        <w:t>recover</w:t>
      </w:r>
      <w:r>
        <w:rPr>
          <w:spacing w:val="-6"/>
        </w:rPr>
        <w:t> </w:t>
      </w:r>
      <w:r>
        <w:rPr/>
        <w:t>the</w:t>
      </w:r>
      <w:r>
        <w:rPr>
          <w:spacing w:val="-5"/>
        </w:rPr>
        <w:t> </w:t>
      </w:r>
      <w:r>
        <w:rPr/>
        <w:t>cost</w:t>
      </w:r>
      <w:r>
        <w:rPr>
          <w:spacing w:val="-6"/>
        </w:rPr>
        <w:t> </w:t>
      </w:r>
      <w:r>
        <w:rPr/>
        <w:t>of</w:t>
      </w:r>
      <w:r>
        <w:rPr>
          <w:spacing w:val="-6"/>
        </w:rPr>
        <w:t> </w:t>
      </w:r>
      <w:r>
        <w:rPr/>
        <w:t>works</w:t>
      </w:r>
      <w:r>
        <w:rPr>
          <w:spacing w:val="-6"/>
        </w:rPr>
        <w:t> </w:t>
      </w:r>
      <w:r>
        <w:rPr/>
        <w:t>from property owners who will gain special benefit from that work.</w:t>
      </w:r>
    </w:p>
    <w:p>
      <w:pPr>
        <w:pStyle w:val="BodyText"/>
      </w:pPr>
    </w:p>
    <w:p>
      <w:pPr>
        <w:pStyle w:val="BodyText"/>
        <w:ind w:left="1440" w:right="1434"/>
        <w:jc w:val="both"/>
      </w:pPr>
      <w:r>
        <w:rPr/>
        <w:t>The purposes for which special rates and special charges may be used include road construction, kerb and channelling, footpath provision, drainage, and other capital improvement projects.</w:t>
      </w:r>
    </w:p>
    <w:p>
      <w:pPr>
        <w:pStyle w:val="BodyText"/>
        <w:spacing w:before="10"/>
        <w:rPr>
          <w:sz w:val="21"/>
        </w:rPr>
      </w:pPr>
    </w:p>
    <w:p>
      <w:pPr>
        <w:pStyle w:val="BodyText"/>
        <w:ind w:left="1440" w:right="1435"/>
        <w:jc w:val="both"/>
      </w:pPr>
      <w:r>
        <w:rPr/>
        <w:t>The special rate or special charges may be declared on the basis of</w:t>
      </w:r>
      <w:r>
        <w:rPr>
          <w:spacing w:val="-2"/>
        </w:rPr>
        <w:t> </w:t>
      </w:r>
      <w:r>
        <w:rPr/>
        <w:t>any criteria specified by the council in the rate (Section 163 (2)). In accordance with Section 163 (3), council must </w:t>
      </w:r>
      <w:r>
        <w:rPr>
          <w:spacing w:val="-2"/>
        </w:rPr>
        <w:t>specify:</w:t>
      </w:r>
    </w:p>
    <w:p>
      <w:pPr>
        <w:pStyle w:val="ListParagraph"/>
        <w:numPr>
          <w:ilvl w:val="0"/>
          <w:numId w:val="14"/>
        </w:numPr>
        <w:tabs>
          <w:tab w:pos="2160" w:val="left" w:leader="none"/>
        </w:tabs>
        <w:spacing w:line="252" w:lineRule="exact" w:before="0" w:after="0"/>
        <w:ind w:left="2159" w:right="0" w:hanging="360"/>
        <w:jc w:val="left"/>
        <w:rPr>
          <w:sz w:val="22"/>
        </w:rPr>
      </w:pPr>
      <w:r>
        <w:rPr>
          <w:sz w:val="22"/>
        </w:rPr>
        <w:t>the</w:t>
      </w:r>
      <w:r>
        <w:rPr>
          <w:spacing w:val="-9"/>
          <w:sz w:val="22"/>
        </w:rPr>
        <w:t> </w:t>
      </w:r>
      <w:r>
        <w:rPr>
          <w:sz w:val="22"/>
        </w:rPr>
        <w:t>wards,</w:t>
      </w:r>
      <w:r>
        <w:rPr>
          <w:spacing w:val="-7"/>
          <w:sz w:val="22"/>
        </w:rPr>
        <w:t> </w:t>
      </w:r>
      <w:r>
        <w:rPr>
          <w:sz w:val="22"/>
        </w:rPr>
        <w:t>groups,</w:t>
      </w:r>
      <w:r>
        <w:rPr>
          <w:spacing w:val="-6"/>
          <w:sz w:val="22"/>
        </w:rPr>
        <w:t> </w:t>
      </w:r>
      <w:r>
        <w:rPr>
          <w:sz w:val="22"/>
        </w:rPr>
        <w:t>uses</w:t>
      </w:r>
      <w:r>
        <w:rPr>
          <w:spacing w:val="-9"/>
          <w:sz w:val="22"/>
        </w:rPr>
        <w:t> </w:t>
      </w:r>
      <w:r>
        <w:rPr>
          <w:sz w:val="22"/>
        </w:rPr>
        <w:t>or</w:t>
      </w:r>
      <w:r>
        <w:rPr>
          <w:spacing w:val="-5"/>
          <w:sz w:val="22"/>
        </w:rPr>
        <w:t> </w:t>
      </w:r>
      <w:r>
        <w:rPr>
          <w:sz w:val="22"/>
        </w:rPr>
        <w:t>areas</w:t>
      </w:r>
      <w:r>
        <w:rPr>
          <w:spacing w:val="-9"/>
          <w:sz w:val="22"/>
        </w:rPr>
        <w:t> </w:t>
      </w:r>
      <w:r>
        <w:rPr>
          <w:sz w:val="22"/>
        </w:rPr>
        <w:t>for</w:t>
      </w:r>
      <w:r>
        <w:rPr>
          <w:spacing w:val="-7"/>
          <w:sz w:val="22"/>
        </w:rPr>
        <w:t> </w:t>
      </w:r>
      <w:r>
        <w:rPr>
          <w:sz w:val="22"/>
        </w:rPr>
        <w:t>which</w:t>
      </w:r>
      <w:r>
        <w:rPr>
          <w:spacing w:val="-6"/>
          <w:sz w:val="22"/>
        </w:rPr>
        <w:t> </w:t>
      </w:r>
      <w:r>
        <w:rPr>
          <w:sz w:val="22"/>
        </w:rPr>
        <w:t>the</w:t>
      </w:r>
      <w:r>
        <w:rPr>
          <w:spacing w:val="-6"/>
          <w:sz w:val="22"/>
        </w:rPr>
        <w:t> </w:t>
      </w:r>
      <w:r>
        <w:rPr>
          <w:sz w:val="22"/>
        </w:rPr>
        <w:t>special</w:t>
      </w:r>
      <w:r>
        <w:rPr>
          <w:spacing w:val="-6"/>
          <w:sz w:val="22"/>
        </w:rPr>
        <w:t> </w:t>
      </w:r>
      <w:r>
        <w:rPr>
          <w:sz w:val="22"/>
        </w:rPr>
        <w:t>rate</w:t>
      </w:r>
      <w:r>
        <w:rPr>
          <w:spacing w:val="-7"/>
          <w:sz w:val="22"/>
        </w:rPr>
        <w:t> </w:t>
      </w:r>
      <w:r>
        <w:rPr>
          <w:sz w:val="22"/>
        </w:rPr>
        <w:t>or</w:t>
      </w:r>
      <w:r>
        <w:rPr>
          <w:spacing w:val="-8"/>
          <w:sz w:val="22"/>
        </w:rPr>
        <w:t> </w:t>
      </w:r>
      <w:r>
        <w:rPr>
          <w:sz w:val="22"/>
        </w:rPr>
        <w:t>charge</w:t>
      </w:r>
      <w:r>
        <w:rPr>
          <w:spacing w:val="-6"/>
          <w:sz w:val="22"/>
        </w:rPr>
        <w:t> </w:t>
      </w:r>
      <w:r>
        <w:rPr>
          <w:sz w:val="22"/>
        </w:rPr>
        <w:t>is</w:t>
      </w:r>
      <w:r>
        <w:rPr>
          <w:spacing w:val="-7"/>
          <w:sz w:val="22"/>
        </w:rPr>
        <w:t> </w:t>
      </w:r>
      <w:r>
        <w:rPr>
          <w:sz w:val="22"/>
        </w:rPr>
        <w:t>declared;</w:t>
      </w:r>
      <w:r>
        <w:rPr>
          <w:spacing w:val="-4"/>
          <w:sz w:val="22"/>
        </w:rPr>
        <w:t> </w:t>
      </w:r>
      <w:r>
        <w:rPr>
          <w:spacing w:val="-5"/>
          <w:sz w:val="22"/>
        </w:rPr>
        <w:t>and</w:t>
      </w:r>
    </w:p>
    <w:p>
      <w:pPr>
        <w:pStyle w:val="ListParagraph"/>
        <w:numPr>
          <w:ilvl w:val="0"/>
          <w:numId w:val="14"/>
        </w:numPr>
        <w:tabs>
          <w:tab w:pos="2160" w:val="left" w:leader="none"/>
        </w:tabs>
        <w:spacing w:line="252" w:lineRule="exact" w:before="2" w:after="0"/>
        <w:ind w:left="2159" w:right="0" w:hanging="360"/>
        <w:jc w:val="left"/>
        <w:rPr>
          <w:sz w:val="22"/>
        </w:rPr>
      </w:pPr>
      <w:r>
        <w:rPr>
          <w:sz w:val="22"/>
        </w:rPr>
        <w:t>the</w:t>
      </w:r>
      <w:r>
        <w:rPr>
          <w:spacing w:val="-4"/>
          <w:sz w:val="22"/>
        </w:rPr>
        <w:t> </w:t>
      </w:r>
      <w:r>
        <w:rPr>
          <w:sz w:val="22"/>
        </w:rPr>
        <w:t>land</w:t>
      </w:r>
      <w:r>
        <w:rPr>
          <w:spacing w:val="-1"/>
          <w:sz w:val="22"/>
        </w:rPr>
        <w:t> </w:t>
      </w:r>
      <w:r>
        <w:rPr>
          <w:sz w:val="22"/>
        </w:rPr>
        <w:t>in</w:t>
      </w:r>
      <w:r>
        <w:rPr>
          <w:spacing w:val="-4"/>
          <w:sz w:val="22"/>
        </w:rPr>
        <w:t> </w:t>
      </w:r>
      <w:r>
        <w:rPr>
          <w:sz w:val="22"/>
        </w:rPr>
        <w:t>relation</w:t>
      </w:r>
      <w:r>
        <w:rPr>
          <w:spacing w:val="-4"/>
          <w:sz w:val="22"/>
        </w:rPr>
        <w:t> </w:t>
      </w:r>
      <w:r>
        <w:rPr>
          <w:sz w:val="22"/>
        </w:rPr>
        <w:t>to</w:t>
      </w:r>
      <w:r>
        <w:rPr>
          <w:spacing w:val="-4"/>
          <w:sz w:val="22"/>
        </w:rPr>
        <w:t> </w:t>
      </w:r>
      <w:r>
        <w:rPr>
          <w:sz w:val="22"/>
        </w:rPr>
        <w:t>which</w:t>
      </w:r>
      <w:r>
        <w:rPr>
          <w:spacing w:val="-2"/>
          <w:sz w:val="22"/>
        </w:rPr>
        <w:t> </w:t>
      </w:r>
      <w:r>
        <w:rPr>
          <w:sz w:val="22"/>
        </w:rPr>
        <w:t>the</w:t>
      </w:r>
      <w:r>
        <w:rPr>
          <w:spacing w:val="-4"/>
          <w:sz w:val="22"/>
        </w:rPr>
        <w:t> </w:t>
      </w:r>
      <w:r>
        <w:rPr>
          <w:sz w:val="22"/>
        </w:rPr>
        <w:t>special</w:t>
      </w:r>
      <w:r>
        <w:rPr>
          <w:spacing w:val="-2"/>
          <w:sz w:val="22"/>
        </w:rPr>
        <w:t> </w:t>
      </w:r>
      <w:r>
        <w:rPr>
          <w:sz w:val="22"/>
        </w:rPr>
        <w:t>rate</w:t>
      </w:r>
      <w:r>
        <w:rPr>
          <w:spacing w:val="-4"/>
          <w:sz w:val="22"/>
        </w:rPr>
        <w:t> </w:t>
      </w:r>
      <w:r>
        <w:rPr>
          <w:sz w:val="22"/>
        </w:rPr>
        <w:t>or</w:t>
      </w:r>
      <w:r>
        <w:rPr>
          <w:spacing w:val="-2"/>
          <w:sz w:val="22"/>
        </w:rPr>
        <w:t> </w:t>
      </w:r>
      <w:r>
        <w:rPr>
          <w:sz w:val="22"/>
        </w:rPr>
        <w:t>special</w:t>
      </w:r>
      <w:r>
        <w:rPr>
          <w:spacing w:val="-2"/>
          <w:sz w:val="22"/>
        </w:rPr>
        <w:t> </w:t>
      </w:r>
      <w:r>
        <w:rPr>
          <w:sz w:val="22"/>
        </w:rPr>
        <w:t>charge</w:t>
      </w:r>
      <w:r>
        <w:rPr>
          <w:spacing w:val="-2"/>
          <w:sz w:val="22"/>
        </w:rPr>
        <w:t> </w:t>
      </w:r>
      <w:r>
        <w:rPr>
          <w:sz w:val="22"/>
        </w:rPr>
        <w:t>is</w:t>
      </w:r>
      <w:r>
        <w:rPr>
          <w:spacing w:val="-4"/>
          <w:sz w:val="22"/>
        </w:rPr>
        <w:t> </w:t>
      </w:r>
      <w:r>
        <w:rPr>
          <w:spacing w:val="-2"/>
          <w:sz w:val="22"/>
        </w:rPr>
        <w:t>declared;</w:t>
      </w:r>
    </w:p>
    <w:p>
      <w:pPr>
        <w:pStyle w:val="ListParagraph"/>
        <w:numPr>
          <w:ilvl w:val="0"/>
          <w:numId w:val="14"/>
        </w:numPr>
        <w:tabs>
          <w:tab w:pos="2160" w:val="left" w:leader="none"/>
        </w:tabs>
        <w:spacing w:line="240" w:lineRule="auto" w:before="0" w:after="0"/>
        <w:ind w:left="1800" w:right="1436" w:firstLine="0"/>
        <w:jc w:val="left"/>
        <w:rPr>
          <w:sz w:val="22"/>
        </w:rPr>
      </w:pPr>
      <w:r>
        <w:rPr>
          <w:sz w:val="22"/>
        </w:rPr>
        <w:t>the manner in which the special rate or special charge will be assessed and levied;</w:t>
      </w:r>
      <w:r>
        <w:rPr>
          <w:spacing w:val="40"/>
          <w:sz w:val="22"/>
        </w:rPr>
        <w:t> </w:t>
      </w:r>
      <w:r>
        <w:rPr>
          <w:spacing w:val="-4"/>
          <w:sz w:val="22"/>
        </w:rPr>
        <w:t>and</w:t>
      </w:r>
    </w:p>
    <w:p>
      <w:pPr>
        <w:pStyle w:val="ListParagraph"/>
        <w:numPr>
          <w:ilvl w:val="0"/>
          <w:numId w:val="14"/>
        </w:numPr>
        <w:tabs>
          <w:tab w:pos="2160" w:val="left" w:leader="none"/>
        </w:tabs>
        <w:spacing w:line="240" w:lineRule="auto" w:before="0" w:after="0"/>
        <w:ind w:left="2159" w:right="0" w:hanging="360"/>
        <w:jc w:val="left"/>
        <w:rPr>
          <w:sz w:val="22"/>
        </w:rPr>
      </w:pPr>
      <w:r>
        <w:rPr>
          <w:sz w:val="22"/>
        </w:rPr>
        <w:t>details</w:t>
      </w:r>
      <w:r>
        <w:rPr>
          <w:spacing w:val="-3"/>
          <w:sz w:val="22"/>
        </w:rPr>
        <w:t> </w:t>
      </w:r>
      <w:r>
        <w:rPr>
          <w:sz w:val="22"/>
        </w:rPr>
        <w:t>of</w:t>
      </w:r>
      <w:r>
        <w:rPr>
          <w:spacing w:val="-2"/>
          <w:sz w:val="22"/>
        </w:rPr>
        <w:t> </w:t>
      </w:r>
      <w:r>
        <w:rPr>
          <w:sz w:val="22"/>
        </w:rPr>
        <w:t>the</w:t>
      </w:r>
      <w:r>
        <w:rPr>
          <w:spacing w:val="-5"/>
          <w:sz w:val="22"/>
        </w:rPr>
        <w:t> </w:t>
      </w:r>
      <w:r>
        <w:rPr>
          <w:sz w:val="22"/>
        </w:rPr>
        <w:t>period</w:t>
      </w:r>
      <w:r>
        <w:rPr>
          <w:spacing w:val="-4"/>
          <w:sz w:val="22"/>
        </w:rPr>
        <w:t> </w:t>
      </w:r>
      <w:r>
        <w:rPr>
          <w:sz w:val="22"/>
        </w:rPr>
        <w:t>for</w:t>
      </w:r>
      <w:r>
        <w:rPr>
          <w:spacing w:val="-5"/>
          <w:sz w:val="22"/>
        </w:rPr>
        <w:t> </w:t>
      </w:r>
      <w:r>
        <w:rPr>
          <w:sz w:val="22"/>
        </w:rPr>
        <w:t>which the</w:t>
      </w:r>
      <w:r>
        <w:rPr>
          <w:spacing w:val="-1"/>
          <w:sz w:val="22"/>
        </w:rPr>
        <w:t> </w:t>
      </w:r>
      <w:r>
        <w:rPr>
          <w:sz w:val="22"/>
        </w:rPr>
        <w:t>special</w:t>
      </w:r>
      <w:r>
        <w:rPr>
          <w:spacing w:val="-3"/>
          <w:sz w:val="22"/>
        </w:rPr>
        <w:t> </w:t>
      </w:r>
      <w:r>
        <w:rPr>
          <w:sz w:val="22"/>
        </w:rPr>
        <w:t>rate</w:t>
      </w:r>
      <w:r>
        <w:rPr>
          <w:spacing w:val="-6"/>
          <w:sz w:val="22"/>
        </w:rPr>
        <w:t> </w:t>
      </w:r>
      <w:r>
        <w:rPr>
          <w:sz w:val="22"/>
        </w:rPr>
        <w:t>or</w:t>
      </w:r>
      <w:r>
        <w:rPr>
          <w:spacing w:val="-5"/>
          <w:sz w:val="22"/>
        </w:rPr>
        <w:t> </w:t>
      </w:r>
      <w:r>
        <w:rPr>
          <w:sz w:val="22"/>
        </w:rPr>
        <w:t>special</w:t>
      </w:r>
      <w:r>
        <w:rPr>
          <w:spacing w:val="-3"/>
          <w:sz w:val="22"/>
        </w:rPr>
        <w:t> </w:t>
      </w:r>
      <w:r>
        <w:rPr>
          <w:sz w:val="22"/>
        </w:rPr>
        <w:t>charge</w:t>
      </w:r>
      <w:r>
        <w:rPr>
          <w:spacing w:val="-4"/>
          <w:sz w:val="22"/>
        </w:rPr>
        <w:t> </w:t>
      </w:r>
      <w:r>
        <w:rPr>
          <w:sz w:val="22"/>
        </w:rPr>
        <w:t>remains</w:t>
      </w:r>
      <w:r>
        <w:rPr>
          <w:spacing w:val="-3"/>
          <w:sz w:val="22"/>
        </w:rPr>
        <w:t> </w:t>
      </w:r>
      <w:r>
        <w:rPr>
          <w:sz w:val="22"/>
        </w:rPr>
        <w:t>in</w:t>
      </w:r>
      <w:r>
        <w:rPr>
          <w:spacing w:val="-1"/>
          <w:sz w:val="22"/>
        </w:rPr>
        <w:t> </w:t>
      </w:r>
      <w:r>
        <w:rPr>
          <w:spacing w:val="-2"/>
          <w:sz w:val="22"/>
        </w:rPr>
        <w:t>force.</w:t>
      </w:r>
    </w:p>
    <w:p>
      <w:pPr>
        <w:pStyle w:val="BodyText"/>
      </w:pPr>
    </w:p>
    <w:p>
      <w:pPr>
        <w:pStyle w:val="BodyText"/>
        <w:ind w:left="1440" w:right="1434"/>
        <w:jc w:val="both"/>
      </w:pPr>
      <w:r>
        <w:rPr/>
        <w:t>The</w:t>
      </w:r>
      <w:r>
        <w:rPr>
          <w:spacing w:val="-14"/>
        </w:rPr>
        <w:t> </w:t>
      </w:r>
      <w:r>
        <w:rPr/>
        <w:t>special</w:t>
      </w:r>
      <w:r>
        <w:rPr>
          <w:spacing w:val="-15"/>
        </w:rPr>
        <w:t> </w:t>
      </w:r>
      <w:r>
        <w:rPr/>
        <w:t>rates</w:t>
      </w:r>
      <w:r>
        <w:rPr>
          <w:spacing w:val="-15"/>
        </w:rPr>
        <w:t> </w:t>
      </w:r>
      <w:r>
        <w:rPr/>
        <w:t>and</w:t>
      </w:r>
      <w:r>
        <w:rPr>
          <w:spacing w:val="-15"/>
        </w:rPr>
        <w:t> </w:t>
      </w:r>
      <w:r>
        <w:rPr/>
        <w:t>charges</w:t>
      </w:r>
      <w:r>
        <w:rPr>
          <w:spacing w:val="-13"/>
        </w:rPr>
        <w:t> </w:t>
      </w:r>
      <w:r>
        <w:rPr/>
        <w:t>provisions</w:t>
      </w:r>
      <w:r>
        <w:rPr>
          <w:spacing w:val="-13"/>
        </w:rPr>
        <w:t> </w:t>
      </w:r>
      <w:r>
        <w:rPr/>
        <w:t>are</w:t>
      </w:r>
      <w:r>
        <w:rPr>
          <w:spacing w:val="-16"/>
        </w:rPr>
        <w:t> </w:t>
      </w:r>
      <w:r>
        <w:rPr/>
        <w:t>flexible</w:t>
      </w:r>
      <w:r>
        <w:rPr>
          <w:spacing w:val="-13"/>
        </w:rPr>
        <w:t> </w:t>
      </w:r>
      <w:r>
        <w:rPr/>
        <w:t>and</w:t>
      </w:r>
      <w:r>
        <w:rPr>
          <w:spacing w:val="-1"/>
        </w:rPr>
        <w:t> </w:t>
      </w:r>
      <w:r>
        <w:rPr/>
        <w:t>can</w:t>
      </w:r>
      <w:r>
        <w:rPr>
          <w:spacing w:val="-16"/>
        </w:rPr>
        <w:t> </w:t>
      </w:r>
      <w:r>
        <w:rPr/>
        <w:t>be</w:t>
      </w:r>
      <w:r>
        <w:rPr>
          <w:spacing w:val="-13"/>
        </w:rPr>
        <w:t> </w:t>
      </w:r>
      <w:r>
        <w:rPr/>
        <w:t>used</w:t>
      </w:r>
      <w:r>
        <w:rPr>
          <w:spacing w:val="-5"/>
        </w:rPr>
        <w:t> </w:t>
      </w:r>
      <w:r>
        <w:rPr/>
        <w:t>to</w:t>
      </w:r>
      <w:r>
        <w:rPr>
          <w:spacing w:val="-14"/>
        </w:rPr>
        <w:t> </w:t>
      </w:r>
      <w:r>
        <w:rPr/>
        <w:t>achieve</w:t>
      </w:r>
      <w:r>
        <w:rPr>
          <w:spacing w:val="-14"/>
        </w:rPr>
        <w:t> </w:t>
      </w:r>
      <w:r>
        <w:rPr/>
        <w:t>a</w:t>
      </w:r>
      <w:r>
        <w:rPr>
          <w:spacing w:val="-13"/>
        </w:rPr>
        <w:t> </w:t>
      </w:r>
      <w:r>
        <w:rPr/>
        <w:t>wide</w:t>
      </w:r>
      <w:r>
        <w:rPr>
          <w:spacing w:val="-16"/>
        </w:rPr>
        <w:t> </w:t>
      </w:r>
      <w:r>
        <w:rPr/>
        <w:t>range of community objectives. The fundamental principle of special rates and charges is proof “special benefit” applies to those being levied. For example, they</w:t>
      </w:r>
      <w:r>
        <w:rPr>
          <w:spacing w:val="-4"/>
        </w:rPr>
        <w:t> </w:t>
      </w:r>
      <w:r>
        <w:rPr/>
        <w:t>could be used</w:t>
      </w:r>
      <w:r>
        <w:rPr>
          <w:spacing w:val="-4"/>
        </w:rPr>
        <w:t> </w:t>
      </w:r>
      <w:r>
        <w:rPr/>
        <w:t>to fund co- operative</w:t>
      </w:r>
      <w:r>
        <w:rPr>
          <w:spacing w:val="-1"/>
        </w:rPr>
        <w:t> </w:t>
      </w:r>
      <w:r>
        <w:rPr/>
        <w:t>fire</w:t>
      </w:r>
      <w:r>
        <w:rPr>
          <w:spacing w:val="-3"/>
        </w:rPr>
        <w:t> </w:t>
      </w:r>
      <w:r>
        <w:rPr/>
        <w:t>prevention</w:t>
      </w:r>
      <w:r>
        <w:rPr>
          <w:spacing w:val="-2"/>
        </w:rPr>
        <w:t> </w:t>
      </w:r>
      <w:r>
        <w:rPr/>
        <w:t>schemes. This</w:t>
      </w:r>
      <w:r>
        <w:rPr>
          <w:spacing w:val="-2"/>
        </w:rPr>
        <w:t> </w:t>
      </w:r>
      <w:r>
        <w:rPr/>
        <w:t>would ensure</w:t>
      </w:r>
      <w:r>
        <w:rPr>
          <w:spacing w:val="-1"/>
        </w:rPr>
        <w:t> </w:t>
      </w:r>
      <w:r>
        <w:rPr/>
        <w:t>that</w:t>
      </w:r>
      <w:r>
        <w:rPr>
          <w:spacing w:val="-2"/>
        </w:rPr>
        <w:t> </w:t>
      </w:r>
      <w:r>
        <w:rPr/>
        <w:t>there</w:t>
      </w:r>
      <w:r>
        <w:rPr>
          <w:spacing w:val="-1"/>
        </w:rPr>
        <w:t> </w:t>
      </w:r>
      <w:r>
        <w:rPr/>
        <w:t>were</w:t>
      </w:r>
      <w:r>
        <w:rPr>
          <w:spacing w:val="-1"/>
        </w:rPr>
        <w:t> </w:t>
      </w:r>
      <w:r>
        <w:rPr/>
        <w:t>no ‘free-riders’ reaping the benefits but not contributing to fire prevention.</w:t>
      </w:r>
    </w:p>
    <w:p>
      <w:pPr>
        <w:pStyle w:val="BodyText"/>
        <w:spacing w:before="10"/>
        <w:rPr>
          <w:sz w:val="21"/>
        </w:rPr>
      </w:pPr>
    </w:p>
    <w:p>
      <w:pPr>
        <w:pStyle w:val="BodyText"/>
        <w:spacing w:before="1"/>
        <w:ind w:left="1440" w:right="1433"/>
        <w:jc w:val="both"/>
      </w:pPr>
      <w:r>
        <w:rPr/>
        <w:t>Landscaping and environmental improvement programs that benefit small or localised areas could also be funded using special rates or charges.</w:t>
      </w:r>
    </w:p>
    <w:p>
      <w:pPr>
        <w:pStyle w:val="BodyText"/>
        <w:rPr>
          <w:sz w:val="24"/>
        </w:rPr>
      </w:pPr>
    </w:p>
    <w:p>
      <w:pPr>
        <w:pStyle w:val="Heading2"/>
        <w:numPr>
          <w:ilvl w:val="1"/>
          <w:numId w:val="3"/>
        </w:numPr>
        <w:tabs>
          <w:tab w:pos="2161" w:val="left" w:leader="none"/>
          <w:tab w:pos="2162" w:val="left" w:leader="none"/>
        </w:tabs>
        <w:spacing w:line="240" w:lineRule="auto" w:before="177" w:after="0"/>
        <w:ind w:left="2161" w:right="0" w:hanging="722"/>
        <w:jc w:val="left"/>
        <w:rPr>
          <w:color w:val="134295"/>
        </w:rPr>
      </w:pPr>
      <w:bookmarkStart w:name="_TOC_250012" w:id="10"/>
      <w:r>
        <w:rPr>
          <w:color w:val="134295"/>
        </w:rPr>
        <w:t>Service</w:t>
      </w:r>
      <w:r>
        <w:rPr>
          <w:color w:val="134295"/>
          <w:spacing w:val="-9"/>
        </w:rPr>
        <w:t> </w:t>
      </w:r>
      <w:r>
        <w:rPr>
          <w:color w:val="134295"/>
        </w:rPr>
        <w:t>Rates</w:t>
      </w:r>
      <w:r>
        <w:rPr>
          <w:color w:val="134295"/>
          <w:spacing w:val="-9"/>
        </w:rPr>
        <w:t> </w:t>
      </w:r>
      <w:r>
        <w:rPr>
          <w:color w:val="134295"/>
        </w:rPr>
        <w:t>and</w:t>
      </w:r>
      <w:r>
        <w:rPr>
          <w:color w:val="134295"/>
          <w:spacing w:val="-11"/>
        </w:rPr>
        <w:t> </w:t>
      </w:r>
      <w:bookmarkEnd w:id="10"/>
      <w:r>
        <w:rPr>
          <w:color w:val="134295"/>
          <w:spacing w:val="-2"/>
        </w:rPr>
        <w:t>Charges</w:t>
      </w:r>
    </w:p>
    <w:p>
      <w:pPr>
        <w:pStyle w:val="BodyText"/>
        <w:spacing w:before="254"/>
        <w:ind w:left="1440" w:right="1342"/>
      </w:pPr>
      <w:r>
        <w:rPr/>
        <w:t>Section</w:t>
      </w:r>
      <w:r>
        <w:rPr>
          <w:spacing w:val="-1"/>
        </w:rPr>
        <w:t> </w:t>
      </w:r>
      <w:r>
        <w:rPr/>
        <w:t>162 of</w:t>
      </w:r>
      <w:r>
        <w:rPr>
          <w:spacing w:val="-2"/>
        </w:rPr>
        <w:t> </w:t>
      </w:r>
      <w:r>
        <w:rPr/>
        <w:t>the</w:t>
      </w:r>
      <w:r>
        <w:rPr>
          <w:spacing w:val="-4"/>
        </w:rPr>
        <w:t> </w:t>
      </w:r>
      <w:r>
        <w:rPr>
          <w:i/>
        </w:rPr>
        <w:t>Local</w:t>
      </w:r>
      <w:r>
        <w:rPr>
          <w:i/>
          <w:spacing w:val="-4"/>
        </w:rPr>
        <w:t> </w:t>
      </w:r>
      <w:r>
        <w:rPr>
          <w:i/>
        </w:rPr>
        <w:t>Government</w:t>
      </w:r>
      <w:r>
        <w:rPr>
          <w:i/>
          <w:spacing w:val="-2"/>
        </w:rPr>
        <w:t> </w:t>
      </w:r>
      <w:r>
        <w:rPr>
          <w:i/>
        </w:rPr>
        <w:t>Act 1989</w:t>
      </w:r>
      <w:r>
        <w:rPr>
          <w:i/>
          <w:spacing w:val="-5"/>
        </w:rPr>
        <w:t> </w:t>
      </w:r>
      <w:r>
        <w:rPr/>
        <w:t>provides council</w:t>
      </w:r>
      <w:r>
        <w:rPr>
          <w:spacing w:val="-2"/>
        </w:rPr>
        <w:t> </w:t>
      </w:r>
      <w:r>
        <w:rPr/>
        <w:t>with</w:t>
      </w:r>
      <w:r>
        <w:rPr>
          <w:spacing w:val="-2"/>
        </w:rPr>
        <w:t> </w:t>
      </w:r>
      <w:r>
        <w:rPr/>
        <w:t>the</w:t>
      </w:r>
      <w:r>
        <w:rPr>
          <w:spacing w:val="-2"/>
        </w:rPr>
        <w:t> </w:t>
      </w:r>
      <w:r>
        <w:rPr/>
        <w:t>opportunity</w:t>
      </w:r>
      <w:r>
        <w:rPr>
          <w:spacing w:val="-4"/>
        </w:rPr>
        <w:t> </w:t>
      </w:r>
      <w:r>
        <w:rPr/>
        <w:t>to</w:t>
      </w:r>
      <w:r>
        <w:rPr>
          <w:spacing w:val="-3"/>
        </w:rPr>
        <w:t> </w:t>
      </w:r>
      <w:r>
        <w:rPr/>
        <w:t>raise service rates and charges for any of the following services:</w:t>
      </w:r>
    </w:p>
    <w:p>
      <w:pPr>
        <w:pStyle w:val="ListParagraph"/>
        <w:numPr>
          <w:ilvl w:val="0"/>
          <w:numId w:val="15"/>
        </w:numPr>
        <w:tabs>
          <w:tab w:pos="2160" w:val="left" w:leader="none"/>
        </w:tabs>
        <w:spacing w:line="251" w:lineRule="exact" w:before="0" w:after="0"/>
        <w:ind w:left="2159" w:right="0" w:hanging="360"/>
        <w:jc w:val="left"/>
        <w:rPr>
          <w:sz w:val="22"/>
        </w:rPr>
      </w:pPr>
      <w:r>
        <w:rPr>
          <w:sz w:val="22"/>
        </w:rPr>
        <w:t>The</w:t>
      </w:r>
      <w:r>
        <w:rPr>
          <w:spacing w:val="-1"/>
          <w:sz w:val="22"/>
        </w:rPr>
        <w:t> </w:t>
      </w:r>
      <w:r>
        <w:rPr>
          <w:sz w:val="22"/>
        </w:rPr>
        <w:t>provision</w:t>
      </w:r>
      <w:r>
        <w:rPr>
          <w:spacing w:val="-3"/>
          <w:sz w:val="22"/>
        </w:rPr>
        <w:t> </w:t>
      </w:r>
      <w:r>
        <w:rPr>
          <w:sz w:val="22"/>
        </w:rPr>
        <w:t>of</w:t>
      </w:r>
      <w:r>
        <w:rPr>
          <w:spacing w:val="-1"/>
          <w:sz w:val="22"/>
        </w:rPr>
        <w:t> </w:t>
      </w:r>
      <w:r>
        <w:rPr>
          <w:sz w:val="22"/>
        </w:rPr>
        <w:t>a</w:t>
      </w:r>
      <w:r>
        <w:rPr>
          <w:spacing w:val="-7"/>
          <w:sz w:val="22"/>
        </w:rPr>
        <w:t> </w:t>
      </w:r>
      <w:r>
        <w:rPr>
          <w:sz w:val="22"/>
        </w:rPr>
        <w:t>water</w:t>
      </w:r>
      <w:r>
        <w:rPr>
          <w:spacing w:val="-2"/>
          <w:sz w:val="22"/>
        </w:rPr>
        <w:t> supply;</w:t>
      </w:r>
    </w:p>
    <w:p>
      <w:pPr>
        <w:pStyle w:val="ListParagraph"/>
        <w:numPr>
          <w:ilvl w:val="0"/>
          <w:numId w:val="15"/>
        </w:numPr>
        <w:tabs>
          <w:tab w:pos="2160" w:val="left" w:leader="none"/>
        </w:tabs>
        <w:spacing w:line="252" w:lineRule="exact" w:before="2" w:after="0"/>
        <w:ind w:left="2159" w:right="0" w:hanging="360"/>
        <w:jc w:val="left"/>
        <w:rPr>
          <w:sz w:val="22"/>
        </w:rPr>
      </w:pPr>
      <w:r>
        <w:rPr>
          <w:sz w:val="22"/>
        </w:rPr>
        <w:t>The</w:t>
      </w:r>
      <w:r>
        <w:rPr>
          <w:spacing w:val="-2"/>
          <w:sz w:val="22"/>
        </w:rPr>
        <w:t> </w:t>
      </w:r>
      <w:r>
        <w:rPr>
          <w:sz w:val="22"/>
        </w:rPr>
        <w:t>collection</w:t>
      </w:r>
      <w:r>
        <w:rPr>
          <w:spacing w:val="-1"/>
          <w:sz w:val="22"/>
        </w:rPr>
        <w:t> </w:t>
      </w:r>
      <w:r>
        <w:rPr>
          <w:sz w:val="22"/>
        </w:rPr>
        <w:t>and</w:t>
      </w:r>
      <w:r>
        <w:rPr>
          <w:spacing w:val="-6"/>
          <w:sz w:val="22"/>
        </w:rPr>
        <w:t> </w:t>
      </w:r>
      <w:r>
        <w:rPr>
          <w:sz w:val="22"/>
        </w:rPr>
        <w:t>disposal</w:t>
      </w:r>
      <w:r>
        <w:rPr>
          <w:spacing w:val="-3"/>
          <w:sz w:val="22"/>
        </w:rPr>
        <w:t> </w:t>
      </w:r>
      <w:r>
        <w:rPr>
          <w:sz w:val="22"/>
        </w:rPr>
        <w:t>of</w:t>
      </w:r>
      <w:r>
        <w:rPr>
          <w:spacing w:val="-2"/>
          <w:sz w:val="22"/>
        </w:rPr>
        <w:t> refuse;</w:t>
      </w:r>
    </w:p>
    <w:p>
      <w:pPr>
        <w:pStyle w:val="ListParagraph"/>
        <w:numPr>
          <w:ilvl w:val="0"/>
          <w:numId w:val="15"/>
        </w:numPr>
        <w:tabs>
          <w:tab w:pos="2160" w:val="left" w:leader="none"/>
        </w:tabs>
        <w:spacing w:line="252" w:lineRule="exact" w:before="0" w:after="0"/>
        <w:ind w:left="2159" w:right="0" w:hanging="360"/>
        <w:jc w:val="left"/>
        <w:rPr>
          <w:sz w:val="22"/>
        </w:rPr>
      </w:pPr>
      <w:r>
        <w:rPr>
          <w:sz w:val="22"/>
        </w:rPr>
        <w:t>The</w:t>
      </w:r>
      <w:r>
        <w:rPr>
          <w:spacing w:val="-4"/>
          <w:sz w:val="22"/>
        </w:rPr>
        <w:t> </w:t>
      </w:r>
      <w:r>
        <w:rPr>
          <w:sz w:val="22"/>
        </w:rPr>
        <w:t>provision</w:t>
      </w:r>
      <w:r>
        <w:rPr>
          <w:spacing w:val="-3"/>
          <w:sz w:val="22"/>
        </w:rPr>
        <w:t> </w:t>
      </w:r>
      <w:r>
        <w:rPr>
          <w:sz w:val="22"/>
        </w:rPr>
        <w:t>of</w:t>
      </w:r>
      <w:r>
        <w:rPr>
          <w:spacing w:val="-1"/>
          <w:sz w:val="22"/>
        </w:rPr>
        <w:t> </w:t>
      </w:r>
      <w:r>
        <w:rPr>
          <w:sz w:val="22"/>
        </w:rPr>
        <w:t>sewage</w:t>
      </w:r>
      <w:r>
        <w:rPr>
          <w:spacing w:val="-8"/>
          <w:sz w:val="22"/>
        </w:rPr>
        <w:t> </w:t>
      </w:r>
      <w:r>
        <w:rPr>
          <w:spacing w:val="-2"/>
          <w:sz w:val="22"/>
        </w:rPr>
        <w:t>services;</w:t>
      </w:r>
    </w:p>
    <w:p>
      <w:pPr>
        <w:pStyle w:val="ListParagraph"/>
        <w:numPr>
          <w:ilvl w:val="0"/>
          <w:numId w:val="15"/>
        </w:numPr>
        <w:tabs>
          <w:tab w:pos="2160" w:val="left" w:leader="none"/>
        </w:tabs>
        <w:spacing w:line="240" w:lineRule="auto" w:before="1" w:after="0"/>
        <w:ind w:left="2159" w:right="0" w:hanging="360"/>
        <w:jc w:val="left"/>
        <w:rPr>
          <w:sz w:val="22"/>
        </w:rPr>
      </w:pPr>
      <w:r>
        <w:rPr>
          <w:sz w:val="22"/>
        </w:rPr>
        <w:t>Any</w:t>
      </w:r>
      <w:r>
        <w:rPr>
          <w:spacing w:val="-2"/>
          <w:sz w:val="22"/>
        </w:rPr>
        <w:t> </w:t>
      </w:r>
      <w:r>
        <w:rPr>
          <w:sz w:val="22"/>
        </w:rPr>
        <w:t>other</w:t>
      </w:r>
      <w:r>
        <w:rPr>
          <w:spacing w:val="-4"/>
          <w:sz w:val="22"/>
        </w:rPr>
        <w:t> </w:t>
      </w:r>
      <w:r>
        <w:rPr>
          <w:sz w:val="22"/>
        </w:rPr>
        <w:t>prescribed</w:t>
      </w:r>
      <w:r>
        <w:rPr>
          <w:spacing w:val="-4"/>
          <w:sz w:val="22"/>
        </w:rPr>
        <w:t> </w:t>
      </w:r>
      <w:r>
        <w:rPr>
          <w:spacing w:val="-2"/>
          <w:sz w:val="22"/>
        </w:rPr>
        <w:t>service.</w:t>
      </w:r>
    </w:p>
    <w:p>
      <w:pPr>
        <w:pStyle w:val="BodyText"/>
        <w:spacing w:before="10"/>
        <w:rPr>
          <w:sz w:val="21"/>
        </w:rPr>
      </w:pPr>
    </w:p>
    <w:p>
      <w:pPr>
        <w:pStyle w:val="BodyText"/>
        <w:ind w:left="1440" w:right="1435"/>
        <w:jc w:val="both"/>
      </w:pPr>
      <w:r>
        <w:rPr/>
        <w:t>Council currently applies a service charge for the collection and disposal of refuse and providing</w:t>
      </w:r>
      <w:r>
        <w:rPr>
          <w:spacing w:val="-10"/>
        </w:rPr>
        <w:t> </w:t>
      </w:r>
      <w:r>
        <w:rPr/>
        <w:t>waste</w:t>
      </w:r>
      <w:r>
        <w:rPr>
          <w:spacing w:val="-14"/>
        </w:rPr>
        <w:t> </w:t>
      </w:r>
      <w:r>
        <w:rPr/>
        <w:t>services</w:t>
      </w:r>
      <w:r>
        <w:rPr>
          <w:spacing w:val="-13"/>
        </w:rPr>
        <w:t> </w:t>
      </w:r>
      <w:r>
        <w:rPr/>
        <w:t>for</w:t>
      </w:r>
      <w:r>
        <w:rPr>
          <w:spacing w:val="-11"/>
        </w:rPr>
        <w:t> </w:t>
      </w:r>
      <w:r>
        <w:rPr/>
        <w:t>the</w:t>
      </w:r>
      <w:r>
        <w:rPr>
          <w:spacing w:val="-10"/>
        </w:rPr>
        <w:t> </w:t>
      </w:r>
      <w:r>
        <w:rPr/>
        <w:t>municipality</w:t>
      </w:r>
      <w:r>
        <w:rPr>
          <w:spacing w:val="-11"/>
        </w:rPr>
        <w:t> </w:t>
      </w:r>
      <w:r>
        <w:rPr/>
        <w:t>(street</w:t>
      </w:r>
      <w:r>
        <w:rPr>
          <w:spacing w:val="-8"/>
        </w:rPr>
        <w:t> </w:t>
      </w:r>
      <w:r>
        <w:rPr/>
        <w:t>litter</w:t>
      </w:r>
      <w:r>
        <w:rPr>
          <w:spacing w:val="-11"/>
        </w:rPr>
        <w:t> </w:t>
      </w:r>
      <w:r>
        <w:rPr/>
        <w:t>bins</w:t>
      </w:r>
      <w:r>
        <w:rPr>
          <w:spacing w:val="-13"/>
        </w:rPr>
        <w:t> </w:t>
      </w:r>
      <w:r>
        <w:rPr/>
        <w:t>for</w:t>
      </w:r>
      <w:r>
        <w:rPr>
          <w:spacing w:val="-8"/>
        </w:rPr>
        <w:t> </w:t>
      </w:r>
      <w:r>
        <w:rPr/>
        <w:t>instance).</w:t>
      </w:r>
      <w:r>
        <w:rPr>
          <w:spacing w:val="-12"/>
        </w:rPr>
        <w:t> </w:t>
      </w:r>
      <w:r>
        <w:rPr/>
        <w:t>Council</w:t>
      </w:r>
      <w:r>
        <w:rPr>
          <w:spacing w:val="-11"/>
        </w:rPr>
        <w:t> </w:t>
      </w:r>
      <w:r>
        <w:rPr/>
        <w:t>retains</w:t>
      </w:r>
      <w:r>
        <w:rPr>
          <w:spacing w:val="-13"/>
        </w:rPr>
        <w:t> </w:t>
      </w:r>
      <w:r>
        <w:rPr/>
        <w:t>the objective of setting the service charge for waste at a level that fully recovers the cost of the waste services.</w:t>
      </w:r>
    </w:p>
    <w:p>
      <w:pPr>
        <w:spacing w:after="0"/>
        <w:jc w:val="both"/>
        <w:sectPr>
          <w:pgSz w:w="11910" w:h="16840"/>
          <w:pgMar w:header="0" w:footer="662" w:top="580" w:bottom="860" w:left="0" w:right="0"/>
        </w:sectPr>
      </w:pPr>
    </w:p>
    <w:p>
      <w:pPr>
        <w:pStyle w:val="Heading2"/>
        <w:numPr>
          <w:ilvl w:val="1"/>
          <w:numId w:val="3"/>
        </w:numPr>
        <w:tabs>
          <w:tab w:pos="2161" w:val="left" w:leader="none"/>
          <w:tab w:pos="2162" w:val="left" w:leader="none"/>
        </w:tabs>
        <w:spacing w:line="240" w:lineRule="auto" w:before="61" w:after="0"/>
        <w:ind w:left="2161" w:right="0" w:hanging="722"/>
        <w:jc w:val="left"/>
        <w:rPr>
          <w:color w:val="134295"/>
        </w:rPr>
      </w:pPr>
      <w:bookmarkStart w:name="_TOC_250011" w:id="11"/>
      <w:r>
        <w:rPr>
          <w:color w:val="134295"/>
        </w:rPr>
        <w:t>Collection</w:t>
      </w:r>
      <w:r>
        <w:rPr>
          <w:color w:val="134295"/>
          <w:spacing w:val="-10"/>
        </w:rPr>
        <w:t> </w:t>
      </w:r>
      <w:r>
        <w:rPr>
          <w:color w:val="134295"/>
        </w:rPr>
        <w:t>and</w:t>
      </w:r>
      <w:r>
        <w:rPr>
          <w:color w:val="134295"/>
          <w:spacing w:val="-10"/>
        </w:rPr>
        <w:t> </w:t>
      </w:r>
      <w:r>
        <w:rPr>
          <w:color w:val="134295"/>
        </w:rPr>
        <w:t>Administration</w:t>
      </w:r>
      <w:r>
        <w:rPr>
          <w:color w:val="134295"/>
          <w:spacing w:val="-10"/>
        </w:rPr>
        <w:t> </w:t>
      </w:r>
      <w:r>
        <w:rPr>
          <w:color w:val="134295"/>
        </w:rPr>
        <w:t>of</w:t>
      </w:r>
      <w:r>
        <w:rPr>
          <w:color w:val="134295"/>
          <w:spacing w:val="-11"/>
        </w:rPr>
        <w:t> </w:t>
      </w:r>
      <w:r>
        <w:rPr>
          <w:color w:val="134295"/>
        </w:rPr>
        <w:t>Rates</w:t>
      </w:r>
      <w:r>
        <w:rPr>
          <w:color w:val="134295"/>
          <w:spacing w:val="-10"/>
        </w:rPr>
        <w:t> </w:t>
      </w:r>
      <w:r>
        <w:rPr>
          <w:color w:val="134295"/>
        </w:rPr>
        <w:t>and</w:t>
      </w:r>
      <w:r>
        <w:rPr>
          <w:color w:val="134295"/>
          <w:spacing w:val="-10"/>
        </w:rPr>
        <w:t> </w:t>
      </w:r>
      <w:bookmarkEnd w:id="11"/>
      <w:r>
        <w:rPr>
          <w:color w:val="134295"/>
          <w:spacing w:val="-2"/>
        </w:rPr>
        <w:t>Charges</w:t>
      </w:r>
    </w:p>
    <w:p>
      <w:pPr>
        <w:pStyle w:val="BodyText"/>
        <w:spacing w:line="254" w:lineRule="auto" w:before="254"/>
        <w:ind w:left="1440" w:right="1435"/>
        <w:jc w:val="both"/>
      </w:pPr>
      <w:r>
        <w:rPr/>
        <w:t>The purpose of this section is to outline the rate payment options, processes, and the</w:t>
      </w:r>
      <w:r>
        <w:rPr>
          <w:spacing w:val="40"/>
        </w:rPr>
        <w:t> </w:t>
      </w:r>
      <w:r>
        <w:rPr/>
        <w:t>support provided to ratepayers facing financial hardship.</w:t>
      </w:r>
    </w:p>
    <w:p>
      <w:pPr>
        <w:pStyle w:val="BodyText"/>
        <w:spacing w:before="4"/>
        <w:rPr>
          <w:sz w:val="21"/>
        </w:rPr>
      </w:pPr>
    </w:p>
    <w:p>
      <w:pPr>
        <w:pStyle w:val="Heading5"/>
        <w:spacing w:before="1"/>
      </w:pPr>
      <w:r>
        <w:rPr/>
        <w:t>Payment</w:t>
      </w:r>
      <w:r>
        <w:rPr>
          <w:spacing w:val="-2"/>
        </w:rPr>
        <w:t> options</w:t>
      </w:r>
    </w:p>
    <w:p>
      <w:pPr>
        <w:pStyle w:val="BodyText"/>
        <w:spacing w:before="9"/>
        <w:rPr>
          <w:b/>
          <w:sz w:val="21"/>
        </w:rPr>
      </w:pPr>
    </w:p>
    <w:p>
      <w:pPr>
        <w:pStyle w:val="BodyText"/>
        <w:ind w:left="1440" w:right="1433"/>
        <w:jc w:val="both"/>
      </w:pPr>
      <w:r>
        <w:rPr/>
        <w:t>In accordance with section 167(1) of the </w:t>
      </w:r>
      <w:r>
        <w:rPr>
          <w:i/>
        </w:rPr>
        <w:t>Local Government Act 1989 </w:t>
      </w:r>
      <w:r>
        <w:rPr/>
        <w:t>ratepayers have the option of paying rates and charges by way of four instalments. Payments are due on the prescribed dates below:</w:t>
      </w:r>
    </w:p>
    <w:p>
      <w:pPr>
        <w:pStyle w:val="ListParagraph"/>
        <w:numPr>
          <w:ilvl w:val="0"/>
          <w:numId w:val="4"/>
        </w:numPr>
        <w:tabs>
          <w:tab w:pos="1799" w:val="left" w:leader="none"/>
          <w:tab w:pos="1800" w:val="left" w:leader="none"/>
        </w:tabs>
        <w:spacing w:line="269" w:lineRule="exact" w:before="2" w:after="0"/>
        <w:ind w:left="1799" w:right="0" w:hanging="360"/>
        <w:jc w:val="left"/>
        <w:rPr>
          <w:sz w:val="22"/>
        </w:rPr>
      </w:pPr>
      <w:r>
        <w:rPr>
          <w:sz w:val="22"/>
        </w:rPr>
        <w:t>1st</w:t>
      </w:r>
      <w:r>
        <w:rPr>
          <w:spacing w:val="-2"/>
          <w:sz w:val="22"/>
        </w:rPr>
        <w:t> </w:t>
      </w:r>
      <w:r>
        <w:rPr>
          <w:sz w:val="22"/>
        </w:rPr>
        <w:t>Instalment:</w:t>
      </w:r>
      <w:r>
        <w:rPr>
          <w:spacing w:val="-2"/>
          <w:sz w:val="22"/>
        </w:rPr>
        <w:t> </w:t>
      </w:r>
      <w:r>
        <w:rPr>
          <w:sz w:val="22"/>
        </w:rPr>
        <w:t>30</w:t>
      </w:r>
      <w:r>
        <w:rPr>
          <w:spacing w:val="-3"/>
          <w:sz w:val="22"/>
        </w:rPr>
        <w:t> </w:t>
      </w:r>
      <w:r>
        <w:rPr>
          <w:spacing w:val="-2"/>
          <w:sz w:val="22"/>
        </w:rPr>
        <w:t>September</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2nd</w:t>
      </w:r>
      <w:r>
        <w:rPr>
          <w:spacing w:val="-1"/>
          <w:sz w:val="22"/>
        </w:rPr>
        <w:t> </w:t>
      </w:r>
      <w:r>
        <w:rPr>
          <w:sz w:val="22"/>
        </w:rPr>
        <w:t>Instalment:</w:t>
      </w:r>
      <w:r>
        <w:rPr>
          <w:spacing w:val="-4"/>
          <w:sz w:val="22"/>
        </w:rPr>
        <w:t> </w:t>
      </w:r>
      <w:r>
        <w:rPr>
          <w:sz w:val="22"/>
        </w:rPr>
        <w:t>30 </w:t>
      </w:r>
      <w:r>
        <w:rPr>
          <w:spacing w:val="-2"/>
          <w:sz w:val="22"/>
        </w:rPr>
        <w:t>November</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3rd</w:t>
      </w:r>
      <w:r>
        <w:rPr>
          <w:spacing w:val="-5"/>
          <w:sz w:val="22"/>
        </w:rPr>
        <w:t> </w:t>
      </w:r>
      <w:r>
        <w:rPr>
          <w:sz w:val="22"/>
        </w:rPr>
        <w:t>Instalment: 28</w:t>
      </w:r>
      <w:r>
        <w:rPr>
          <w:spacing w:val="-4"/>
          <w:sz w:val="22"/>
        </w:rPr>
        <w:t> </w:t>
      </w:r>
      <w:r>
        <w:rPr>
          <w:spacing w:val="-2"/>
          <w:sz w:val="22"/>
        </w:rPr>
        <w:t>February</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4th</w:t>
      </w:r>
      <w:r>
        <w:rPr>
          <w:spacing w:val="-3"/>
          <w:sz w:val="22"/>
        </w:rPr>
        <w:t> </w:t>
      </w:r>
      <w:r>
        <w:rPr>
          <w:sz w:val="22"/>
        </w:rPr>
        <w:t>Instalment:</w:t>
      </w:r>
      <w:r>
        <w:rPr>
          <w:spacing w:val="-1"/>
          <w:sz w:val="22"/>
        </w:rPr>
        <w:t> </w:t>
      </w:r>
      <w:r>
        <w:rPr>
          <w:sz w:val="22"/>
        </w:rPr>
        <w:t>31</w:t>
      </w:r>
      <w:r>
        <w:rPr>
          <w:spacing w:val="-4"/>
          <w:sz w:val="22"/>
        </w:rPr>
        <w:t> </w:t>
      </w:r>
      <w:r>
        <w:rPr>
          <w:spacing w:val="-5"/>
          <w:sz w:val="22"/>
        </w:rPr>
        <w:t>May</w:t>
      </w:r>
    </w:p>
    <w:p>
      <w:pPr>
        <w:pStyle w:val="BodyText"/>
        <w:spacing w:before="7"/>
        <w:rPr>
          <w:sz w:val="21"/>
        </w:rPr>
      </w:pPr>
    </w:p>
    <w:p>
      <w:pPr>
        <w:pStyle w:val="BodyText"/>
        <w:ind w:left="1440" w:right="1436"/>
        <w:jc w:val="both"/>
      </w:pPr>
      <w:r>
        <w:rPr/>
        <w:t>Ratepayers can pay via 9 instalments, due at the end of each month (or next business day) from September to May each year. This payment option is available via direct debit only.</w:t>
      </w:r>
    </w:p>
    <w:p>
      <w:pPr>
        <w:pStyle w:val="BodyText"/>
        <w:spacing w:before="2"/>
      </w:pPr>
    </w:p>
    <w:p>
      <w:pPr>
        <w:pStyle w:val="BodyText"/>
        <w:ind w:left="1440"/>
        <w:jc w:val="both"/>
      </w:pPr>
      <w:r>
        <w:rPr/>
        <w:t>Council</w:t>
      </w:r>
      <w:r>
        <w:rPr>
          <w:spacing w:val="-2"/>
        </w:rPr>
        <w:t> </w:t>
      </w:r>
      <w:r>
        <w:rPr/>
        <w:t>also</w:t>
      </w:r>
      <w:r>
        <w:rPr>
          <w:spacing w:val="-4"/>
        </w:rPr>
        <w:t> </w:t>
      </w:r>
      <w:r>
        <w:rPr/>
        <w:t>offer</w:t>
      </w:r>
      <w:r>
        <w:rPr>
          <w:spacing w:val="-1"/>
        </w:rPr>
        <w:t> </w:t>
      </w:r>
      <w:r>
        <w:rPr/>
        <w:t>a</w:t>
      </w:r>
      <w:r>
        <w:rPr>
          <w:spacing w:val="-4"/>
        </w:rPr>
        <w:t> </w:t>
      </w:r>
      <w:r>
        <w:rPr/>
        <w:t>pay</w:t>
      </w:r>
      <w:r>
        <w:rPr>
          <w:spacing w:val="-4"/>
        </w:rPr>
        <w:t> </w:t>
      </w:r>
      <w:r>
        <w:rPr/>
        <w:t>in</w:t>
      </w:r>
      <w:r>
        <w:rPr>
          <w:spacing w:val="-1"/>
        </w:rPr>
        <w:t> </w:t>
      </w:r>
      <w:r>
        <w:rPr/>
        <w:t>full</w:t>
      </w:r>
      <w:r>
        <w:rPr>
          <w:spacing w:val="-2"/>
        </w:rPr>
        <w:t> </w:t>
      </w:r>
      <w:r>
        <w:rPr/>
        <w:t>date</w:t>
      </w:r>
      <w:r>
        <w:rPr>
          <w:spacing w:val="-6"/>
        </w:rPr>
        <w:t> </w:t>
      </w:r>
      <w:r>
        <w:rPr/>
        <w:t>being</w:t>
      </w:r>
      <w:r>
        <w:rPr>
          <w:spacing w:val="-4"/>
        </w:rPr>
        <w:t> </w:t>
      </w:r>
      <w:r>
        <w:rPr/>
        <w:t>the</w:t>
      </w:r>
      <w:r>
        <w:rPr>
          <w:spacing w:val="-2"/>
        </w:rPr>
        <w:t> </w:t>
      </w:r>
      <w:r>
        <w:rPr/>
        <w:t>15</w:t>
      </w:r>
      <w:r>
        <w:rPr>
          <w:vertAlign w:val="superscript"/>
        </w:rPr>
        <w:t>th</w:t>
      </w:r>
      <w:r>
        <w:rPr>
          <w:spacing w:val="-5"/>
          <w:vertAlign w:val="baseline"/>
        </w:rPr>
        <w:t> </w:t>
      </w:r>
      <w:r>
        <w:rPr>
          <w:vertAlign w:val="baseline"/>
        </w:rPr>
        <w:t>of February</w:t>
      </w:r>
      <w:r>
        <w:rPr>
          <w:spacing w:val="-4"/>
          <w:vertAlign w:val="baseline"/>
        </w:rPr>
        <w:t> </w:t>
      </w:r>
      <w:r>
        <w:rPr>
          <w:vertAlign w:val="baseline"/>
        </w:rPr>
        <w:t>each</w:t>
      </w:r>
      <w:r>
        <w:rPr>
          <w:spacing w:val="-3"/>
          <w:vertAlign w:val="baseline"/>
        </w:rPr>
        <w:t> </w:t>
      </w:r>
      <w:r>
        <w:rPr>
          <w:vertAlign w:val="baseline"/>
        </w:rPr>
        <w:t>financial</w:t>
      </w:r>
      <w:r>
        <w:rPr>
          <w:spacing w:val="-2"/>
          <w:vertAlign w:val="baseline"/>
        </w:rPr>
        <w:t> year.</w:t>
      </w:r>
    </w:p>
    <w:p>
      <w:pPr>
        <w:pStyle w:val="BodyText"/>
        <w:spacing w:before="10"/>
        <w:rPr>
          <w:sz w:val="21"/>
        </w:rPr>
      </w:pPr>
    </w:p>
    <w:p>
      <w:pPr>
        <w:pStyle w:val="BodyText"/>
        <w:ind w:left="1440" w:right="1433"/>
        <w:jc w:val="both"/>
      </w:pPr>
      <w:r>
        <w:rPr/>
        <w:t>Council will also investigate, during the Plan Period, the ability to have a</w:t>
      </w:r>
      <w:r>
        <w:rPr>
          <w:spacing w:val="-1"/>
        </w:rPr>
        <w:t> </w:t>
      </w:r>
      <w:r>
        <w:rPr/>
        <w:t>pay at any time, so long as it is on time, option. Providing greater flexibility to the ratepayer to manage their payment times and options.</w:t>
      </w:r>
    </w:p>
    <w:p>
      <w:pPr>
        <w:pStyle w:val="BodyText"/>
      </w:pPr>
    </w:p>
    <w:p>
      <w:pPr>
        <w:pStyle w:val="Heading5"/>
        <w:spacing w:before="1"/>
      </w:pPr>
      <w:r>
        <w:rPr/>
        <w:t>Payment</w:t>
      </w:r>
      <w:r>
        <w:rPr>
          <w:spacing w:val="-4"/>
        </w:rPr>
        <w:t> </w:t>
      </w:r>
      <w:r>
        <w:rPr>
          <w:spacing w:val="-2"/>
        </w:rPr>
        <w:t>methods</w:t>
      </w:r>
    </w:p>
    <w:p>
      <w:pPr>
        <w:pStyle w:val="BodyText"/>
        <w:rPr>
          <w:b/>
        </w:rPr>
      </w:pPr>
    </w:p>
    <w:p>
      <w:pPr>
        <w:pStyle w:val="BodyText"/>
        <w:ind w:left="1440"/>
        <w:jc w:val="both"/>
      </w:pPr>
      <w:r>
        <w:rPr/>
        <w:t>Council</w:t>
      </w:r>
      <w:r>
        <w:rPr>
          <w:spacing w:val="-3"/>
        </w:rPr>
        <w:t> </w:t>
      </w:r>
      <w:r>
        <w:rPr/>
        <w:t>offers</w:t>
      </w:r>
      <w:r>
        <w:rPr>
          <w:spacing w:val="-3"/>
        </w:rPr>
        <w:t> </w:t>
      </w:r>
      <w:r>
        <w:rPr/>
        <w:t>a</w:t>
      </w:r>
      <w:r>
        <w:rPr>
          <w:spacing w:val="-4"/>
        </w:rPr>
        <w:t> </w:t>
      </w:r>
      <w:r>
        <w:rPr/>
        <w:t>range</w:t>
      </w:r>
      <w:r>
        <w:rPr>
          <w:spacing w:val="-5"/>
        </w:rPr>
        <w:t> </w:t>
      </w:r>
      <w:r>
        <w:rPr/>
        <w:t>of</w:t>
      </w:r>
      <w:r>
        <w:rPr>
          <w:spacing w:val="-3"/>
        </w:rPr>
        <w:t> </w:t>
      </w:r>
      <w:r>
        <w:rPr/>
        <w:t>payment</w:t>
      </w:r>
      <w:r>
        <w:rPr>
          <w:spacing w:val="-1"/>
        </w:rPr>
        <w:t> </w:t>
      </w:r>
      <w:r>
        <w:rPr/>
        <w:t>options</w:t>
      </w:r>
      <w:r>
        <w:rPr>
          <w:spacing w:val="-2"/>
        </w:rPr>
        <w:t> including:</w:t>
      </w:r>
    </w:p>
    <w:p>
      <w:pPr>
        <w:pStyle w:val="ListParagraph"/>
        <w:numPr>
          <w:ilvl w:val="0"/>
          <w:numId w:val="4"/>
        </w:numPr>
        <w:tabs>
          <w:tab w:pos="1799" w:val="left" w:leader="none"/>
          <w:tab w:pos="1800" w:val="left" w:leader="none"/>
        </w:tabs>
        <w:spacing w:line="268" w:lineRule="exact" w:before="1" w:after="0"/>
        <w:ind w:left="1799" w:right="0" w:hanging="360"/>
        <w:jc w:val="left"/>
        <w:rPr>
          <w:sz w:val="22"/>
        </w:rPr>
      </w:pPr>
      <w:r>
        <w:rPr>
          <w:sz w:val="22"/>
        </w:rPr>
        <w:t>online</w:t>
      </w:r>
      <w:r>
        <w:rPr>
          <w:spacing w:val="-7"/>
          <w:sz w:val="22"/>
        </w:rPr>
        <w:t> </w:t>
      </w:r>
      <w:r>
        <w:rPr>
          <w:sz w:val="22"/>
        </w:rPr>
        <w:t>via</w:t>
      </w:r>
      <w:r>
        <w:rPr>
          <w:spacing w:val="-3"/>
          <w:sz w:val="22"/>
        </w:rPr>
        <w:t> </w:t>
      </w:r>
      <w:r>
        <w:rPr>
          <w:sz w:val="22"/>
        </w:rPr>
        <w:t>Council’s</w:t>
      </w:r>
      <w:r>
        <w:rPr>
          <w:spacing w:val="-4"/>
          <w:sz w:val="22"/>
        </w:rPr>
        <w:t> </w:t>
      </w:r>
      <w:r>
        <w:rPr>
          <w:sz w:val="22"/>
        </w:rPr>
        <w:t>ratepayer</w:t>
      </w:r>
      <w:r>
        <w:rPr>
          <w:spacing w:val="-4"/>
          <w:sz w:val="22"/>
        </w:rPr>
        <w:t> </w:t>
      </w:r>
      <w:r>
        <w:rPr>
          <w:sz w:val="22"/>
        </w:rPr>
        <w:t>portal,</w:t>
      </w:r>
      <w:r>
        <w:rPr>
          <w:spacing w:val="-6"/>
          <w:sz w:val="22"/>
        </w:rPr>
        <w:t> </w:t>
      </w:r>
      <w:r>
        <w:rPr>
          <w:sz w:val="22"/>
        </w:rPr>
        <w:t>direct</w:t>
      </w:r>
      <w:r>
        <w:rPr>
          <w:spacing w:val="-2"/>
          <w:sz w:val="22"/>
        </w:rPr>
        <w:t> </w:t>
      </w:r>
      <w:r>
        <w:rPr>
          <w:sz w:val="22"/>
        </w:rPr>
        <w:t>debit</w:t>
      </w:r>
      <w:r>
        <w:rPr>
          <w:spacing w:val="-4"/>
          <w:sz w:val="22"/>
        </w:rPr>
        <w:t> </w:t>
      </w:r>
      <w:r>
        <w:rPr>
          <w:sz w:val="22"/>
        </w:rPr>
        <w:t>(via</w:t>
      </w:r>
      <w:r>
        <w:rPr>
          <w:spacing w:val="-7"/>
          <w:sz w:val="22"/>
        </w:rPr>
        <w:t> </w:t>
      </w:r>
      <w:r>
        <w:rPr>
          <w:sz w:val="22"/>
        </w:rPr>
        <w:t>any</w:t>
      </w:r>
      <w:r>
        <w:rPr>
          <w:spacing w:val="-2"/>
          <w:sz w:val="22"/>
        </w:rPr>
        <w:t> </w:t>
      </w:r>
      <w:r>
        <w:rPr>
          <w:sz w:val="22"/>
        </w:rPr>
        <w:t>standard</w:t>
      </w:r>
      <w:r>
        <w:rPr>
          <w:spacing w:val="-5"/>
          <w:sz w:val="22"/>
        </w:rPr>
        <w:t> </w:t>
      </w:r>
      <w:r>
        <w:rPr>
          <w:sz w:val="22"/>
        </w:rPr>
        <w:t>payment</w:t>
      </w:r>
      <w:r>
        <w:rPr>
          <w:spacing w:val="-4"/>
          <w:sz w:val="22"/>
        </w:rPr>
        <w:t> </w:t>
      </w:r>
      <w:r>
        <w:rPr>
          <w:spacing w:val="-2"/>
          <w:sz w:val="22"/>
        </w:rPr>
        <w:t>method,</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pacing w:val="-4"/>
          <w:sz w:val="22"/>
        </w:rPr>
        <w:t>BPAY</w:t>
      </w:r>
    </w:p>
    <w:p>
      <w:pPr>
        <w:pStyle w:val="ListParagraph"/>
        <w:numPr>
          <w:ilvl w:val="0"/>
          <w:numId w:val="4"/>
        </w:numPr>
        <w:tabs>
          <w:tab w:pos="1799" w:val="left" w:leader="none"/>
          <w:tab w:pos="1800" w:val="left" w:leader="none"/>
        </w:tabs>
        <w:spacing w:line="237" w:lineRule="auto" w:before="2" w:after="0"/>
        <w:ind w:left="1800" w:right="1434" w:hanging="360"/>
        <w:jc w:val="left"/>
        <w:rPr>
          <w:sz w:val="22"/>
        </w:rPr>
      </w:pPr>
      <w:r>
        <w:rPr>
          <w:sz w:val="22"/>
        </w:rPr>
        <w:t>in</w:t>
      </w:r>
      <w:r>
        <w:rPr>
          <w:spacing w:val="33"/>
          <w:sz w:val="22"/>
        </w:rPr>
        <w:t> </w:t>
      </w:r>
      <w:r>
        <w:rPr>
          <w:sz w:val="22"/>
        </w:rPr>
        <w:t>person</w:t>
      </w:r>
      <w:r>
        <w:rPr>
          <w:spacing w:val="35"/>
          <w:sz w:val="22"/>
        </w:rPr>
        <w:t> </w:t>
      </w:r>
      <w:r>
        <w:rPr>
          <w:sz w:val="22"/>
        </w:rPr>
        <w:t>at</w:t>
      </w:r>
      <w:r>
        <w:rPr>
          <w:spacing w:val="35"/>
          <w:sz w:val="22"/>
        </w:rPr>
        <w:t> </w:t>
      </w:r>
      <w:r>
        <w:rPr>
          <w:sz w:val="22"/>
        </w:rPr>
        <w:t>Council</w:t>
      </w:r>
      <w:r>
        <w:rPr>
          <w:spacing w:val="32"/>
          <w:sz w:val="22"/>
        </w:rPr>
        <w:t> </w:t>
      </w:r>
      <w:r>
        <w:rPr>
          <w:sz w:val="22"/>
        </w:rPr>
        <w:t>offices</w:t>
      </w:r>
      <w:r>
        <w:rPr>
          <w:spacing w:val="35"/>
          <w:sz w:val="22"/>
        </w:rPr>
        <w:t> </w:t>
      </w:r>
      <w:r>
        <w:rPr>
          <w:sz w:val="22"/>
        </w:rPr>
        <w:t>(cheques,</w:t>
      </w:r>
      <w:r>
        <w:rPr>
          <w:spacing w:val="32"/>
          <w:sz w:val="22"/>
        </w:rPr>
        <w:t> </w:t>
      </w:r>
      <w:r>
        <w:rPr>
          <w:sz w:val="22"/>
        </w:rPr>
        <w:t>money</w:t>
      </w:r>
      <w:r>
        <w:rPr>
          <w:spacing w:val="32"/>
          <w:sz w:val="22"/>
        </w:rPr>
        <w:t> </w:t>
      </w:r>
      <w:r>
        <w:rPr>
          <w:sz w:val="22"/>
        </w:rPr>
        <w:t>orders, EFTPOS,</w:t>
      </w:r>
      <w:r>
        <w:rPr>
          <w:spacing w:val="32"/>
          <w:sz w:val="22"/>
        </w:rPr>
        <w:t> </w:t>
      </w:r>
      <w:r>
        <w:rPr>
          <w:sz w:val="22"/>
        </w:rPr>
        <w:t>credit/debit</w:t>
      </w:r>
      <w:r>
        <w:rPr>
          <w:spacing w:val="35"/>
          <w:sz w:val="22"/>
        </w:rPr>
        <w:t> </w:t>
      </w:r>
      <w:r>
        <w:rPr>
          <w:sz w:val="22"/>
        </w:rPr>
        <w:t>cards</w:t>
      </w:r>
      <w:r>
        <w:rPr>
          <w:spacing w:val="32"/>
          <w:sz w:val="22"/>
        </w:rPr>
        <w:t> </w:t>
      </w:r>
      <w:r>
        <w:rPr>
          <w:sz w:val="22"/>
        </w:rPr>
        <w:t>and </w:t>
      </w:r>
      <w:r>
        <w:rPr>
          <w:spacing w:val="-2"/>
          <w:sz w:val="22"/>
        </w:rPr>
        <w:t>cash),</w:t>
      </w:r>
    </w:p>
    <w:p>
      <w:pPr>
        <w:pStyle w:val="ListParagraph"/>
        <w:numPr>
          <w:ilvl w:val="0"/>
          <w:numId w:val="4"/>
        </w:numPr>
        <w:tabs>
          <w:tab w:pos="1799" w:val="left" w:leader="none"/>
          <w:tab w:pos="1800" w:val="left" w:leader="none"/>
        </w:tabs>
        <w:spacing w:line="269" w:lineRule="exact" w:before="1" w:after="0"/>
        <w:ind w:left="1799" w:right="0" w:hanging="360"/>
        <w:jc w:val="left"/>
        <w:rPr>
          <w:sz w:val="22"/>
        </w:rPr>
      </w:pPr>
      <w:r>
        <w:rPr>
          <w:sz w:val="22"/>
        </w:rPr>
        <w:t>by</w:t>
      </w:r>
      <w:r>
        <w:rPr>
          <w:spacing w:val="-3"/>
          <w:sz w:val="22"/>
        </w:rPr>
        <w:t> </w:t>
      </w:r>
      <w:r>
        <w:rPr>
          <w:sz w:val="22"/>
        </w:rPr>
        <w:t>mail</w:t>
      </w:r>
      <w:r>
        <w:rPr>
          <w:spacing w:val="-6"/>
          <w:sz w:val="22"/>
        </w:rPr>
        <w:t> </w:t>
      </w:r>
      <w:r>
        <w:rPr>
          <w:sz w:val="22"/>
        </w:rPr>
        <w:t>(cheques</w:t>
      </w:r>
      <w:r>
        <w:rPr>
          <w:spacing w:val="-2"/>
          <w:sz w:val="22"/>
        </w:rPr>
        <w:t> </w:t>
      </w:r>
      <w:r>
        <w:rPr>
          <w:sz w:val="22"/>
        </w:rPr>
        <w:t>and</w:t>
      </w:r>
      <w:r>
        <w:rPr>
          <w:spacing w:val="-5"/>
          <w:sz w:val="22"/>
        </w:rPr>
        <w:t> </w:t>
      </w:r>
      <w:r>
        <w:rPr>
          <w:sz w:val="22"/>
        </w:rPr>
        <w:t>money</w:t>
      </w:r>
      <w:r>
        <w:rPr>
          <w:spacing w:val="-1"/>
          <w:sz w:val="22"/>
        </w:rPr>
        <w:t> </w:t>
      </w:r>
      <w:r>
        <w:rPr>
          <w:sz w:val="22"/>
        </w:rPr>
        <w:t>orders</w:t>
      </w:r>
      <w:r>
        <w:rPr>
          <w:spacing w:val="-2"/>
          <w:sz w:val="22"/>
        </w:rPr>
        <w:t> only).</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pacing w:val="-2"/>
          <w:sz w:val="22"/>
        </w:rPr>
        <w:t>CentrePay</w:t>
      </w:r>
    </w:p>
    <w:p>
      <w:pPr>
        <w:pStyle w:val="BodyText"/>
        <w:spacing w:before="8"/>
        <w:rPr>
          <w:sz w:val="21"/>
        </w:rPr>
      </w:pPr>
    </w:p>
    <w:p>
      <w:pPr>
        <w:pStyle w:val="Heading5"/>
      </w:pPr>
      <w:r>
        <w:rPr/>
        <w:t>Interest</w:t>
      </w:r>
      <w:r>
        <w:rPr>
          <w:spacing w:val="-3"/>
        </w:rPr>
        <w:t> </w:t>
      </w:r>
      <w:r>
        <w:rPr/>
        <w:t>on</w:t>
      </w:r>
      <w:r>
        <w:rPr>
          <w:spacing w:val="-6"/>
        </w:rPr>
        <w:t> </w:t>
      </w:r>
      <w:r>
        <w:rPr/>
        <w:t>arrears</w:t>
      </w:r>
      <w:r>
        <w:rPr>
          <w:spacing w:val="-2"/>
        </w:rPr>
        <w:t> </w:t>
      </w:r>
      <w:r>
        <w:rPr/>
        <w:t>and</w:t>
      </w:r>
      <w:r>
        <w:rPr>
          <w:spacing w:val="-7"/>
        </w:rPr>
        <w:t> </w:t>
      </w:r>
      <w:r>
        <w:rPr/>
        <w:t>overdue</w:t>
      </w:r>
      <w:r>
        <w:rPr>
          <w:spacing w:val="-3"/>
        </w:rPr>
        <w:t> </w:t>
      </w:r>
      <w:r>
        <w:rPr>
          <w:spacing w:val="-4"/>
        </w:rPr>
        <w:t>rates</w:t>
      </w:r>
    </w:p>
    <w:p>
      <w:pPr>
        <w:pStyle w:val="BodyText"/>
        <w:rPr>
          <w:b/>
        </w:rPr>
      </w:pPr>
    </w:p>
    <w:p>
      <w:pPr>
        <w:pStyle w:val="BodyText"/>
        <w:spacing w:before="1"/>
        <w:ind w:left="1440" w:right="1434"/>
        <w:jc w:val="both"/>
      </w:pPr>
      <w:r>
        <w:rPr/>
        <w:t>Interest</w:t>
      </w:r>
      <w:r>
        <w:rPr>
          <w:spacing w:val="-3"/>
        </w:rPr>
        <w:t> </w:t>
      </w:r>
      <w:r>
        <w:rPr/>
        <w:t>is charged</w:t>
      </w:r>
      <w:r>
        <w:rPr>
          <w:spacing w:val="-1"/>
        </w:rPr>
        <w:t> </w:t>
      </w:r>
      <w:r>
        <w:rPr/>
        <w:t>on all overdue rates in accordance</w:t>
      </w:r>
      <w:r>
        <w:rPr>
          <w:spacing w:val="-2"/>
        </w:rPr>
        <w:t> </w:t>
      </w:r>
      <w:r>
        <w:rPr/>
        <w:t>with Section 172 of the</w:t>
      </w:r>
      <w:r>
        <w:rPr>
          <w:spacing w:val="-3"/>
        </w:rPr>
        <w:t> </w:t>
      </w:r>
      <w:r>
        <w:rPr>
          <w:i/>
        </w:rPr>
        <w:t>Local</w:t>
      </w:r>
      <w:r>
        <w:rPr>
          <w:i/>
        </w:rPr>
        <w:t> Government</w:t>
      </w:r>
      <w:r>
        <w:rPr>
          <w:i/>
          <w:spacing w:val="-16"/>
        </w:rPr>
        <w:t> </w:t>
      </w:r>
      <w:r>
        <w:rPr>
          <w:i/>
        </w:rPr>
        <w:t>Act</w:t>
      </w:r>
      <w:r>
        <w:rPr>
          <w:i/>
          <w:spacing w:val="-15"/>
        </w:rPr>
        <w:t> </w:t>
      </w:r>
      <w:r>
        <w:rPr>
          <w:i/>
        </w:rPr>
        <w:t>1989</w:t>
      </w:r>
      <w:r>
        <w:rPr/>
        <w:t>.</w:t>
      </w:r>
      <w:r>
        <w:rPr>
          <w:spacing w:val="-13"/>
        </w:rPr>
        <w:t> </w:t>
      </w:r>
      <w:r>
        <w:rPr/>
        <w:t>The</w:t>
      </w:r>
      <w:r>
        <w:rPr>
          <w:spacing w:val="-16"/>
        </w:rPr>
        <w:t> </w:t>
      </w:r>
      <w:r>
        <w:rPr/>
        <w:t>interest</w:t>
      </w:r>
      <w:r>
        <w:rPr>
          <w:spacing w:val="-15"/>
        </w:rPr>
        <w:t> </w:t>
      </w:r>
      <w:r>
        <w:rPr/>
        <w:t>rate</w:t>
      </w:r>
      <w:r>
        <w:rPr>
          <w:spacing w:val="-15"/>
        </w:rPr>
        <w:t> </w:t>
      </w:r>
      <w:r>
        <w:rPr/>
        <w:t>applied</w:t>
      </w:r>
      <w:r>
        <w:rPr>
          <w:spacing w:val="-5"/>
        </w:rPr>
        <w:t> </w:t>
      </w:r>
      <w:r>
        <w:rPr/>
        <w:t>is</w:t>
      </w:r>
      <w:r>
        <w:rPr>
          <w:spacing w:val="-16"/>
        </w:rPr>
        <w:t> </w:t>
      </w:r>
      <w:r>
        <w:rPr/>
        <w:t>fixed</w:t>
      </w:r>
      <w:r>
        <w:rPr>
          <w:spacing w:val="-3"/>
        </w:rPr>
        <w:t> </w:t>
      </w:r>
      <w:r>
        <w:rPr/>
        <w:t>under</w:t>
      </w:r>
      <w:r>
        <w:rPr>
          <w:spacing w:val="-14"/>
        </w:rPr>
        <w:t> </w:t>
      </w:r>
      <w:r>
        <w:rPr/>
        <w:t>Section</w:t>
      </w:r>
      <w:r>
        <w:rPr>
          <w:spacing w:val="-16"/>
        </w:rPr>
        <w:t> </w:t>
      </w:r>
      <w:r>
        <w:rPr/>
        <w:t>2</w:t>
      </w:r>
      <w:r>
        <w:rPr>
          <w:spacing w:val="-15"/>
        </w:rPr>
        <w:t> </w:t>
      </w:r>
      <w:r>
        <w:rPr/>
        <w:t>of</w:t>
      </w:r>
      <w:r>
        <w:rPr>
          <w:spacing w:val="-15"/>
        </w:rPr>
        <w:t> </w:t>
      </w:r>
      <w:r>
        <w:rPr/>
        <w:t>the</w:t>
      </w:r>
      <w:r>
        <w:rPr>
          <w:spacing w:val="-2"/>
        </w:rPr>
        <w:t> </w:t>
      </w:r>
      <w:r>
        <w:rPr>
          <w:i/>
        </w:rPr>
        <w:t>Penalty</w:t>
      </w:r>
      <w:r>
        <w:rPr>
          <w:i/>
          <w:spacing w:val="-16"/>
        </w:rPr>
        <w:t> </w:t>
      </w:r>
      <w:r>
        <w:rPr>
          <w:i/>
        </w:rPr>
        <w:t>Interest</w:t>
      </w:r>
      <w:r>
        <w:rPr>
          <w:i/>
        </w:rPr>
        <w:t> Rates Act 1983</w:t>
      </w:r>
      <w:r>
        <w:rPr/>
        <w:t>, which is determined by</w:t>
      </w:r>
      <w:r>
        <w:rPr>
          <w:spacing w:val="-1"/>
        </w:rPr>
        <w:t> </w:t>
      </w:r>
      <w:r>
        <w:rPr/>
        <w:t>the Minister and published by notice in the Government</w:t>
      </w:r>
      <w:r>
        <w:rPr>
          <w:spacing w:val="-4"/>
        </w:rPr>
        <w:t> </w:t>
      </w:r>
      <w:r>
        <w:rPr/>
        <w:t>Gazette.</w:t>
      </w:r>
      <w:r>
        <w:rPr>
          <w:spacing w:val="-1"/>
        </w:rPr>
        <w:t> </w:t>
      </w:r>
      <w:r>
        <w:rPr/>
        <w:t>Interest will not be charged to ratepayers that have an active financial assistance or hardship agreement with Council.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31">
            <wp:simplePos x="0" y="0"/>
            <wp:positionH relativeFrom="page">
              <wp:posOffset>27432</wp:posOffset>
            </wp:positionH>
            <wp:positionV relativeFrom="paragraph">
              <wp:posOffset>111434</wp:posOffset>
            </wp:positionV>
            <wp:extent cx="7378567" cy="97440"/>
            <wp:effectExtent l="0" t="0" r="0" b="0"/>
            <wp:wrapTopAndBottom/>
            <wp:docPr id="61" name="image4.png"/>
            <wp:cNvGraphicFramePr>
              <a:graphicFrameLocks noChangeAspect="1"/>
            </wp:cNvGraphicFramePr>
            <a:graphic>
              <a:graphicData uri="http://schemas.openxmlformats.org/drawingml/2006/picture">
                <pic:pic>
                  <pic:nvPicPr>
                    <pic:cNvPr id="62"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3"/>
        </w:rPr>
        <w:sectPr>
          <w:pgSz w:w="11910" w:h="16840"/>
          <w:pgMar w:header="0" w:footer="662" w:top="1360" w:bottom="860" w:left="0" w:right="0"/>
        </w:sectPr>
      </w:pPr>
    </w:p>
    <w:p>
      <w:pPr>
        <w:pStyle w:val="BodyText"/>
        <w:ind w:left="10176"/>
        <w:rPr>
          <w:sz w:val="20"/>
        </w:rPr>
      </w:pPr>
      <w:r>
        <w:rPr/>
        <w:drawing>
          <wp:anchor distT="0" distB="0" distL="0" distR="0" allowOverlap="1" layoutInCell="1" locked="0" behindDoc="0" simplePos="0" relativeHeight="15745024">
            <wp:simplePos x="0" y="0"/>
            <wp:positionH relativeFrom="page">
              <wp:posOffset>0</wp:posOffset>
            </wp:positionH>
            <wp:positionV relativeFrom="page">
              <wp:posOffset>9829800</wp:posOffset>
            </wp:positionV>
            <wp:extent cx="7560564" cy="101981"/>
            <wp:effectExtent l="0" t="0" r="0" b="0"/>
            <wp:wrapNone/>
            <wp:docPr id="63" name="image2.png"/>
            <wp:cNvGraphicFramePr>
              <a:graphicFrameLocks noChangeAspect="1"/>
            </wp:cNvGraphicFramePr>
            <a:graphic>
              <a:graphicData uri="http://schemas.openxmlformats.org/drawingml/2006/picture">
                <pic:pic>
                  <pic:nvPicPr>
                    <pic:cNvPr id="64" name="image2.png"/>
                    <pic:cNvPicPr/>
                  </pic:nvPicPr>
                  <pic:blipFill>
                    <a:blip r:embed="rId7" cstate="print"/>
                    <a:stretch>
                      <a:fillRect/>
                    </a:stretch>
                  </pic:blipFill>
                  <pic:spPr>
                    <a:xfrm>
                      <a:off x="0" y="0"/>
                      <a:ext cx="7560564" cy="101981"/>
                    </a:xfrm>
                    <a:prstGeom prst="rect">
                      <a:avLst/>
                    </a:prstGeom>
                  </pic:spPr>
                </pic:pic>
              </a:graphicData>
            </a:graphic>
          </wp:anchor>
        </w:drawing>
      </w:r>
      <w:r>
        <w:rPr>
          <w:sz w:val="20"/>
        </w:rPr>
        <w:drawing>
          <wp:inline distT="0" distB="0" distL="0" distR="0">
            <wp:extent cx="549977" cy="637031"/>
            <wp:effectExtent l="0" t="0" r="0" b="0"/>
            <wp:docPr id="65" name="image3.png"/>
            <wp:cNvGraphicFramePr>
              <a:graphicFrameLocks noChangeAspect="1"/>
            </wp:cNvGraphicFramePr>
            <a:graphic>
              <a:graphicData uri="http://schemas.openxmlformats.org/drawingml/2006/picture">
                <pic:pic>
                  <pic:nvPicPr>
                    <pic:cNvPr id="66" name="image3.png"/>
                    <pic:cNvPicPr/>
                  </pic:nvPicPr>
                  <pic:blipFill>
                    <a:blip r:embed="rId8" cstate="print"/>
                    <a:stretch>
                      <a:fillRect/>
                    </a:stretch>
                  </pic:blipFill>
                  <pic:spPr>
                    <a:xfrm>
                      <a:off x="0" y="0"/>
                      <a:ext cx="549977" cy="637031"/>
                    </a:xfrm>
                    <a:prstGeom prst="rect">
                      <a:avLst/>
                    </a:prstGeom>
                  </pic:spPr>
                </pic:pic>
              </a:graphicData>
            </a:graphic>
          </wp:inline>
        </w:drawing>
      </w:r>
      <w:r>
        <w:rPr>
          <w:sz w:val="20"/>
        </w:rPr>
      </w:r>
    </w:p>
    <w:p>
      <w:pPr>
        <w:pStyle w:val="Heading5"/>
        <w:spacing w:before="89"/>
      </w:pPr>
      <w:r>
        <w:rPr/>
        <w:t>Pensioner</w:t>
      </w:r>
      <w:r>
        <w:rPr>
          <w:spacing w:val="-3"/>
        </w:rPr>
        <w:t> </w:t>
      </w:r>
      <w:r>
        <w:rPr>
          <w:spacing w:val="-2"/>
        </w:rPr>
        <w:t>concessions</w:t>
      </w:r>
    </w:p>
    <w:p>
      <w:pPr>
        <w:pStyle w:val="BodyText"/>
        <w:spacing w:before="1"/>
        <w:rPr>
          <w:b/>
        </w:rPr>
      </w:pPr>
    </w:p>
    <w:p>
      <w:pPr>
        <w:pStyle w:val="BodyText"/>
        <w:ind w:left="1440" w:right="1434"/>
        <w:jc w:val="both"/>
      </w:pPr>
      <w:r>
        <w:rPr/>
        <w:t>Holders of a Centrelink or Veteran Affairs Pension</w:t>
      </w:r>
      <w:r>
        <w:rPr>
          <w:spacing w:val="-4"/>
        </w:rPr>
        <w:t> </w:t>
      </w:r>
      <w:r>
        <w:rPr/>
        <w:t>Concession card or a Veteran Affairs</w:t>
      </w:r>
      <w:r>
        <w:rPr>
          <w:spacing w:val="40"/>
        </w:rPr>
        <w:t> </w:t>
      </w:r>
      <w:r>
        <w:rPr/>
        <w:t>Gold</w:t>
      </w:r>
      <w:r>
        <w:rPr>
          <w:spacing w:val="-1"/>
        </w:rPr>
        <w:t> </w:t>
      </w:r>
      <w:r>
        <w:rPr/>
        <w:t>card</w:t>
      </w:r>
      <w:r>
        <w:rPr>
          <w:spacing w:val="-4"/>
        </w:rPr>
        <w:t> </w:t>
      </w:r>
      <w:r>
        <w:rPr/>
        <w:t>which</w:t>
      </w:r>
      <w:r>
        <w:rPr>
          <w:spacing w:val="-1"/>
        </w:rPr>
        <w:t> </w:t>
      </w:r>
      <w:r>
        <w:rPr/>
        <w:t>stipulates TPI or War Widow</w:t>
      </w:r>
      <w:r>
        <w:rPr>
          <w:spacing w:val="-2"/>
        </w:rPr>
        <w:t> </w:t>
      </w:r>
      <w:r>
        <w:rPr/>
        <w:t>may claim a rebate on</w:t>
      </w:r>
      <w:r>
        <w:rPr>
          <w:spacing w:val="-4"/>
        </w:rPr>
        <w:t> </w:t>
      </w:r>
      <w:r>
        <w:rPr/>
        <w:t>their sole or principal place of residence. Upon initial</w:t>
      </w:r>
      <w:r>
        <w:rPr>
          <w:spacing w:val="-3"/>
        </w:rPr>
        <w:t> </w:t>
      </w:r>
      <w:r>
        <w:rPr/>
        <w:t>application, ongoing eligibility is maintained, unless</w:t>
      </w:r>
      <w:r>
        <w:rPr>
          <w:spacing w:val="-3"/>
        </w:rPr>
        <w:t> </w:t>
      </w:r>
      <w:r>
        <w:rPr/>
        <w:t>rejected by Centrelink or</w:t>
      </w:r>
      <w:r>
        <w:rPr>
          <w:spacing w:val="-2"/>
        </w:rPr>
        <w:t> </w:t>
      </w:r>
      <w:r>
        <w:rPr/>
        <w:t>the</w:t>
      </w:r>
      <w:r>
        <w:rPr>
          <w:spacing w:val="-3"/>
        </w:rPr>
        <w:t> </w:t>
      </w:r>
      <w:r>
        <w:rPr/>
        <w:t>Department</w:t>
      </w:r>
      <w:r>
        <w:rPr>
          <w:spacing w:val="-2"/>
        </w:rPr>
        <w:t> </w:t>
      </w:r>
      <w:r>
        <w:rPr/>
        <w:t>of Veteran</w:t>
      </w:r>
      <w:r>
        <w:rPr>
          <w:spacing w:val="-3"/>
        </w:rPr>
        <w:t> </w:t>
      </w:r>
      <w:r>
        <w:rPr/>
        <w:t>Affairs during the annual verification procedure. Upon</w:t>
      </w:r>
      <w:r>
        <w:rPr>
          <w:spacing w:val="-2"/>
        </w:rPr>
        <w:t> </w:t>
      </w:r>
      <w:r>
        <w:rPr/>
        <w:t>confirmation</w:t>
      </w:r>
      <w:r>
        <w:rPr>
          <w:spacing w:val="-6"/>
        </w:rPr>
        <w:t> </w:t>
      </w:r>
      <w:r>
        <w:rPr/>
        <w:t>of</w:t>
      </w:r>
      <w:r>
        <w:rPr>
          <w:spacing w:val="-2"/>
        </w:rPr>
        <w:t> </w:t>
      </w:r>
      <w:r>
        <w:rPr/>
        <w:t>an</w:t>
      </w:r>
      <w:r>
        <w:rPr>
          <w:spacing w:val="-4"/>
        </w:rPr>
        <w:t> </w:t>
      </w:r>
      <w:r>
        <w:rPr/>
        <w:t>eligible</w:t>
      </w:r>
      <w:r>
        <w:rPr>
          <w:spacing w:val="-4"/>
        </w:rPr>
        <w:t> </w:t>
      </w:r>
      <w:r>
        <w:rPr/>
        <w:t>pensioner</w:t>
      </w:r>
      <w:r>
        <w:rPr>
          <w:spacing w:val="-1"/>
        </w:rPr>
        <w:t> </w:t>
      </w:r>
      <w:r>
        <w:rPr/>
        <w:t>concession</w:t>
      </w:r>
      <w:r>
        <w:rPr>
          <w:spacing w:val="-2"/>
        </w:rPr>
        <w:t> </w:t>
      </w:r>
      <w:r>
        <w:rPr/>
        <w:t>status,</w:t>
      </w:r>
      <w:r>
        <w:rPr>
          <w:spacing w:val="-1"/>
        </w:rPr>
        <w:t> </w:t>
      </w:r>
      <w:r>
        <w:rPr/>
        <w:t>an</w:t>
      </w:r>
      <w:r>
        <w:rPr>
          <w:spacing w:val="-4"/>
        </w:rPr>
        <w:t> </w:t>
      </w:r>
      <w:r>
        <w:rPr/>
        <w:t>amended</w:t>
      </w:r>
      <w:r>
        <w:rPr>
          <w:spacing w:val="-2"/>
        </w:rPr>
        <w:t> </w:t>
      </w:r>
      <w:r>
        <w:rPr/>
        <w:t>rate</w:t>
      </w:r>
      <w:r>
        <w:rPr>
          <w:spacing w:val="-2"/>
        </w:rPr>
        <w:t> </w:t>
      </w:r>
      <w:r>
        <w:rPr/>
        <w:t>notice</w:t>
      </w:r>
      <w:r>
        <w:rPr>
          <w:spacing w:val="-4"/>
        </w:rPr>
        <w:t> </w:t>
      </w:r>
      <w:r>
        <w:rPr/>
        <w:t>will</w:t>
      </w:r>
      <w:r>
        <w:rPr>
          <w:spacing w:val="-2"/>
        </w:rPr>
        <w:t> </w:t>
      </w:r>
      <w:r>
        <w:rPr/>
        <w:t>be sent within 10 business days.</w:t>
      </w:r>
    </w:p>
    <w:p>
      <w:pPr>
        <w:pStyle w:val="BodyText"/>
      </w:pPr>
    </w:p>
    <w:p>
      <w:pPr>
        <w:pStyle w:val="BodyText"/>
        <w:ind w:left="1440" w:right="1433"/>
        <w:jc w:val="both"/>
      </w:pPr>
      <w:r>
        <w:rPr/>
        <w:t>With regards to</w:t>
      </w:r>
      <w:r>
        <w:rPr>
          <w:spacing w:val="-1"/>
        </w:rPr>
        <w:t> </w:t>
      </w:r>
      <w:r>
        <w:rPr/>
        <w:t>new applicants, after being granted a</w:t>
      </w:r>
      <w:r>
        <w:rPr>
          <w:spacing w:val="-6"/>
        </w:rPr>
        <w:t> </w:t>
      </w:r>
      <w:r>
        <w:rPr/>
        <w:t>Pensioner Concession Card (PCC), pensioners</w:t>
      </w:r>
      <w:r>
        <w:rPr>
          <w:spacing w:val="40"/>
        </w:rPr>
        <w:t>  </w:t>
      </w:r>
      <w:r>
        <w:rPr/>
        <w:t>can</w:t>
      </w:r>
      <w:r>
        <w:rPr>
          <w:spacing w:val="40"/>
        </w:rPr>
        <w:t>  </w:t>
      </w:r>
      <w:r>
        <w:rPr/>
        <w:t>then</w:t>
      </w:r>
      <w:r>
        <w:rPr>
          <w:spacing w:val="-4"/>
        </w:rPr>
        <w:t> </w:t>
      </w:r>
      <w:r>
        <w:rPr/>
        <w:t>apply</w:t>
      </w:r>
      <w:r>
        <w:rPr>
          <w:spacing w:val="40"/>
        </w:rPr>
        <w:t>  </w:t>
      </w:r>
      <w:r>
        <w:rPr/>
        <w:t>for</w:t>
      </w:r>
      <w:r>
        <w:rPr>
          <w:spacing w:val="40"/>
        </w:rPr>
        <w:t>  </w:t>
      </w:r>
      <w:r>
        <w:rPr/>
        <w:t>the</w:t>
      </w:r>
      <w:r>
        <w:rPr>
          <w:spacing w:val="40"/>
        </w:rPr>
        <w:t>  </w:t>
      </w:r>
      <w:r>
        <w:rPr/>
        <w:t>concession</w:t>
      </w:r>
      <w:r>
        <w:rPr>
          <w:spacing w:val="40"/>
        </w:rPr>
        <w:t>  </w:t>
      </w:r>
      <w:r>
        <w:rPr/>
        <w:t>at</w:t>
      </w:r>
      <w:r>
        <w:rPr>
          <w:spacing w:val="40"/>
        </w:rPr>
        <w:t>  </w:t>
      </w:r>
      <w:r>
        <w:rPr/>
        <w:t>any</w:t>
      </w:r>
      <w:r>
        <w:rPr>
          <w:spacing w:val="40"/>
        </w:rPr>
        <w:t>  </w:t>
      </w:r>
      <w:r>
        <w:rPr/>
        <w:t>time</w:t>
      </w:r>
      <w:r>
        <w:rPr>
          <w:spacing w:val="40"/>
        </w:rPr>
        <w:t>  </w:t>
      </w:r>
      <w:r>
        <w:rPr/>
        <w:t>throughout</w:t>
      </w:r>
      <w:r>
        <w:rPr>
          <w:spacing w:val="40"/>
        </w:rPr>
        <w:t>  </w:t>
      </w:r>
      <w:r>
        <w:rPr/>
        <w:t>the</w:t>
      </w:r>
      <w:r>
        <w:rPr>
          <w:spacing w:val="40"/>
        </w:rPr>
        <w:t> </w:t>
      </w:r>
      <w:r>
        <w:rPr/>
        <w:t>rating</w:t>
      </w:r>
      <w:r>
        <w:rPr>
          <w:spacing w:val="-1"/>
        </w:rPr>
        <w:t> </w:t>
      </w:r>
      <w:r>
        <w:rPr/>
        <w:t>year.</w:t>
      </w:r>
      <w:r>
        <w:rPr>
          <w:spacing w:val="-1"/>
        </w:rPr>
        <w:t> </w:t>
      </w:r>
      <w:r>
        <w:rPr/>
        <w:t>Retrospective claims up to a</w:t>
      </w:r>
      <w:r>
        <w:rPr>
          <w:spacing w:val="-3"/>
        </w:rPr>
        <w:t> </w:t>
      </w:r>
      <w:r>
        <w:rPr/>
        <w:t>maximum of one</w:t>
      </w:r>
      <w:r>
        <w:rPr>
          <w:spacing w:val="-3"/>
        </w:rPr>
        <w:t> </w:t>
      </w:r>
      <w:r>
        <w:rPr/>
        <w:t>previous financial year can be approved</w:t>
      </w:r>
      <w:r>
        <w:rPr>
          <w:spacing w:val="-6"/>
        </w:rPr>
        <w:t> </w:t>
      </w:r>
      <w:r>
        <w:rPr/>
        <w:t>by</w:t>
      </w:r>
      <w:r>
        <w:rPr>
          <w:spacing w:val="-6"/>
        </w:rPr>
        <w:t> </w:t>
      </w:r>
      <w:r>
        <w:rPr/>
        <w:t>Council</w:t>
      </w:r>
      <w:r>
        <w:rPr>
          <w:spacing w:val="-2"/>
        </w:rPr>
        <w:t> </w:t>
      </w:r>
      <w:r>
        <w:rPr/>
        <w:t>on</w:t>
      </w:r>
      <w:r>
        <w:rPr>
          <w:spacing w:val="-4"/>
        </w:rPr>
        <w:t> </w:t>
      </w:r>
      <w:r>
        <w:rPr/>
        <w:t>verification</w:t>
      </w:r>
      <w:r>
        <w:rPr>
          <w:spacing w:val="-6"/>
        </w:rPr>
        <w:t> </w:t>
      </w:r>
      <w:r>
        <w:rPr/>
        <w:t>of</w:t>
      </w:r>
      <w:r>
        <w:rPr>
          <w:spacing w:val="-4"/>
        </w:rPr>
        <w:t> </w:t>
      </w:r>
      <w:r>
        <w:rPr/>
        <w:t>eligibility</w:t>
      </w:r>
      <w:r>
        <w:rPr>
          <w:spacing w:val="-2"/>
        </w:rPr>
        <w:t> </w:t>
      </w:r>
      <w:r>
        <w:rPr/>
        <w:t>criteria,</w:t>
      </w:r>
      <w:r>
        <w:rPr>
          <w:spacing w:val="-6"/>
        </w:rPr>
        <w:t> </w:t>
      </w:r>
      <w:r>
        <w:rPr/>
        <w:t>for</w:t>
      </w:r>
      <w:r>
        <w:rPr>
          <w:spacing w:val="-6"/>
        </w:rPr>
        <w:t> </w:t>
      </w:r>
      <w:r>
        <w:rPr/>
        <w:t>periods</w:t>
      </w:r>
      <w:r>
        <w:rPr>
          <w:spacing w:val="-6"/>
        </w:rPr>
        <w:t> </w:t>
      </w:r>
      <w:r>
        <w:rPr/>
        <w:t>prior</w:t>
      </w:r>
      <w:r>
        <w:rPr>
          <w:spacing w:val="-6"/>
        </w:rPr>
        <w:t> </w:t>
      </w:r>
      <w:r>
        <w:rPr/>
        <w:t>to</w:t>
      </w:r>
      <w:r>
        <w:rPr>
          <w:spacing w:val="-8"/>
        </w:rPr>
        <w:t> </w:t>
      </w:r>
      <w:r>
        <w:rPr/>
        <w:t>this</w:t>
      </w:r>
      <w:r>
        <w:rPr>
          <w:spacing w:val="-2"/>
        </w:rPr>
        <w:t> </w:t>
      </w:r>
      <w:r>
        <w:rPr/>
        <w:t>claims</w:t>
      </w:r>
      <w:r>
        <w:rPr>
          <w:spacing w:val="-4"/>
        </w:rPr>
        <w:t> </w:t>
      </w:r>
      <w:r>
        <w:rPr/>
        <w:t>may</w:t>
      </w:r>
      <w:r>
        <w:rPr>
          <w:spacing w:val="-4"/>
        </w:rPr>
        <w:t> </w:t>
      </w:r>
      <w:r>
        <w:rPr/>
        <w:t>be approved by the relevant government department.</w:t>
      </w:r>
    </w:p>
    <w:p>
      <w:pPr>
        <w:pStyle w:val="BodyText"/>
        <w:spacing w:before="1"/>
      </w:pPr>
    </w:p>
    <w:p>
      <w:pPr>
        <w:pStyle w:val="Heading5"/>
      </w:pPr>
      <w:r>
        <w:rPr/>
        <w:t>Deferred</w:t>
      </w:r>
      <w:r>
        <w:rPr>
          <w:spacing w:val="-3"/>
        </w:rPr>
        <w:t> </w:t>
      </w:r>
      <w:r>
        <w:rPr>
          <w:spacing w:val="-2"/>
        </w:rPr>
        <w:t>payments</w:t>
      </w:r>
    </w:p>
    <w:p>
      <w:pPr>
        <w:pStyle w:val="BodyText"/>
        <w:spacing w:before="10"/>
        <w:rPr>
          <w:b/>
          <w:sz w:val="21"/>
        </w:rPr>
      </w:pPr>
    </w:p>
    <w:p>
      <w:pPr>
        <w:pStyle w:val="BodyText"/>
        <w:ind w:left="1440" w:right="1435"/>
        <w:jc w:val="both"/>
      </w:pPr>
      <w:r>
        <w:rPr/>
        <w:t>Under</w:t>
      </w:r>
      <w:r>
        <w:rPr>
          <w:spacing w:val="-3"/>
        </w:rPr>
        <w:t> </w:t>
      </w:r>
      <w:r>
        <w:rPr/>
        <w:t>Section</w:t>
      </w:r>
      <w:r>
        <w:rPr>
          <w:spacing w:val="-5"/>
        </w:rPr>
        <w:t> </w:t>
      </w:r>
      <w:r>
        <w:rPr/>
        <w:t>170</w:t>
      </w:r>
      <w:r>
        <w:rPr>
          <w:spacing w:val="-5"/>
        </w:rPr>
        <w:t> </w:t>
      </w:r>
      <w:r>
        <w:rPr/>
        <w:t>of</w:t>
      </w:r>
      <w:r>
        <w:rPr>
          <w:spacing w:val="-5"/>
        </w:rPr>
        <w:t> </w:t>
      </w:r>
      <w:r>
        <w:rPr/>
        <w:t>the</w:t>
      </w:r>
      <w:r>
        <w:rPr>
          <w:spacing w:val="-5"/>
        </w:rPr>
        <w:t> </w:t>
      </w:r>
      <w:r>
        <w:rPr>
          <w:i/>
        </w:rPr>
        <w:t>Local</w:t>
      </w:r>
      <w:r>
        <w:rPr>
          <w:i/>
          <w:spacing w:val="-5"/>
        </w:rPr>
        <w:t> </w:t>
      </w:r>
      <w:r>
        <w:rPr>
          <w:i/>
        </w:rPr>
        <w:t>Government</w:t>
      </w:r>
      <w:r>
        <w:rPr>
          <w:i/>
          <w:spacing w:val="-7"/>
        </w:rPr>
        <w:t> </w:t>
      </w:r>
      <w:r>
        <w:rPr>
          <w:i/>
        </w:rPr>
        <w:t>Act</w:t>
      </w:r>
      <w:r>
        <w:rPr>
          <w:i/>
          <w:spacing w:val="-3"/>
        </w:rPr>
        <w:t> </w:t>
      </w:r>
      <w:r>
        <w:rPr>
          <w:i/>
        </w:rPr>
        <w:t>1989</w:t>
      </w:r>
      <w:r>
        <w:rPr/>
        <w:t>,</w:t>
      </w:r>
      <w:r>
        <w:rPr>
          <w:spacing w:val="-1"/>
        </w:rPr>
        <w:t> </w:t>
      </w:r>
      <w:r>
        <w:rPr/>
        <w:t>Council</w:t>
      </w:r>
      <w:r>
        <w:rPr>
          <w:spacing w:val="-7"/>
        </w:rPr>
        <w:t> </w:t>
      </w:r>
      <w:r>
        <w:rPr/>
        <w:t>may</w:t>
      </w:r>
      <w:r>
        <w:rPr>
          <w:spacing w:val="-5"/>
        </w:rPr>
        <w:t> </w:t>
      </w:r>
      <w:r>
        <w:rPr/>
        <w:t>defer</w:t>
      </w:r>
      <w:r>
        <w:rPr>
          <w:spacing w:val="-6"/>
        </w:rPr>
        <w:t> </w:t>
      </w:r>
      <w:r>
        <w:rPr/>
        <w:t>the</w:t>
      </w:r>
      <w:r>
        <w:rPr>
          <w:spacing w:val="-5"/>
        </w:rPr>
        <w:t> </w:t>
      </w:r>
      <w:r>
        <w:rPr/>
        <w:t>payment</w:t>
      </w:r>
      <w:r>
        <w:rPr>
          <w:spacing w:val="-2"/>
        </w:rPr>
        <w:t> </w:t>
      </w:r>
      <w:r>
        <w:rPr/>
        <w:t>of</w:t>
      </w:r>
      <w:r>
        <w:rPr>
          <w:spacing w:val="-3"/>
        </w:rPr>
        <w:t> </w:t>
      </w:r>
      <w:r>
        <w:rPr/>
        <w:t>any rate or charge for</w:t>
      </w:r>
      <w:r>
        <w:rPr>
          <w:spacing w:val="-1"/>
        </w:rPr>
        <w:t> </w:t>
      </w:r>
      <w:r>
        <w:rPr/>
        <w:t>an</w:t>
      </w:r>
      <w:r>
        <w:rPr>
          <w:spacing w:val="-1"/>
        </w:rPr>
        <w:t> </w:t>
      </w:r>
      <w:r>
        <w:rPr/>
        <w:t>eligible ratepayer</w:t>
      </w:r>
      <w:r>
        <w:rPr>
          <w:spacing w:val="-1"/>
        </w:rPr>
        <w:t> </w:t>
      </w:r>
      <w:r>
        <w:rPr/>
        <w:t>whose property is their sole place</w:t>
      </w:r>
      <w:r>
        <w:rPr>
          <w:spacing w:val="-1"/>
        </w:rPr>
        <w:t> </w:t>
      </w:r>
      <w:r>
        <w:rPr/>
        <w:t>of residency, allowing</w:t>
      </w:r>
      <w:r>
        <w:rPr>
          <w:spacing w:val="40"/>
        </w:rPr>
        <w:t> </w:t>
      </w:r>
      <w:r>
        <w:rPr/>
        <w:t>ratepayers</w:t>
      </w:r>
      <w:r>
        <w:rPr>
          <w:spacing w:val="40"/>
        </w:rPr>
        <w:t> </w:t>
      </w:r>
      <w:r>
        <w:rPr/>
        <w:t>an</w:t>
      </w:r>
      <w:r>
        <w:rPr>
          <w:spacing w:val="40"/>
        </w:rPr>
        <w:t> </w:t>
      </w:r>
      <w:r>
        <w:rPr/>
        <w:t>extended</w:t>
      </w:r>
      <w:r>
        <w:rPr>
          <w:spacing w:val="40"/>
        </w:rPr>
        <w:t> </w:t>
      </w:r>
      <w:r>
        <w:rPr/>
        <w:t>period</w:t>
      </w:r>
      <w:r>
        <w:rPr>
          <w:spacing w:val="-5"/>
        </w:rPr>
        <w:t> </w:t>
      </w:r>
      <w:r>
        <w:rPr/>
        <w:t>of</w:t>
      </w:r>
      <w:r>
        <w:rPr>
          <w:spacing w:val="40"/>
        </w:rPr>
        <w:t> </w:t>
      </w:r>
      <w:r>
        <w:rPr/>
        <w:t>time</w:t>
      </w:r>
      <w:r>
        <w:rPr>
          <w:spacing w:val="40"/>
        </w:rPr>
        <w:t> </w:t>
      </w:r>
      <w:r>
        <w:rPr/>
        <w:t>to</w:t>
      </w:r>
      <w:r>
        <w:rPr>
          <w:spacing w:val="40"/>
        </w:rPr>
        <w:t> </w:t>
      </w:r>
      <w:r>
        <w:rPr/>
        <w:t>make</w:t>
      </w:r>
      <w:r>
        <w:rPr>
          <w:spacing w:val="40"/>
        </w:rPr>
        <w:t> </w:t>
      </w:r>
      <w:r>
        <w:rPr/>
        <w:t>payments</w:t>
      </w:r>
      <w:r>
        <w:rPr>
          <w:spacing w:val="40"/>
        </w:rPr>
        <w:t> </w:t>
      </w:r>
      <w:r>
        <w:rPr/>
        <w:t>or</w:t>
      </w:r>
      <w:r>
        <w:rPr>
          <w:spacing w:val="40"/>
        </w:rPr>
        <w:t> </w:t>
      </w:r>
      <w:r>
        <w:rPr/>
        <w:t>alternatively</w:t>
      </w:r>
      <w:r>
        <w:rPr>
          <w:spacing w:val="40"/>
        </w:rPr>
        <w:t> </w:t>
      </w:r>
      <w:r>
        <w:rPr/>
        <w:t>to forestall</w:t>
      </w:r>
      <w:r>
        <w:rPr>
          <w:spacing w:val="-2"/>
        </w:rPr>
        <w:t> </w:t>
      </w:r>
      <w:r>
        <w:rPr/>
        <w:t>payments</w:t>
      </w:r>
      <w:r>
        <w:rPr>
          <w:spacing w:val="-7"/>
        </w:rPr>
        <w:t> </w:t>
      </w:r>
      <w:r>
        <w:rPr/>
        <w:t>on</w:t>
      </w:r>
      <w:r>
        <w:rPr>
          <w:spacing w:val="-6"/>
        </w:rPr>
        <w:t> </w:t>
      </w:r>
      <w:r>
        <w:rPr/>
        <w:t>an</w:t>
      </w:r>
      <w:r>
        <w:rPr>
          <w:spacing w:val="-5"/>
        </w:rPr>
        <w:t> </w:t>
      </w:r>
      <w:r>
        <w:rPr/>
        <w:t>indefinite</w:t>
      </w:r>
      <w:r>
        <w:rPr>
          <w:spacing w:val="-4"/>
        </w:rPr>
        <w:t> </w:t>
      </w:r>
      <w:r>
        <w:rPr/>
        <w:t>basis</w:t>
      </w:r>
      <w:r>
        <w:rPr>
          <w:spacing w:val="-4"/>
        </w:rPr>
        <w:t> </w:t>
      </w:r>
      <w:r>
        <w:rPr/>
        <w:t>until</w:t>
      </w:r>
      <w:r>
        <w:rPr>
          <w:spacing w:val="-4"/>
        </w:rPr>
        <w:t> </w:t>
      </w:r>
      <w:r>
        <w:rPr/>
        <w:t>the</w:t>
      </w:r>
      <w:r>
        <w:rPr>
          <w:spacing w:val="-8"/>
        </w:rPr>
        <w:t> </w:t>
      </w:r>
      <w:r>
        <w:rPr/>
        <w:t>ratepayer</w:t>
      </w:r>
      <w:r>
        <w:rPr>
          <w:spacing w:val="-2"/>
        </w:rPr>
        <w:t> </w:t>
      </w:r>
      <w:r>
        <w:rPr/>
        <w:t>ceases</w:t>
      </w:r>
      <w:r>
        <w:rPr>
          <w:spacing w:val="-8"/>
        </w:rPr>
        <w:t> </w:t>
      </w:r>
      <w:r>
        <w:rPr/>
        <w:t>to</w:t>
      </w:r>
      <w:r>
        <w:rPr>
          <w:spacing w:val="-5"/>
        </w:rPr>
        <w:t> </w:t>
      </w:r>
      <w:r>
        <w:rPr/>
        <w:t>own</w:t>
      </w:r>
      <w:r>
        <w:rPr>
          <w:spacing w:val="-10"/>
        </w:rPr>
        <w:t> </w:t>
      </w:r>
      <w:r>
        <w:rPr/>
        <w:t>or</w:t>
      </w:r>
      <w:r>
        <w:rPr>
          <w:spacing w:val="-2"/>
        </w:rPr>
        <w:t> </w:t>
      </w:r>
      <w:r>
        <w:rPr/>
        <w:t>occupy</w:t>
      </w:r>
      <w:r>
        <w:rPr>
          <w:spacing w:val="-6"/>
        </w:rPr>
        <w:t> </w:t>
      </w:r>
      <w:r>
        <w:rPr/>
        <w:t>the</w:t>
      </w:r>
      <w:r>
        <w:rPr>
          <w:spacing w:val="-6"/>
        </w:rPr>
        <w:t> </w:t>
      </w:r>
      <w:r>
        <w:rPr/>
        <w:t>land in respect of which rates and charges are to be levied.</w:t>
      </w:r>
    </w:p>
    <w:p>
      <w:pPr>
        <w:pStyle w:val="BodyText"/>
        <w:spacing w:before="1"/>
      </w:pPr>
    </w:p>
    <w:p>
      <w:pPr>
        <w:pStyle w:val="BodyText"/>
        <w:ind w:left="1440" w:right="1433"/>
        <w:jc w:val="both"/>
      </w:pPr>
      <w:r>
        <w:rPr/>
        <w:t>Deferral of</w:t>
      </w:r>
      <w:r>
        <w:rPr>
          <w:spacing w:val="-1"/>
        </w:rPr>
        <w:t> </w:t>
      </w:r>
      <w:r>
        <w:rPr/>
        <w:t>rates and charges are available to all</w:t>
      </w:r>
      <w:r>
        <w:rPr>
          <w:spacing w:val="-5"/>
        </w:rPr>
        <w:t> </w:t>
      </w:r>
      <w:r>
        <w:rPr/>
        <w:t>ratepayers who have severe circumstances and</w:t>
      </w:r>
      <w:r>
        <w:rPr>
          <w:spacing w:val="-16"/>
        </w:rPr>
        <w:t> </w:t>
      </w:r>
      <w:r>
        <w:rPr/>
        <w:t>proven</w:t>
      </w:r>
      <w:r>
        <w:rPr>
          <w:spacing w:val="-15"/>
        </w:rPr>
        <w:t> </w:t>
      </w:r>
      <w:r>
        <w:rPr/>
        <w:t>financial</w:t>
      </w:r>
      <w:r>
        <w:rPr>
          <w:spacing w:val="-15"/>
        </w:rPr>
        <w:t> </w:t>
      </w:r>
      <w:r>
        <w:rPr/>
        <w:t>difficulties.</w:t>
      </w:r>
      <w:r>
        <w:rPr>
          <w:spacing w:val="-16"/>
        </w:rPr>
        <w:t> </w:t>
      </w:r>
      <w:r>
        <w:rPr/>
        <w:t>Applications</w:t>
      </w:r>
      <w:r>
        <w:rPr>
          <w:spacing w:val="-13"/>
        </w:rPr>
        <w:t> </w:t>
      </w:r>
      <w:r>
        <w:rPr/>
        <w:t>are</w:t>
      </w:r>
      <w:r>
        <w:rPr>
          <w:spacing w:val="-16"/>
        </w:rPr>
        <w:t> </w:t>
      </w:r>
      <w:r>
        <w:rPr/>
        <w:t>required</w:t>
      </w:r>
      <w:r>
        <w:rPr>
          <w:spacing w:val="-14"/>
        </w:rPr>
        <w:t> </w:t>
      </w:r>
      <w:r>
        <w:rPr/>
        <w:t>in</w:t>
      </w:r>
      <w:r>
        <w:rPr>
          <w:spacing w:val="-15"/>
        </w:rPr>
        <w:t> </w:t>
      </w:r>
      <w:r>
        <w:rPr/>
        <w:t>line</w:t>
      </w:r>
      <w:r>
        <w:rPr>
          <w:spacing w:val="-14"/>
        </w:rPr>
        <w:t> </w:t>
      </w:r>
      <w:r>
        <w:rPr/>
        <w:t>with</w:t>
      </w:r>
      <w:r>
        <w:rPr>
          <w:spacing w:val="-14"/>
        </w:rPr>
        <w:t> </w:t>
      </w:r>
      <w:r>
        <w:rPr/>
        <w:t>Council’s</w:t>
      </w:r>
      <w:r>
        <w:rPr>
          <w:spacing w:val="-14"/>
        </w:rPr>
        <w:t> </w:t>
      </w:r>
      <w:r>
        <w:rPr/>
        <w:t>Rates</w:t>
      </w:r>
      <w:r>
        <w:rPr>
          <w:spacing w:val="-14"/>
        </w:rPr>
        <w:t> </w:t>
      </w:r>
      <w:r>
        <w:rPr/>
        <w:t>Financial Hardship Policy.</w:t>
      </w:r>
    </w:p>
    <w:p>
      <w:pPr>
        <w:spacing w:after="0"/>
        <w:jc w:val="both"/>
        <w:sectPr>
          <w:pgSz w:w="11910" w:h="16840"/>
          <w:pgMar w:header="0" w:footer="662" w:top="580" w:bottom="860" w:left="0" w:right="0"/>
        </w:sectPr>
      </w:pPr>
    </w:p>
    <w:p>
      <w:pPr>
        <w:pStyle w:val="Heading1"/>
        <w:numPr>
          <w:ilvl w:val="0"/>
          <w:numId w:val="13"/>
        </w:numPr>
        <w:tabs>
          <w:tab w:pos="2159" w:val="left" w:leader="none"/>
        </w:tabs>
        <w:spacing w:line="240" w:lineRule="auto" w:before="62" w:after="0"/>
        <w:ind w:left="2158" w:right="0" w:hanging="719"/>
        <w:jc w:val="left"/>
        <w:rPr>
          <w:color w:val="134295"/>
        </w:rPr>
      </w:pPr>
      <w:bookmarkStart w:name="_TOC_250010" w:id="12"/>
      <w:r>
        <w:rPr>
          <w:color w:val="134295"/>
        </w:rPr>
        <w:t>Financial </w:t>
      </w:r>
      <w:bookmarkEnd w:id="12"/>
      <w:r>
        <w:rPr>
          <w:color w:val="134295"/>
          <w:spacing w:val="-2"/>
        </w:rPr>
        <w:t>Difficulty</w:t>
      </w:r>
    </w:p>
    <w:p>
      <w:pPr>
        <w:pStyle w:val="BodyText"/>
        <w:spacing w:before="280"/>
        <w:ind w:left="1440" w:right="1434"/>
        <w:jc w:val="both"/>
      </w:pPr>
      <w:r>
        <w:rPr/>
        <w:t>To ensure equity and fairness in the administration of rates and charges,</w:t>
      </w:r>
      <w:r>
        <w:rPr>
          <w:spacing w:val="-1"/>
        </w:rPr>
        <w:t> </w:t>
      </w:r>
      <w:r>
        <w:rPr/>
        <w:t>Council recognises the importance of providing support to ratepayers facing financial hardship. The Rates Financial</w:t>
      </w:r>
      <w:r>
        <w:rPr>
          <w:spacing w:val="-16"/>
        </w:rPr>
        <w:t> </w:t>
      </w:r>
      <w:r>
        <w:rPr/>
        <w:t>Hardship</w:t>
      </w:r>
      <w:r>
        <w:rPr>
          <w:spacing w:val="-15"/>
        </w:rPr>
        <w:t> </w:t>
      </w:r>
      <w:r>
        <w:rPr/>
        <w:t>Policy</w:t>
      </w:r>
      <w:r>
        <w:rPr>
          <w:spacing w:val="-15"/>
        </w:rPr>
        <w:t> </w:t>
      </w:r>
      <w:r>
        <w:rPr/>
        <w:t>is</w:t>
      </w:r>
      <w:r>
        <w:rPr>
          <w:spacing w:val="-16"/>
        </w:rPr>
        <w:t> </w:t>
      </w:r>
      <w:r>
        <w:rPr/>
        <w:t>designed</w:t>
      </w:r>
      <w:r>
        <w:rPr>
          <w:spacing w:val="-15"/>
        </w:rPr>
        <w:t> </w:t>
      </w:r>
      <w:r>
        <w:rPr/>
        <w:t>to</w:t>
      </w:r>
      <w:r>
        <w:rPr>
          <w:spacing w:val="-15"/>
        </w:rPr>
        <w:t> </w:t>
      </w:r>
      <w:r>
        <w:rPr/>
        <w:t>address</w:t>
      </w:r>
      <w:r>
        <w:rPr>
          <w:spacing w:val="-15"/>
        </w:rPr>
        <w:t> </w:t>
      </w:r>
      <w:r>
        <w:rPr/>
        <w:t>the</w:t>
      </w:r>
      <w:r>
        <w:rPr>
          <w:spacing w:val="-16"/>
        </w:rPr>
        <w:t> </w:t>
      </w:r>
      <w:r>
        <w:rPr/>
        <w:t>specific</w:t>
      </w:r>
      <w:r>
        <w:rPr>
          <w:spacing w:val="-15"/>
        </w:rPr>
        <w:t> </w:t>
      </w:r>
      <w:r>
        <w:rPr/>
        <w:t>needs</w:t>
      </w:r>
      <w:r>
        <w:rPr>
          <w:spacing w:val="-15"/>
        </w:rPr>
        <w:t> </w:t>
      </w:r>
      <w:r>
        <w:rPr/>
        <w:t>of</w:t>
      </w:r>
      <w:r>
        <w:rPr>
          <w:spacing w:val="-16"/>
        </w:rPr>
        <w:t> </w:t>
      </w:r>
      <w:r>
        <w:rPr/>
        <w:t>ratepayers</w:t>
      </w:r>
      <w:r>
        <w:rPr>
          <w:spacing w:val="-15"/>
        </w:rPr>
        <w:t> </w:t>
      </w:r>
      <w:r>
        <w:rPr/>
        <w:t>experiencing financial difficulties, offering equitable and fair solutions to manage rates and charges while maintaining the financial sustainability of Council.</w:t>
      </w:r>
    </w:p>
    <w:p>
      <w:pPr>
        <w:pStyle w:val="BodyText"/>
        <w:spacing w:before="2"/>
        <w:rPr>
          <w:sz w:val="24"/>
        </w:rPr>
      </w:pPr>
    </w:p>
    <w:p>
      <w:pPr>
        <w:pStyle w:val="BodyText"/>
        <w:spacing w:before="1"/>
        <w:ind w:left="1440" w:right="1432"/>
        <w:jc w:val="both"/>
      </w:pPr>
      <w:r>
        <w:rPr/>
        <w:t>Council</w:t>
      </w:r>
      <w:r>
        <w:rPr>
          <w:spacing w:val="-16"/>
        </w:rPr>
        <w:t> </w:t>
      </w:r>
      <w:r>
        <w:rPr/>
        <w:t>understands</w:t>
      </w:r>
      <w:r>
        <w:rPr>
          <w:spacing w:val="-14"/>
        </w:rPr>
        <w:t> </w:t>
      </w:r>
      <w:r>
        <w:rPr/>
        <w:t>that</w:t>
      </w:r>
      <w:r>
        <w:rPr>
          <w:spacing w:val="-15"/>
        </w:rPr>
        <w:t> </w:t>
      </w:r>
      <w:r>
        <w:rPr/>
        <w:t>financial</w:t>
      </w:r>
      <w:r>
        <w:rPr>
          <w:spacing w:val="-13"/>
        </w:rPr>
        <w:t> </w:t>
      </w:r>
      <w:r>
        <w:rPr/>
        <w:t>hardship</w:t>
      </w:r>
      <w:r>
        <w:rPr>
          <w:spacing w:val="-14"/>
        </w:rPr>
        <w:t> </w:t>
      </w:r>
      <w:r>
        <w:rPr/>
        <w:t>can</w:t>
      </w:r>
      <w:r>
        <w:rPr>
          <w:spacing w:val="-14"/>
        </w:rPr>
        <w:t> </w:t>
      </w:r>
      <w:r>
        <w:rPr/>
        <w:t>arise</w:t>
      </w:r>
      <w:r>
        <w:rPr>
          <w:spacing w:val="-13"/>
        </w:rPr>
        <w:t> </w:t>
      </w:r>
      <w:r>
        <w:rPr/>
        <w:t>due</w:t>
      </w:r>
      <w:r>
        <w:rPr>
          <w:spacing w:val="-13"/>
        </w:rPr>
        <w:t> </w:t>
      </w:r>
      <w:r>
        <w:rPr/>
        <w:t>to</w:t>
      </w:r>
      <w:r>
        <w:rPr>
          <w:spacing w:val="-15"/>
        </w:rPr>
        <w:t> </w:t>
      </w:r>
      <w:r>
        <w:rPr/>
        <w:t>various</w:t>
      </w:r>
      <w:r>
        <w:rPr>
          <w:spacing w:val="-15"/>
        </w:rPr>
        <w:t> </w:t>
      </w:r>
      <w:r>
        <w:rPr/>
        <w:t>reasons</w:t>
      </w:r>
      <w:r>
        <w:rPr>
          <w:spacing w:val="-15"/>
        </w:rPr>
        <w:t> </w:t>
      </w:r>
      <w:r>
        <w:rPr/>
        <w:t>and</w:t>
      </w:r>
      <w:r>
        <w:rPr>
          <w:spacing w:val="-14"/>
        </w:rPr>
        <w:t> </w:t>
      </w:r>
      <w:r>
        <w:rPr/>
        <w:t>is</w:t>
      </w:r>
      <w:r>
        <w:rPr>
          <w:spacing w:val="-13"/>
        </w:rPr>
        <w:t> </w:t>
      </w:r>
      <w:r>
        <w:rPr/>
        <w:t>committed to working with ratepayers to find suitable payment arrangements that are fair and manageable. Open communication is encouraged, and ratepayers are urged to seek assistance as soon as they anticipate or experience financial difficulties.</w:t>
      </w:r>
    </w:p>
    <w:p>
      <w:pPr>
        <w:pStyle w:val="BodyText"/>
        <w:spacing w:before="5"/>
        <w:rPr>
          <w:sz w:val="24"/>
        </w:rPr>
      </w:pPr>
    </w:p>
    <w:p>
      <w:pPr>
        <w:pStyle w:val="BodyText"/>
        <w:ind w:left="1440" w:right="1436"/>
        <w:jc w:val="both"/>
      </w:pPr>
      <w:r>
        <w:rPr/>
        <w:t>When assessing applications for financial hardship, individual circumstances, including income, expenses, and extenuating circumstances are given due consideration. Flexible payment options, such as extended payment plans or deferred payments, are provided to ensure ratepayers can meet their obligations without undue financial burden.</w:t>
      </w:r>
    </w:p>
    <w:p>
      <w:pPr>
        <w:pStyle w:val="BodyText"/>
        <w:spacing w:before="3"/>
        <w:rPr>
          <w:sz w:val="24"/>
        </w:rPr>
      </w:pPr>
    </w:p>
    <w:p>
      <w:pPr>
        <w:pStyle w:val="BodyText"/>
        <w:spacing w:before="1"/>
        <w:ind w:left="1440" w:right="1436"/>
        <w:jc w:val="both"/>
      </w:pPr>
      <w:r>
        <w:rPr/>
        <w:t>By incorporating equity and fairness into rates financial hardship support, Council aims to create a responsive system that meets the needs of ratepayers while maintaining financial stability. Continuous review and improvement of policies and processes are undertaken to ensure fair and respectful treatment of all ratepayers.</w:t>
      </w:r>
    </w:p>
    <w:p>
      <w:pPr>
        <w:pStyle w:val="BodyText"/>
        <w:spacing w:before="11"/>
        <w:rPr>
          <w:sz w:val="21"/>
        </w:rPr>
      </w:pPr>
    </w:p>
    <w:p>
      <w:pPr>
        <w:spacing w:before="0"/>
        <w:ind w:left="1440" w:right="1435" w:firstLine="0"/>
        <w:jc w:val="both"/>
        <w:rPr>
          <w:sz w:val="22"/>
        </w:rPr>
      </w:pPr>
      <w:r>
        <w:rPr>
          <w:sz w:val="22"/>
        </w:rPr>
        <w:t>Whilst</w:t>
      </w:r>
      <w:r>
        <w:rPr>
          <w:spacing w:val="-10"/>
          <w:sz w:val="22"/>
        </w:rPr>
        <w:t> </w:t>
      </w:r>
      <w:r>
        <w:rPr>
          <w:sz w:val="22"/>
        </w:rPr>
        <w:t>the</w:t>
      </w:r>
      <w:r>
        <w:rPr>
          <w:spacing w:val="-8"/>
          <w:sz w:val="22"/>
        </w:rPr>
        <w:t> </w:t>
      </w:r>
      <w:r>
        <w:rPr>
          <w:sz w:val="22"/>
        </w:rPr>
        <w:t>collection</w:t>
      </w:r>
      <w:r>
        <w:rPr>
          <w:spacing w:val="-8"/>
          <w:sz w:val="22"/>
        </w:rPr>
        <w:t> </w:t>
      </w:r>
      <w:r>
        <w:rPr>
          <w:sz w:val="22"/>
        </w:rPr>
        <w:t>of</w:t>
      </w:r>
      <w:r>
        <w:rPr>
          <w:spacing w:val="-8"/>
          <w:sz w:val="22"/>
        </w:rPr>
        <w:t> </w:t>
      </w:r>
      <w:r>
        <w:rPr>
          <w:sz w:val="22"/>
        </w:rPr>
        <w:t>rates</w:t>
      </w:r>
      <w:r>
        <w:rPr>
          <w:spacing w:val="-8"/>
          <w:sz w:val="22"/>
        </w:rPr>
        <w:t> </w:t>
      </w:r>
      <w:r>
        <w:rPr>
          <w:sz w:val="22"/>
        </w:rPr>
        <w:t>and</w:t>
      </w:r>
      <w:r>
        <w:rPr>
          <w:spacing w:val="-10"/>
          <w:sz w:val="22"/>
        </w:rPr>
        <w:t> </w:t>
      </w:r>
      <w:r>
        <w:rPr>
          <w:sz w:val="22"/>
        </w:rPr>
        <w:t>charges</w:t>
      </w:r>
      <w:r>
        <w:rPr>
          <w:spacing w:val="-8"/>
          <w:sz w:val="22"/>
        </w:rPr>
        <w:t> </w:t>
      </w:r>
      <w:r>
        <w:rPr>
          <w:sz w:val="22"/>
        </w:rPr>
        <w:t>at</w:t>
      </w:r>
      <w:r>
        <w:rPr>
          <w:spacing w:val="-11"/>
          <w:sz w:val="22"/>
        </w:rPr>
        <w:t> </w:t>
      </w:r>
      <w:r>
        <w:rPr>
          <w:sz w:val="22"/>
        </w:rPr>
        <w:t>Maroondah</w:t>
      </w:r>
      <w:r>
        <w:rPr>
          <w:spacing w:val="-10"/>
          <w:sz w:val="22"/>
        </w:rPr>
        <w:t> </w:t>
      </w:r>
      <w:r>
        <w:rPr>
          <w:sz w:val="22"/>
        </w:rPr>
        <w:t>City</w:t>
      </w:r>
      <w:r>
        <w:rPr>
          <w:spacing w:val="-8"/>
          <w:sz w:val="22"/>
        </w:rPr>
        <w:t> </w:t>
      </w:r>
      <w:r>
        <w:rPr>
          <w:sz w:val="22"/>
        </w:rPr>
        <w:t>Council</w:t>
      </w:r>
      <w:r>
        <w:rPr>
          <w:spacing w:val="-11"/>
          <w:sz w:val="22"/>
        </w:rPr>
        <w:t> </w:t>
      </w:r>
      <w:r>
        <w:rPr>
          <w:sz w:val="22"/>
        </w:rPr>
        <w:t>is</w:t>
      </w:r>
      <w:r>
        <w:rPr>
          <w:spacing w:val="-8"/>
          <w:sz w:val="22"/>
        </w:rPr>
        <w:t> </w:t>
      </w:r>
      <w:r>
        <w:rPr>
          <w:sz w:val="22"/>
        </w:rPr>
        <w:t>in</w:t>
      </w:r>
      <w:r>
        <w:rPr>
          <w:spacing w:val="-12"/>
          <w:sz w:val="22"/>
        </w:rPr>
        <w:t> </w:t>
      </w:r>
      <w:r>
        <w:rPr>
          <w:sz w:val="22"/>
        </w:rPr>
        <w:t>accordance</w:t>
      </w:r>
      <w:r>
        <w:rPr>
          <w:spacing w:val="-10"/>
          <w:sz w:val="22"/>
        </w:rPr>
        <w:t> </w:t>
      </w:r>
      <w:r>
        <w:rPr>
          <w:sz w:val="22"/>
        </w:rPr>
        <w:t>with</w:t>
      </w:r>
      <w:r>
        <w:rPr>
          <w:spacing w:val="-11"/>
          <w:sz w:val="22"/>
        </w:rPr>
        <w:t> </w:t>
      </w:r>
      <w:r>
        <w:rPr>
          <w:sz w:val="22"/>
        </w:rPr>
        <w:t>the </w:t>
      </w:r>
      <w:r>
        <w:rPr>
          <w:i/>
          <w:sz w:val="22"/>
        </w:rPr>
        <w:t>Local Government Act 1989</w:t>
      </w:r>
      <w:r>
        <w:rPr>
          <w:sz w:val="22"/>
        </w:rPr>
        <w:t>, Council offers the below programs as an alternative payment option for those experiencing financial difficulty. These programs along with the Financial Hardship Policy have been introduced and documented in line with the </w:t>
      </w:r>
      <w:r>
        <w:rPr>
          <w:i/>
          <w:sz w:val="22"/>
        </w:rPr>
        <w:t>Local Government</w:t>
      </w:r>
      <w:r>
        <w:rPr>
          <w:i/>
          <w:sz w:val="22"/>
        </w:rPr>
        <w:t> Legislative Amendment (Rating and Other matters) Act 2020</w:t>
      </w:r>
      <w:r>
        <w:rPr>
          <w:sz w:val="22"/>
        </w:rPr>
        <w:t>.</w:t>
      </w:r>
    </w:p>
    <w:p>
      <w:pPr>
        <w:pStyle w:val="BodyText"/>
        <w:spacing w:before="10"/>
        <w:rPr>
          <w:sz w:val="21"/>
        </w:rPr>
      </w:pPr>
    </w:p>
    <w:p>
      <w:pPr>
        <w:pStyle w:val="Heading5"/>
      </w:pPr>
      <w:r>
        <w:rPr/>
        <w:t>Financial</w:t>
      </w:r>
      <w:r>
        <w:rPr>
          <w:spacing w:val="-7"/>
        </w:rPr>
        <w:t> </w:t>
      </w:r>
      <w:r>
        <w:rPr/>
        <w:t>Assistance</w:t>
      </w:r>
      <w:r>
        <w:rPr>
          <w:spacing w:val="-7"/>
        </w:rPr>
        <w:t> </w:t>
      </w:r>
      <w:r>
        <w:rPr>
          <w:spacing w:val="-2"/>
        </w:rPr>
        <w:t>Program</w:t>
      </w:r>
    </w:p>
    <w:p>
      <w:pPr>
        <w:pStyle w:val="BodyText"/>
        <w:spacing w:before="1"/>
        <w:rPr>
          <w:b/>
        </w:rPr>
      </w:pPr>
    </w:p>
    <w:p>
      <w:pPr>
        <w:pStyle w:val="BodyText"/>
        <w:ind w:left="1440"/>
      </w:pPr>
      <w:r>
        <w:rPr/>
        <w:t>This</w:t>
      </w:r>
      <w:r>
        <w:rPr>
          <w:spacing w:val="-3"/>
        </w:rPr>
        <w:t> </w:t>
      </w:r>
      <w:r>
        <w:rPr/>
        <w:t>program</w:t>
      </w:r>
      <w:r>
        <w:rPr>
          <w:spacing w:val="-2"/>
        </w:rPr>
        <w:t> </w:t>
      </w:r>
      <w:r>
        <w:rPr/>
        <w:t>has</w:t>
      </w:r>
      <w:r>
        <w:rPr>
          <w:spacing w:val="-5"/>
        </w:rPr>
        <w:t> </w:t>
      </w:r>
      <w:r>
        <w:rPr/>
        <w:t>three</w:t>
      </w:r>
      <w:r>
        <w:rPr>
          <w:spacing w:val="-6"/>
        </w:rPr>
        <w:t> </w:t>
      </w:r>
      <w:r>
        <w:rPr/>
        <w:t>different </w:t>
      </w:r>
      <w:r>
        <w:rPr>
          <w:spacing w:val="-2"/>
        </w:rPr>
        <w:t>options:</w:t>
      </w:r>
    </w:p>
    <w:p>
      <w:pPr>
        <w:pStyle w:val="ListParagraph"/>
        <w:numPr>
          <w:ilvl w:val="0"/>
          <w:numId w:val="4"/>
        </w:numPr>
        <w:tabs>
          <w:tab w:pos="1799" w:val="left" w:leader="none"/>
          <w:tab w:pos="1800" w:val="left" w:leader="none"/>
        </w:tabs>
        <w:spacing w:line="268" w:lineRule="exact" w:before="1" w:after="0"/>
        <w:ind w:left="1799" w:right="0" w:hanging="360"/>
        <w:jc w:val="left"/>
        <w:rPr>
          <w:sz w:val="22"/>
        </w:rPr>
      </w:pPr>
      <w:r>
        <w:rPr>
          <w:sz w:val="22"/>
          <w:u w:val="single"/>
        </w:rPr>
        <w:t>General</w:t>
      </w:r>
      <w:r>
        <w:rPr>
          <w:spacing w:val="-7"/>
          <w:sz w:val="22"/>
          <w:u w:val="single"/>
        </w:rPr>
        <w:t> </w:t>
      </w:r>
      <w:r>
        <w:rPr>
          <w:sz w:val="22"/>
          <w:u w:val="single"/>
        </w:rPr>
        <w:t>payment</w:t>
      </w:r>
      <w:r>
        <w:rPr>
          <w:spacing w:val="-2"/>
          <w:sz w:val="22"/>
          <w:u w:val="single"/>
        </w:rPr>
        <w:t> </w:t>
      </w:r>
      <w:r>
        <w:rPr>
          <w:spacing w:val="-4"/>
          <w:sz w:val="22"/>
          <w:u w:val="single"/>
        </w:rPr>
        <w:t>plan</w:t>
      </w:r>
    </w:p>
    <w:p>
      <w:pPr>
        <w:pStyle w:val="BodyText"/>
        <w:ind w:left="1800" w:right="1342"/>
      </w:pPr>
      <w:r>
        <w:rPr/>
        <w:t>For ratepayers who have the ability to pay before 30 June. However not within Council’s standard payment options (i.e. Weekly payments spread over the full financial year).</w:t>
      </w:r>
    </w:p>
    <w:p>
      <w:pPr>
        <w:pStyle w:val="ListParagraph"/>
        <w:numPr>
          <w:ilvl w:val="0"/>
          <w:numId w:val="4"/>
        </w:numPr>
        <w:tabs>
          <w:tab w:pos="1799" w:val="left" w:leader="none"/>
          <w:tab w:pos="1800" w:val="left" w:leader="none"/>
        </w:tabs>
        <w:spacing w:line="268" w:lineRule="exact" w:before="1" w:after="0"/>
        <w:ind w:left="1799" w:right="0" w:hanging="360"/>
        <w:jc w:val="left"/>
        <w:rPr>
          <w:sz w:val="22"/>
        </w:rPr>
      </w:pPr>
      <w:r>
        <w:rPr>
          <w:sz w:val="22"/>
          <w:u w:val="single"/>
        </w:rPr>
        <w:t>General</w:t>
      </w:r>
      <w:r>
        <w:rPr>
          <w:spacing w:val="-5"/>
          <w:sz w:val="22"/>
          <w:u w:val="single"/>
        </w:rPr>
        <w:t> </w:t>
      </w:r>
      <w:r>
        <w:rPr>
          <w:sz w:val="22"/>
          <w:u w:val="single"/>
        </w:rPr>
        <w:t>Ad</w:t>
      </w:r>
      <w:r>
        <w:rPr>
          <w:spacing w:val="-2"/>
          <w:sz w:val="22"/>
          <w:u w:val="single"/>
        </w:rPr>
        <w:t> </w:t>
      </w:r>
      <w:r>
        <w:rPr>
          <w:sz w:val="22"/>
          <w:u w:val="single"/>
        </w:rPr>
        <w:t>Hoc</w:t>
      </w:r>
      <w:r>
        <w:rPr>
          <w:spacing w:val="-2"/>
          <w:sz w:val="22"/>
          <w:u w:val="single"/>
        </w:rPr>
        <w:t> </w:t>
      </w:r>
      <w:r>
        <w:rPr>
          <w:spacing w:val="-4"/>
          <w:sz w:val="22"/>
          <w:u w:val="single"/>
        </w:rPr>
        <w:t>plan</w:t>
      </w:r>
    </w:p>
    <w:p>
      <w:pPr>
        <w:pStyle w:val="BodyText"/>
        <w:spacing w:line="252" w:lineRule="exact"/>
        <w:ind w:left="1800"/>
      </w:pPr>
      <w:r>
        <w:rPr/>
        <w:t>For</w:t>
      </w:r>
      <w:r>
        <w:rPr>
          <w:spacing w:val="-1"/>
        </w:rPr>
        <w:t> </w:t>
      </w:r>
      <w:r>
        <w:rPr/>
        <w:t>ratepayers</w:t>
      </w:r>
      <w:r>
        <w:rPr>
          <w:spacing w:val="-2"/>
        </w:rPr>
        <w:t> </w:t>
      </w:r>
      <w:r>
        <w:rPr/>
        <w:t>who</w:t>
      </w:r>
      <w:r>
        <w:rPr>
          <w:spacing w:val="-3"/>
        </w:rPr>
        <w:t> </w:t>
      </w:r>
      <w:r>
        <w:rPr/>
        <w:t>require</w:t>
      </w:r>
      <w:r>
        <w:rPr>
          <w:spacing w:val="-1"/>
        </w:rPr>
        <w:t> </w:t>
      </w:r>
      <w:r>
        <w:rPr/>
        <w:t>a</w:t>
      </w:r>
      <w:r>
        <w:rPr>
          <w:spacing w:val="-6"/>
        </w:rPr>
        <w:t> </w:t>
      </w:r>
      <w:r>
        <w:rPr/>
        <w:t>short</w:t>
      </w:r>
      <w:r>
        <w:rPr>
          <w:spacing w:val="-3"/>
        </w:rPr>
        <w:t> </w:t>
      </w:r>
      <w:r>
        <w:rPr/>
        <w:t>term</w:t>
      </w:r>
      <w:r>
        <w:rPr>
          <w:spacing w:val="-2"/>
        </w:rPr>
        <w:t> </w:t>
      </w:r>
      <w:r>
        <w:rPr/>
        <w:t>extension</w:t>
      </w:r>
      <w:r>
        <w:rPr>
          <w:spacing w:val="-4"/>
        </w:rPr>
        <w:t> </w:t>
      </w:r>
      <w:r>
        <w:rPr/>
        <w:t>on</w:t>
      </w:r>
      <w:r>
        <w:rPr>
          <w:spacing w:val="-1"/>
        </w:rPr>
        <w:t> </w:t>
      </w:r>
      <w:r>
        <w:rPr/>
        <w:t>a</w:t>
      </w:r>
      <w:r>
        <w:rPr>
          <w:spacing w:val="-6"/>
        </w:rPr>
        <w:t> </w:t>
      </w:r>
      <w:r>
        <w:rPr/>
        <w:t>due</w:t>
      </w:r>
      <w:r>
        <w:rPr>
          <w:spacing w:val="-1"/>
        </w:rPr>
        <w:t> </w:t>
      </w:r>
      <w:r>
        <w:rPr>
          <w:spacing w:val="-2"/>
        </w:rPr>
        <w:t>date.</w:t>
      </w:r>
    </w:p>
    <w:p>
      <w:pPr>
        <w:pStyle w:val="ListParagraph"/>
        <w:numPr>
          <w:ilvl w:val="0"/>
          <w:numId w:val="4"/>
        </w:numPr>
        <w:tabs>
          <w:tab w:pos="1799" w:val="left" w:leader="none"/>
          <w:tab w:pos="1800" w:val="left" w:leader="none"/>
        </w:tabs>
        <w:spacing w:line="267" w:lineRule="exact" w:before="1" w:after="0"/>
        <w:ind w:left="1799" w:right="0" w:hanging="360"/>
        <w:jc w:val="left"/>
        <w:rPr>
          <w:sz w:val="22"/>
        </w:rPr>
      </w:pPr>
      <w:r>
        <w:rPr>
          <w:sz w:val="22"/>
          <w:u w:val="single"/>
        </w:rPr>
        <w:t>Interest</w:t>
      </w:r>
      <w:r>
        <w:rPr>
          <w:spacing w:val="-5"/>
          <w:sz w:val="22"/>
          <w:u w:val="single"/>
        </w:rPr>
        <w:t> </w:t>
      </w:r>
      <w:r>
        <w:rPr>
          <w:spacing w:val="-2"/>
          <w:sz w:val="22"/>
          <w:u w:val="single"/>
        </w:rPr>
        <w:t>waiver</w:t>
      </w:r>
    </w:p>
    <w:p>
      <w:pPr>
        <w:pStyle w:val="BodyText"/>
        <w:ind w:left="1800" w:right="1342"/>
        <w:rPr>
          <w:rFonts w:ascii="Tahoma"/>
        </w:rPr>
      </w:pPr>
      <w:r>
        <w:rPr>
          <w:rFonts w:ascii="Tahoma"/>
        </w:rPr>
        <w:t>For ratepayers who have been charged interest due to unforeseen and uncharacteristic like circumstances resulting in late payment.</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3"/>
        <w:rPr>
          <w:rFonts w:ascii="Tahoma"/>
          <w:sz w:val="23"/>
        </w:rPr>
      </w:pPr>
      <w:r>
        <w:rPr/>
        <w:drawing>
          <wp:anchor distT="0" distB="0" distL="0" distR="0" allowOverlap="1" layoutInCell="1" locked="0" behindDoc="0" simplePos="0" relativeHeight="33">
            <wp:simplePos x="0" y="0"/>
            <wp:positionH relativeFrom="page">
              <wp:posOffset>27432</wp:posOffset>
            </wp:positionH>
            <wp:positionV relativeFrom="paragraph">
              <wp:posOffset>193477</wp:posOffset>
            </wp:positionV>
            <wp:extent cx="7378567" cy="97440"/>
            <wp:effectExtent l="0" t="0" r="0" b="0"/>
            <wp:wrapTopAndBottom/>
            <wp:docPr id="67" name="image4.png"/>
            <wp:cNvGraphicFramePr>
              <a:graphicFrameLocks noChangeAspect="1"/>
            </wp:cNvGraphicFramePr>
            <a:graphic>
              <a:graphicData uri="http://schemas.openxmlformats.org/drawingml/2006/picture">
                <pic:pic>
                  <pic:nvPicPr>
                    <pic:cNvPr id="68"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rFonts w:ascii="Tahoma"/>
          <w:sz w:val="23"/>
        </w:rPr>
        <w:sectPr>
          <w:pgSz w:w="11910" w:h="16840"/>
          <w:pgMar w:header="0" w:footer="662" w:top="1360" w:bottom="860" w:left="0" w:right="0"/>
        </w:sectPr>
      </w:pPr>
    </w:p>
    <w:p>
      <w:pPr>
        <w:pStyle w:val="BodyText"/>
        <w:rPr>
          <w:rFonts w:ascii="Tahoma"/>
          <w:sz w:val="20"/>
        </w:rPr>
      </w:pPr>
    </w:p>
    <w:p>
      <w:pPr>
        <w:pStyle w:val="BodyText"/>
        <w:rPr>
          <w:rFonts w:ascii="Tahoma"/>
          <w:sz w:val="20"/>
        </w:rPr>
      </w:pPr>
    </w:p>
    <w:p>
      <w:pPr>
        <w:pStyle w:val="BodyText"/>
        <w:spacing w:before="11"/>
        <w:rPr>
          <w:rFonts w:ascii="Tahoma"/>
          <w:sz w:val="21"/>
        </w:rPr>
      </w:pPr>
    </w:p>
    <w:p>
      <w:pPr>
        <w:pStyle w:val="Heading5"/>
        <w:spacing w:before="94"/>
        <w:jc w:val="left"/>
      </w:pPr>
      <w:r>
        <w:rPr/>
        <w:drawing>
          <wp:anchor distT="0" distB="0" distL="0" distR="0" allowOverlap="1" layoutInCell="1" locked="0" behindDoc="0" simplePos="0" relativeHeight="15746048">
            <wp:simplePos x="0" y="0"/>
            <wp:positionH relativeFrom="page">
              <wp:posOffset>6461760</wp:posOffset>
            </wp:positionH>
            <wp:positionV relativeFrom="paragraph">
              <wp:posOffset>-479833</wp:posOffset>
            </wp:positionV>
            <wp:extent cx="545591" cy="637031"/>
            <wp:effectExtent l="0" t="0" r="0" b="0"/>
            <wp:wrapNone/>
            <wp:docPr id="69" name="image3.png"/>
            <wp:cNvGraphicFramePr>
              <a:graphicFrameLocks noChangeAspect="1"/>
            </wp:cNvGraphicFramePr>
            <a:graphic>
              <a:graphicData uri="http://schemas.openxmlformats.org/drawingml/2006/picture">
                <pic:pic>
                  <pic:nvPicPr>
                    <pic:cNvPr id="70" name="image3.png"/>
                    <pic:cNvPicPr/>
                  </pic:nvPicPr>
                  <pic:blipFill>
                    <a:blip r:embed="rId8" cstate="print"/>
                    <a:stretch>
                      <a:fillRect/>
                    </a:stretch>
                  </pic:blipFill>
                  <pic:spPr>
                    <a:xfrm>
                      <a:off x="0" y="0"/>
                      <a:ext cx="545591" cy="637031"/>
                    </a:xfrm>
                    <a:prstGeom prst="rect">
                      <a:avLst/>
                    </a:prstGeom>
                  </pic:spPr>
                </pic:pic>
              </a:graphicData>
            </a:graphic>
          </wp:anchor>
        </w:drawing>
      </w:r>
      <w:r>
        <w:rPr/>
        <w:t>Financial</w:t>
      </w:r>
      <w:r>
        <w:rPr>
          <w:spacing w:val="-4"/>
        </w:rPr>
        <w:t> </w:t>
      </w:r>
      <w:r>
        <w:rPr/>
        <w:t>Hardship</w:t>
      </w:r>
      <w:r>
        <w:rPr>
          <w:spacing w:val="-4"/>
        </w:rPr>
        <w:t> </w:t>
      </w:r>
      <w:r>
        <w:rPr>
          <w:spacing w:val="-2"/>
        </w:rPr>
        <w:t>Program</w:t>
      </w:r>
    </w:p>
    <w:p>
      <w:pPr>
        <w:pStyle w:val="BodyText"/>
        <w:spacing w:before="10"/>
        <w:rPr>
          <w:b/>
          <w:sz w:val="13"/>
        </w:rPr>
      </w:pPr>
    </w:p>
    <w:p>
      <w:pPr>
        <w:pStyle w:val="BodyText"/>
        <w:spacing w:before="94"/>
        <w:ind w:left="1440"/>
        <w:jc w:val="both"/>
      </w:pPr>
      <w:r>
        <w:rPr/>
        <w:t>This</w:t>
      </w:r>
      <w:r>
        <w:rPr>
          <w:spacing w:val="-3"/>
        </w:rPr>
        <w:t> </w:t>
      </w:r>
      <w:r>
        <w:rPr/>
        <w:t>program</w:t>
      </w:r>
      <w:r>
        <w:rPr>
          <w:spacing w:val="-2"/>
        </w:rPr>
        <w:t> </w:t>
      </w:r>
      <w:r>
        <w:rPr/>
        <w:t>has</w:t>
      </w:r>
      <w:r>
        <w:rPr>
          <w:spacing w:val="-5"/>
        </w:rPr>
        <w:t> </w:t>
      </w:r>
      <w:r>
        <w:rPr/>
        <w:t>three</w:t>
      </w:r>
      <w:r>
        <w:rPr>
          <w:spacing w:val="-6"/>
        </w:rPr>
        <w:t> </w:t>
      </w:r>
      <w:r>
        <w:rPr/>
        <w:t>different </w:t>
      </w:r>
      <w:r>
        <w:rPr>
          <w:spacing w:val="-2"/>
        </w:rPr>
        <w:t>options:</w:t>
      </w:r>
    </w:p>
    <w:p>
      <w:pPr>
        <w:pStyle w:val="ListParagraph"/>
        <w:numPr>
          <w:ilvl w:val="0"/>
          <w:numId w:val="4"/>
        </w:numPr>
        <w:tabs>
          <w:tab w:pos="1800" w:val="left" w:leader="none"/>
        </w:tabs>
        <w:spacing w:line="268" w:lineRule="exact" w:before="1" w:after="0"/>
        <w:ind w:left="1799" w:right="0" w:hanging="360"/>
        <w:jc w:val="both"/>
        <w:rPr>
          <w:sz w:val="22"/>
        </w:rPr>
      </w:pPr>
      <w:r>
        <w:rPr>
          <w:sz w:val="22"/>
          <w:u w:val="single"/>
        </w:rPr>
        <w:t>Financial</w:t>
      </w:r>
      <w:r>
        <w:rPr>
          <w:spacing w:val="-4"/>
          <w:sz w:val="22"/>
          <w:u w:val="single"/>
        </w:rPr>
        <w:t> </w:t>
      </w:r>
      <w:r>
        <w:rPr>
          <w:sz w:val="22"/>
          <w:u w:val="single"/>
        </w:rPr>
        <w:t>hardship</w:t>
      </w:r>
      <w:r>
        <w:rPr>
          <w:spacing w:val="-6"/>
          <w:sz w:val="22"/>
          <w:u w:val="single"/>
        </w:rPr>
        <w:t> </w:t>
      </w:r>
      <w:r>
        <w:rPr>
          <w:sz w:val="22"/>
          <w:u w:val="single"/>
        </w:rPr>
        <w:t>payment</w:t>
      </w:r>
      <w:r>
        <w:rPr>
          <w:spacing w:val="-1"/>
          <w:sz w:val="22"/>
          <w:u w:val="single"/>
        </w:rPr>
        <w:t> </w:t>
      </w:r>
      <w:r>
        <w:rPr>
          <w:spacing w:val="-4"/>
          <w:sz w:val="22"/>
          <w:u w:val="single"/>
        </w:rPr>
        <w:t>plan</w:t>
      </w:r>
    </w:p>
    <w:p>
      <w:pPr>
        <w:pStyle w:val="BodyText"/>
        <w:ind w:left="1800" w:right="1436"/>
        <w:jc w:val="both"/>
      </w:pPr>
      <w:r>
        <w:rPr/>
        <w:t>For ratepayers who are unable to meet their financial commitment to pay their Council rates by 30 June due to circumstances beyond their control. Council will accept minimal payments that may not see current or arrears paid before the end of the financial year.</w:t>
      </w:r>
    </w:p>
    <w:p>
      <w:pPr>
        <w:pStyle w:val="ListParagraph"/>
        <w:numPr>
          <w:ilvl w:val="0"/>
          <w:numId w:val="4"/>
        </w:numPr>
        <w:tabs>
          <w:tab w:pos="1800" w:val="left" w:leader="none"/>
        </w:tabs>
        <w:spacing w:line="268" w:lineRule="exact" w:before="0" w:after="0"/>
        <w:ind w:left="1799" w:right="0" w:hanging="360"/>
        <w:jc w:val="both"/>
        <w:rPr>
          <w:sz w:val="22"/>
        </w:rPr>
      </w:pPr>
      <w:r>
        <w:rPr>
          <w:sz w:val="22"/>
          <w:u w:val="single"/>
        </w:rPr>
        <w:t>Financial</w:t>
      </w:r>
      <w:r>
        <w:rPr>
          <w:spacing w:val="-3"/>
          <w:sz w:val="22"/>
          <w:u w:val="single"/>
        </w:rPr>
        <w:t> </w:t>
      </w:r>
      <w:r>
        <w:rPr>
          <w:sz w:val="22"/>
          <w:u w:val="single"/>
        </w:rPr>
        <w:t>hardship</w:t>
      </w:r>
      <w:r>
        <w:rPr>
          <w:spacing w:val="-5"/>
          <w:sz w:val="22"/>
          <w:u w:val="single"/>
        </w:rPr>
        <w:t> </w:t>
      </w:r>
      <w:r>
        <w:rPr>
          <w:sz w:val="22"/>
          <w:u w:val="single"/>
        </w:rPr>
        <w:t>rate</w:t>
      </w:r>
      <w:r>
        <w:rPr>
          <w:spacing w:val="-4"/>
          <w:sz w:val="22"/>
          <w:u w:val="single"/>
        </w:rPr>
        <w:t> </w:t>
      </w:r>
      <w:r>
        <w:rPr>
          <w:spacing w:val="-2"/>
          <w:sz w:val="22"/>
          <w:u w:val="single"/>
        </w:rPr>
        <w:t>deferral</w:t>
      </w:r>
    </w:p>
    <w:p>
      <w:pPr>
        <w:pStyle w:val="BodyText"/>
        <w:ind w:left="1800" w:right="1436"/>
        <w:jc w:val="both"/>
      </w:pPr>
      <w:r>
        <w:rPr/>
        <w:t>For</w:t>
      </w:r>
      <w:r>
        <w:rPr>
          <w:spacing w:val="-10"/>
        </w:rPr>
        <w:t> </w:t>
      </w:r>
      <w:r>
        <w:rPr/>
        <w:t>those</w:t>
      </w:r>
      <w:r>
        <w:rPr>
          <w:spacing w:val="-14"/>
        </w:rPr>
        <w:t> </w:t>
      </w:r>
      <w:r>
        <w:rPr/>
        <w:t>that</w:t>
      </w:r>
      <w:r>
        <w:rPr>
          <w:spacing w:val="-13"/>
        </w:rPr>
        <w:t> </w:t>
      </w:r>
      <w:r>
        <w:rPr/>
        <w:t>are</w:t>
      </w:r>
      <w:r>
        <w:rPr>
          <w:spacing w:val="-13"/>
        </w:rPr>
        <w:t> </w:t>
      </w:r>
      <w:r>
        <w:rPr/>
        <w:t>experiencing</w:t>
      </w:r>
      <w:r>
        <w:rPr>
          <w:spacing w:val="-13"/>
        </w:rPr>
        <w:t> </w:t>
      </w:r>
      <w:r>
        <w:rPr/>
        <w:t>extenuating</w:t>
      </w:r>
      <w:r>
        <w:rPr>
          <w:spacing w:val="-12"/>
        </w:rPr>
        <w:t> </w:t>
      </w:r>
      <w:r>
        <w:rPr/>
        <w:t>circumstances</w:t>
      </w:r>
      <w:r>
        <w:rPr>
          <w:spacing w:val="-12"/>
        </w:rPr>
        <w:t> </w:t>
      </w:r>
      <w:r>
        <w:rPr/>
        <w:t>and</w:t>
      </w:r>
      <w:r>
        <w:rPr>
          <w:spacing w:val="-15"/>
        </w:rPr>
        <w:t> </w:t>
      </w:r>
      <w:r>
        <w:rPr/>
        <w:t>require</w:t>
      </w:r>
      <w:r>
        <w:rPr>
          <w:spacing w:val="-15"/>
        </w:rPr>
        <w:t> </w:t>
      </w:r>
      <w:r>
        <w:rPr/>
        <w:t>a</w:t>
      </w:r>
      <w:r>
        <w:rPr>
          <w:spacing w:val="-12"/>
        </w:rPr>
        <w:t> </w:t>
      </w:r>
      <w:r>
        <w:rPr/>
        <w:t>periodic</w:t>
      </w:r>
      <w:r>
        <w:rPr>
          <w:spacing w:val="-12"/>
        </w:rPr>
        <w:t> </w:t>
      </w:r>
      <w:r>
        <w:rPr/>
        <w:t>deferral. To be reviewed annually.</w:t>
      </w:r>
    </w:p>
    <w:p>
      <w:pPr>
        <w:pStyle w:val="ListParagraph"/>
        <w:numPr>
          <w:ilvl w:val="0"/>
          <w:numId w:val="4"/>
        </w:numPr>
        <w:tabs>
          <w:tab w:pos="1800" w:val="left" w:leader="none"/>
        </w:tabs>
        <w:spacing w:line="268" w:lineRule="exact" w:before="0" w:after="0"/>
        <w:ind w:left="1799" w:right="0" w:hanging="360"/>
        <w:jc w:val="both"/>
        <w:rPr>
          <w:sz w:val="22"/>
        </w:rPr>
      </w:pPr>
      <w:r>
        <w:rPr>
          <w:sz w:val="22"/>
          <w:u w:val="single"/>
        </w:rPr>
        <w:t>Financial</w:t>
      </w:r>
      <w:r>
        <w:rPr>
          <w:spacing w:val="-3"/>
          <w:sz w:val="22"/>
          <w:u w:val="single"/>
        </w:rPr>
        <w:t> </w:t>
      </w:r>
      <w:r>
        <w:rPr>
          <w:sz w:val="22"/>
          <w:u w:val="single"/>
        </w:rPr>
        <w:t>hardship</w:t>
      </w:r>
      <w:r>
        <w:rPr>
          <w:spacing w:val="-5"/>
          <w:sz w:val="22"/>
          <w:u w:val="single"/>
        </w:rPr>
        <w:t> </w:t>
      </w:r>
      <w:r>
        <w:rPr>
          <w:sz w:val="22"/>
          <w:u w:val="single"/>
        </w:rPr>
        <w:t>rate</w:t>
      </w:r>
      <w:r>
        <w:rPr>
          <w:spacing w:val="-4"/>
          <w:sz w:val="22"/>
          <w:u w:val="single"/>
        </w:rPr>
        <w:t> </w:t>
      </w:r>
      <w:r>
        <w:rPr>
          <w:spacing w:val="-2"/>
          <w:sz w:val="22"/>
          <w:u w:val="single"/>
        </w:rPr>
        <w:t>waiver</w:t>
      </w:r>
    </w:p>
    <w:p>
      <w:pPr>
        <w:pStyle w:val="BodyText"/>
        <w:ind w:left="1800" w:right="1437"/>
        <w:jc w:val="both"/>
      </w:pPr>
      <w:r>
        <w:rPr/>
        <w:t>In</w:t>
      </w:r>
      <w:r>
        <w:rPr>
          <w:spacing w:val="-16"/>
        </w:rPr>
        <w:t> </w:t>
      </w:r>
      <w:r>
        <w:rPr/>
        <w:t>situations</w:t>
      </w:r>
      <w:r>
        <w:rPr>
          <w:spacing w:val="-15"/>
        </w:rPr>
        <w:t> </w:t>
      </w:r>
      <w:r>
        <w:rPr/>
        <w:t>where</w:t>
      </w:r>
      <w:r>
        <w:rPr>
          <w:spacing w:val="-15"/>
        </w:rPr>
        <w:t> </w:t>
      </w:r>
      <w:r>
        <w:rPr/>
        <w:t>extreme</w:t>
      </w:r>
      <w:r>
        <w:rPr>
          <w:spacing w:val="-16"/>
        </w:rPr>
        <w:t> </w:t>
      </w:r>
      <w:r>
        <w:rPr/>
        <w:t>financial</w:t>
      </w:r>
      <w:r>
        <w:rPr>
          <w:spacing w:val="-15"/>
        </w:rPr>
        <w:t> </w:t>
      </w:r>
      <w:r>
        <w:rPr/>
        <w:t>hardship</w:t>
      </w:r>
      <w:r>
        <w:rPr>
          <w:spacing w:val="-15"/>
        </w:rPr>
        <w:t> </w:t>
      </w:r>
      <w:r>
        <w:rPr/>
        <w:t>has</w:t>
      </w:r>
      <w:r>
        <w:rPr>
          <w:spacing w:val="-15"/>
        </w:rPr>
        <w:t> </w:t>
      </w:r>
      <w:r>
        <w:rPr/>
        <w:t>been</w:t>
      </w:r>
      <w:r>
        <w:rPr>
          <w:spacing w:val="-16"/>
        </w:rPr>
        <w:t> </w:t>
      </w:r>
      <w:r>
        <w:rPr/>
        <w:t>established,</w:t>
      </w:r>
      <w:r>
        <w:rPr>
          <w:spacing w:val="-15"/>
        </w:rPr>
        <w:t> </w:t>
      </w:r>
      <w:r>
        <w:rPr/>
        <w:t>Council</w:t>
      </w:r>
      <w:r>
        <w:rPr>
          <w:spacing w:val="-15"/>
        </w:rPr>
        <w:t> </w:t>
      </w:r>
      <w:r>
        <w:rPr/>
        <w:t>may</w:t>
      </w:r>
      <w:r>
        <w:rPr>
          <w:spacing w:val="-16"/>
        </w:rPr>
        <w:t> </w:t>
      </w:r>
      <w:r>
        <w:rPr/>
        <w:t>consider the waiving of rates on a case by case basis.</w:t>
      </w:r>
    </w:p>
    <w:p>
      <w:pPr>
        <w:pStyle w:val="BodyText"/>
        <w:spacing w:before="8"/>
        <w:rPr>
          <w:sz w:val="21"/>
        </w:rPr>
      </w:pPr>
    </w:p>
    <w:p>
      <w:pPr>
        <w:pStyle w:val="BodyText"/>
        <w:ind w:left="1440" w:right="1435"/>
        <w:jc w:val="both"/>
      </w:pPr>
      <w:r>
        <w:rPr/>
        <w:t>For</w:t>
      </w:r>
      <w:r>
        <w:rPr>
          <w:spacing w:val="-2"/>
        </w:rPr>
        <w:t> </w:t>
      </w:r>
      <w:r>
        <w:rPr/>
        <w:t>further</w:t>
      </w:r>
      <w:r>
        <w:rPr>
          <w:spacing w:val="-2"/>
        </w:rPr>
        <w:t> </w:t>
      </w:r>
      <w:r>
        <w:rPr/>
        <w:t>information</w:t>
      </w:r>
      <w:r>
        <w:rPr>
          <w:spacing w:val="-5"/>
        </w:rPr>
        <w:t> </w:t>
      </w:r>
      <w:r>
        <w:rPr/>
        <w:t>relating</w:t>
      </w:r>
      <w:r>
        <w:rPr>
          <w:spacing w:val="-1"/>
        </w:rPr>
        <w:t> </w:t>
      </w:r>
      <w:r>
        <w:rPr/>
        <w:t>to</w:t>
      </w:r>
      <w:r>
        <w:rPr>
          <w:spacing w:val="-5"/>
        </w:rPr>
        <w:t> </w:t>
      </w:r>
      <w:r>
        <w:rPr/>
        <w:t>the</w:t>
      </w:r>
      <w:r>
        <w:rPr>
          <w:spacing w:val="-3"/>
        </w:rPr>
        <w:t> </w:t>
      </w:r>
      <w:r>
        <w:rPr/>
        <w:t>above</w:t>
      </w:r>
      <w:r>
        <w:rPr>
          <w:spacing w:val="-1"/>
        </w:rPr>
        <w:t> </w:t>
      </w:r>
      <w:r>
        <w:rPr/>
        <w:t>Council</w:t>
      </w:r>
      <w:r>
        <w:rPr>
          <w:spacing w:val="-3"/>
        </w:rPr>
        <w:t> </w:t>
      </w:r>
      <w:r>
        <w:rPr/>
        <w:t>offered</w:t>
      </w:r>
      <w:r>
        <w:rPr>
          <w:spacing w:val="-3"/>
        </w:rPr>
        <w:t> </w:t>
      </w:r>
      <w:r>
        <w:rPr/>
        <w:t>payment</w:t>
      </w:r>
      <w:r>
        <w:rPr>
          <w:spacing w:val="-2"/>
        </w:rPr>
        <w:t> </w:t>
      </w:r>
      <w:r>
        <w:rPr/>
        <w:t>relief</w:t>
      </w:r>
      <w:r>
        <w:rPr>
          <w:spacing w:val="-5"/>
        </w:rPr>
        <w:t> </w:t>
      </w:r>
      <w:r>
        <w:rPr/>
        <w:t>programs,</w:t>
      </w:r>
      <w:r>
        <w:rPr>
          <w:spacing w:val="-3"/>
        </w:rPr>
        <w:t> </w:t>
      </w:r>
      <w:r>
        <w:rPr/>
        <w:t>refer</w:t>
      </w:r>
      <w:r>
        <w:rPr>
          <w:spacing w:val="-3"/>
        </w:rPr>
        <w:t> </w:t>
      </w:r>
      <w:r>
        <w:rPr/>
        <w:t>to Maroondah City Council’s Rates Financial Hardship Policy.</w:t>
      </w:r>
    </w:p>
    <w:p>
      <w:pPr>
        <w:pStyle w:val="BodyText"/>
      </w:pPr>
    </w:p>
    <w:p>
      <w:pPr>
        <w:pStyle w:val="Heading5"/>
      </w:pPr>
      <w:r>
        <w:rPr/>
        <w:t>Debt</w:t>
      </w:r>
      <w:r>
        <w:rPr>
          <w:spacing w:val="-2"/>
        </w:rPr>
        <w:t> recovery</w:t>
      </w:r>
    </w:p>
    <w:p>
      <w:pPr>
        <w:pStyle w:val="BodyText"/>
        <w:rPr>
          <w:b/>
        </w:rPr>
      </w:pPr>
    </w:p>
    <w:p>
      <w:pPr>
        <w:pStyle w:val="BodyText"/>
        <w:ind w:left="1440" w:right="1434"/>
        <w:jc w:val="both"/>
      </w:pPr>
      <w:r>
        <w:rPr/>
        <w:t>In</w:t>
      </w:r>
      <w:r>
        <w:rPr>
          <w:spacing w:val="80"/>
        </w:rPr>
        <w:t> </w:t>
      </w:r>
      <w:r>
        <w:rPr/>
        <w:t>the</w:t>
      </w:r>
      <w:r>
        <w:rPr>
          <w:spacing w:val="80"/>
        </w:rPr>
        <w:t> </w:t>
      </w:r>
      <w:r>
        <w:rPr/>
        <w:t>event</w:t>
      </w:r>
      <w:r>
        <w:rPr>
          <w:spacing w:val="80"/>
        </w:rPr>
        <w:t> </w:t>
      </w:r>
      <w:r>
        <w:rPr/>
        <w:t>that</w:t>
      </w:r>
      <w:r>
        <w:rPr>
          <w:spacing w:val="80"/>
        </w:rPr>
        <w:t> </w:t>
      </w:r>
      <w:r>
        <w:rPr/>
        <w:t>an</w:t>
      </w:r>
      <w:r>
        <w:rPr>
          <w:spacing w:val="80"/>
        </w:rPr>
        <w:t> </w:t>
      </w:r>
      <w:r>
        <w:rPr/>
        <w:t>account</w:t>
      </w:r>
      <w:r>
        <w:rPr>
          <w:spacing w:val="80"/>
        </w:rPr>
        <w:t> </w:t>
      </w:r>
      <w:r>
        <w:rPr/>
        <w:t>becomes</w:t>
      </w:r>
      <w:r>
        <w:rPr>
          <w:spacing w:val="80"/>
        </w:rPr>
        <w:t> </w:t>
      </w:r>
      <w:r>
        <w:rPr/>
        <w:t>overdue,</w:t>
      </w:r>
      <w:r>
        <w:rPr>
          <w:spacing w:val="80"/>
        </w:rPr>
        <w:t> </w:t>
      </w:r>
      <w:r>
        <w:rPr/>
        <w:t>Council</w:t>
      </w:r>
      <w:r>
        <w:rPr>
          <w:spacing w:val="-1"/>
        </w:rPr>
        <w:t> </w:t>
      </w:r>
      <w:r>
        <w:rPr/>
        <w:t>will</w:t>
      </w:r>
      <w:r>
        <w:rPr>
          <w:spacing w:val="80"/>
        </w:rPr>
        <w:t> </w:t>
      </w:r>
      <w:r>
        <w:rPr/>
        <w:t>issue</w:t>
      </w:r>
      <w:r>
        <w:rPr>
          <w:spacing w:val="80"/>
        </w:rPr>
        <w:t> </w:t>
      </w:r>
      <w:r>
        <w:rPr/>
        <w:t>an</w:t>
      </w:r>
      <w:r>
        <w:rPr>
          <w:spacing w:val="80"/>
        </w:rPr>
        <w:t> </w:t>
      </w:r>
      <w:r>
        <w:rPr/>
        <w:t>overdue reminder</w:t>
      </w:r>
      <w:r>
        <w:rPr>
          <w:spacing w:val="-2"/>
        </w:rPr>
        <w:t> </w:t>
      </w:r>
      <w:r>
        <w:rPr/>
        <w:t>notice.</w:t>
      </w:r>
      <w:r>
        <w:rPr>
          <w:spacing w:val="-1"/>
        </w:rPr>
        <w:t> </w:t>
      </w:r>
      <w:r>
        <w:rPr/>
        <w:t>In the event that the account remains unpaid, Council will apply penalty interest charges and</w:t>
      </w:r>
      <w:r>
        <w:rPr>
          <w:spacing w:val="-4"/>
        </w:rPr>
        <w:t> </w:t>
      </w:r>
      <w:r>
        <w:rPr/>
        <w:t>may undertake debt recovery action to recover</w:t>
      </w:r>
      <w:r>
        <w:rPr>
          <w:spacing w:val="-2"/>
        </w:rPr>
        <w:t> </w:t>
      </w:r>
      <w:r>
        <w:rPr/>
        <w:t>the overdue amount. All fees and any court costs incurred will be recoverable from the ratepayer.</w:t>
      </w:r>
    </w:p>
    <w:p>
      <w:pPr>
        <w:pStyle w:val="BodyText"/>
      </w:pPr>
    </w:p>
    <w:p>
      <w:pPr>
        <w:pStyle w:val="BodyText"/>
        <w:ind w:left="1440" w:right="1436"/>
        <w:jc w:val="both"/>
      </w:pPr>
      <w:r>
        <w:rPr/>
        <w:t>If</w:t>
      </w:r>
      <w:r>
        <w:rPr>
          <w:spacing w:val="-1"/>
        </w:rPr>
        <w:t> </w:t>
      </w:r>
      <w:r>
        <w:rPr/>
        <w:t>an</w:t>
      </w:r>
      <w:r>
        <w:rPr>
          <w:spacing w:val="-1"/>
        </w:rPr>
        <w:t> </w:t>
      </w:r>
      <w:r>
        <w:rPr/>
        <w:t>amount payable</w:t>
      </w:r>
      <w:r>
        <w:rPr>
          <w:spacing w:val="-3"/>
        </w:rPr>
        <w:t> </w:t>
      </w:r>
      <w:r>
        <w:rPr/>
        <w:t>by</w:t>
      </w:r>
      <w:r>
        <w:rPr>
          <w:spacing w:val="-5"/>
        </w:rPr>
        <w:t> </w:t>
      </w:r>
      <w:r>
        <w:rPr/>
        <w:t>way of rates</w:t>
      </w:r>
      <w:r>
        <w:rPr>
          <w:spacing w:val="-1"/>
        </w:rPr>
        <w:t> </w:t>
      </w:r>
      <w:r>
        <w:rPr/>
        <w:t>in</w:t>
      </w:r>
      <w:r>
        <w:rPr>
          <w:spacing w:val="-3"/>
        </w:rPr>
        <w:t> </w:t>
      </w:r>
      <w:r>
        <w:rPr/>
        <w:t>respect</w:t>
      </w:r>
      <w:r>
        <w:rPr>
          <w:spacing w:val="-1"/>
        </w:rPr>
        <w:t> </w:t>
      </w:r>
      <w:r>
        <w:rPr/>
        <w:t>to</w:t>
      </w:r>
      <w:r>
        <w:rPr>
          <w:spacing w:val="-3"/>
        </w:rPr>
        <w:t> </w:t>
      </w:r>
      <w:r>
        <w:rPr/>
        <w:t>land</w:t>
      </w:r>
      <w:r>
        <w:rPr>
          <w:spacing w:val="-1"/>
        </w:rPr>
        <w:t> </w:t>
      </w:r>
      <w:r>
        <w:rPr/>
        <w:t>has</w:t>
      </w:r>
      <w:r>
        <w:rPr>
          <w:spacing w:val="-1"/>
        </w:rPr>
        <w:t> </w:t>
      </w:r>
      <w:r>
        <w:rPr/>
        <w:t>been</w:t>
      </w:r>
      <w:r>
        <w:rPr>
          <w:spacing w:val="-2"/>
        </w:rPr>
        <w:t> </w:t>
      </w:r>
      <w:r>
        <w:rPr/>
        <w:t>in</w:t>
      </w:r>
      <w:r>
        <w:rPr>
          <w:spacing w:val="-1"/>
        </w:rPr>
        <w:t> </w:t>
      </w:r>
      <w:r>
        <w:rPr/>
        <w:t>arrears</w:t>
      </w:r>
      <w:r>
        <w:rPr>
          <w:spacing w:val="-3"/>
        </w:rPr>
        <w:t> </w:t>
      </w:r>
      <w:r>
        <w:rPr/>
        <w:t>for</w:t>
      </w:r>
      <w:r>
        <w:rPr>
          <w:spacing w:val="-3"/>
        </w:rPr>
        <w:t> </w:t>
      </w:r>
      <w:r>
        <w:rPr/>
        <w:t>three</w:t>
      </w:r>
      <w:r>
        <w:rPr>
          <w:spacing w:val="-2"/>
        </w:rPr>
        <w:t> </w:t>
      </w:r>
      <w:r>
        <w:rPr/>
        <w:t>years</w:t>
      </w:r>
      <w:r>
        <w:rPr>
          <w:spacing w:val="-3"/>
        </w:rPr>
        <w:t> </w:t>
      </w:r>
      <w:r>
        <w:rPr/>
        <w:t>or more,</w:t>
      </w:r>
      <w:r>
        <w:rPr>
          <w:spacing w:val="40"/>
        </w:rPr>
        <w:t> </w:t>
      </w:r>
      <w:r>
        <w:rPr/>
        <w:t>Council</w:t>
      </w:r>
      <w:r>
        <w:rPr>
          <w:spacing w:val="40"/>
        </w:rPr>
        <w:t> </w:t>
      </w:r>
      <w:r>
        <w:rPr/>
        <w:t>may</w:t>
      </w:r>
      <w:r>
        <w:rPr>
          <w:spacing w:val="-1"/>
        </w:rPr>
        <w:t> </w:t>
      </w:r>
      <w:r>
        <w:rPr/>
        <w:t>take</w:t>
      </w:r>
      <w:r>
        <w:rPr>
          <w:spacing w:val="40"/>
        </w:rPr>
        <w:t> </w:t>
      </w:r>
      <w:r>
        <w:rPr/>
        <w:t>action</w:t>
      </w:r>
      <w:r>
        <w:rPr>
          <w:spacing w:val="40"/>
        </w:rPr>
        <w:t> </w:t>
      </w:r>
      <w:r>
        <w:rPr/>
        <w:t>to</w:t>
      </w:r>
      <w:r>
        <w:rPr>
          <w:spacing w:val="40"/>
        </w:rPr>
        <w:t> </w:t>
      </w:r>
      <w:r>
        <w:rPr/>
        <w:t>sell</w:t>
      </w:r>
      <w:r>
        <w:rPr>
          <w:spacing w:val="40"/>
        </w:rPr>
        <w:t> </w:t>
      </w:r>
      <w:r>
        <w:rPr/>
        <w:t>the</w:t>
      </w:r>
      <w:r>
        <w:rPr>
          <w:spacing w:val="40"/>
        </w:rPr>
        <w:t> </w:t>
      </w:r>
      <w:r>
        <w:rPr/>
        <w:t>property</w:t>
      </w:r>
      <w:r>
        <w:rPr>
          <w:spacing w:val="-1"/>
        </w:rPr>
        <w:t> </w:t>
      </w:r>
      <w:r>
        <w:rPr/>
        <w:t>in</w:t>
      </w:r>
      <w:r>
        <w:rPr>
          <w:spacing w:val="40"/>
        </w:rPr>
        <w:t> </w:t>
      </w:r>
      <w:r>
        <w:rPr/>
        <w:t>accordance</w:t>
      </w:r>
      <w:r>
        <w:rPr>
          <w:spacing w:val="40"/>
        </w:rPr>
        <w:t> </w:t>
      </w:r>
      <w:r>
        <w:rPr/>
        <w:t>with</w:t>
      </w:r>
      <w:r>
        <w:rPr>
          <w:spacing w:val="40"/>
        </w:rPr>
        <w:t> </w:t>
      </w:r>
      <w:r>
        <w:rPr/>
        <w:t>the</w:t>
      </w:r>
      <w:r>
        <w:rPr>
          <w:spacing w:val="-3"/>
        </w:rPr>
        <w:t> </w:t>
      </w:r>
      <w:r>
        <w:rPr/>
        <w:t>Local </w:t>
      </w:r>
      <w:r>
        <w:rPr>
          <w:i/>
        </w:rPr>
        <w:t>Government Act 1989 </w:t>
      </w:r>
      <w:r>
        <w:rPr/>
        <w:t>Section 181.</w:t>
      </w:r>
    </w:p>
    <w:p>
      <w:pPr>
        <w:pStyle w:val="BodyText"/>
        <w:spacing w:before="1"/>
      </w:pPr>
    </w:p>
    <w:p>
      <w:pPr>
        <w:pStyle w:val="BodyText"/>
        <w:ind w:left="1440" w:right="1435"/>
        <w:jc w:val="both"/>
      </w:pPr>
      <w:r>
        <w:rPr/>
        <w:t>The</w:t>
      </w:r>
      <w:r>
        <w:rPr>
          <w:spacing w:val="-1"/>
        </w:rPr>
        <w:t> </w:t>
      </w:r>
      <w:r>
        <w:rPr>
          <w:i/>
        </w:rPr>
        <w:t>Local Government Act 1989 </w:t>
      </w:r>
      <w:r>
        <w:rPr/>
        <w:t>Section 230 and 231 requires</w:t>
      </w:r>
      <w:r>
        <w:rPr>
          <w:spacing w:val="-4"/>
        </w:rPr>
        <w:t> </w:t>
      </w:r>
      <w:r>
        <w:rPr/>
        <w:t>the purchaser/transferee of property, or their agents (e.g.</w:t>
      </w:r>
      <w:r>
        <w:rPr>
          <w:spacing w:val="-3"/>
        </w:rPr>
        <w:t> </w:t>
      </w:r>
      <w:r>
        <w:rPr/>
        <w:t>solicitors and/or conveyancers), to notify Council by way of notice</w:t>
      </w:r>
      <w:r>
        <w:rPr>
          <w:spacing w:val="-4"/>
        </w:rPr>
        <w:t> </w:t>
      </w:r>
      <w:r>
        <w:rPr/>
        <w:t>of</w:t>
      </w:r>
      <w:r>
        <w:rPr>
          <w:spacing w:val="-4"/>
        </w:rPr>
        <w:t> </w:t>
      </w:r>
      <w:r>
        <w:rPr/>
        <w:t>acquisition</w:t>
      </w:r>
      <w:r>
        <w:rPr>
          <w:spacing w:val="-8"/>
        </w:rPr>
        <w:t> </w:t>
      </w:r>
      <w:r>
        <w:rPr/>
        <w:t>of</w:t>
      </w:r>
      <w:r>
        <w:rPr>
          <w:spacing w:val="-6"/>
        </w:rPr>
        <w:t> </w:t>
      </w:r>
      <w:r>
        <w:rPr/>
        <w:t>an</w:t>
      </w:r>
      <w:r>
        <w:rPr>
          <w:spacing w:val="-5"/>
        </w:rPr>
        <w:t> </w:t>
      </w:r>
      <w:r>
        <w:rPr/>
        <w:t>interest</w:t>
      </w:r>
      <w:r>
        <w:rPr>
          <w:spacing w:val="-6"/>
        </w:rPr>
        <w:t> </w:t>
      </w:r>
      <w:r>
        <w:rPr/>
        <w:t>in</w:t>
      </w:r>
      <w:r>
        <w:rPr>
          <w:spacing w:val="-1"/>
        </w:rPr>
        <w:t> </w:t>
      </w:r>
      <w:r>
        <w:rPr/>
        <w:t>land.</w:t>
      </w:r>
      <w:r>
        <w:rPr>
          <w:spacing w:val="-4"/>
        </w:rPr>
        <w:t> </w:t>
      </w:r>
      <w:r>
        <w:rPr/>
        <w:t>Council</w:t>
      </w:r>
      <w:r>
        <w:rPr>
          <w:spacing w:val="-6"/>
        </w:rPr>
        <w:t> </w:t>
      </w:r>
      <w:r>
        <w:rPr/>
        <w:t>makes</w:t>
      </w:r>
      <w:r>
        <w:rPr>
          <w:spacing w:val="-6"/>
        </w:rPr>
        <w:t> </w:t>
      </w:r>
      <w:r>
        <w:rPr/>
        <w:t>every</w:t>
      </w:r>
      <w:r>
        <w:rPr>
          <w:spacing w:val="-4"/>
        </w:rPr>
        <w:t> </w:t>
      </w:r>
      <w:r>
        <w:rPr/>
        <w:t>effort</w:t>
      </w:r>
      <w:r>
        <w:rPr>
          <w:spacing w:val="-6"/>
        </w:rPr>
        <w:t> </w:t>
      </w:r>
      <w:r>
        <w:rPr/>
        <w:t>to</w:t>
      </w:r>
      <w:r>
        <w:rPr>
          <w:spacing w:val="-8"/>
        </w:rPr>
        <w:t> </w:t>
      </w:r>
      <w:r>
        <w:rPr/>
        <w:t>contact</w:t>
      </w:r>
      <w:r>
        <w:rPr>
          <w:spacing w:val="-6"/>
        </w:rPr>
        <w:t> </w:t>
      </w:r>
      <w:r>
        <w:rPr/>
        <w:t>ratepayers</w:t>
      </w:r>
      <w:r>
        <w:rPr>
          <w:spacing w:val="-4"/>
        </w:rPr>
        <w:t> </w:t>
      </w:r>
      <w:r>
        <w:rPr/>
        <w:t>at their</w:t>
      </w:r>
      <w:r>
        <w:rPr>
          <w:spacing w:val="-2"/>
        </w:rPr>
        <w:t> </w:t>
      </w:r>
      <w:r>
        <w:rPr/>
        <w:t>preferred address</w:t>
      </w:r>
      <w:r>
        <w:rPr>
          <w:spacing w:val="-2"/>
        </w:rPr>
        <w:t> </w:t>
      </w:r>
      <w:r>
        <w:rPr/>
        <w:t>(post or email), it is however the</w:t>
      </w:r>
      <w:r>
        <w:rPr>
          <w:spacing w:val="-2"/>
        </w:rPr>
        <w:t> </w:t>
      </w:r>
      <w:r>
        <w:rPr/>
        <w:t>ratepayers’ responsibility</w:t>
      </w:r>
      <w:r>
        <w:rPr>
          <w:spacing w:val="-2"/>
        </w:rPr>
        <w:t> </w:t>
      </w:r>
      <w:r>
        <w:rPr/>
        <w:t>to properly advise Council of their correct details and keep Council informed if there are any changes.</w:t>
      </w:r>
    </w:p>
    <w:p>
      <w:pPr>
        <w:pStyle w:val="BodyText"/>
        <w:spacing w:before="10"/>
        <w:rPr>
          <w:sz w:val="21"/>
        </w:rPr>
      </w:pPr>
    </w:p>
    <w:p>
      <w:pPr>
        <w:pStyle w:val="Heading5"/>
      </w:pPr>
      <w:r>
        <w:rPr/>
        <w:t>Emergency</w:t>
      </w:r>
      <w:r>
        <w:rPr>
          <w:spacing w:val="-5"/>
        </w:rPr>
        <w:t> </w:t>
      </w:r>
      <w:r>
        <w:rPr/>
        <w:t>Services</w:t>
      </w:r>
      <w:r>
        <w:rPr>
          <w:spacing w:val="-5"/>
        </w:rPr>
        <w:t> </w:t>
      </w:r>
      <w:r>
        <w:rPr/>
        <w:t>and</w:t>
      </w:r>
      <w:r>
        <w:rPr>
          <w:spacing w:val="-4"/>
        </w:rPr>
        <w:t> </w:t>
      </w:r>
      <w:r>
        <w:rPr/>
        <w:t>Volunteers</w:t>
      </w:r>
      <w:r>
        <w:rPr>
          <w:spacing w:val="-3"/>
        </w:rPr>
        <w:t> </w:t>
      </w:r>
      <w:r>
        <w:rPr>
          <w:spacing w:val="-4"/>
        </w:rPr>
        <w:t>Fund</w:t>
      </w:r>
    </w:p>
    <w:p>
      <w:pPr>
        <w:pStyle w:val="BodyText"/>
        <w:spacing w:before="1"/>
        <w:rPr>
          <w:b/>
        </w:rPr>
      </w:pPr>
    </w:p>
    <w:p>
      <w:pPr>
        <w:pStyle w:val="BodyText"/>
        <w:ind w:left="1440" w:right="1432"/>
        <w:jc w:val="both"/>
      </w:pPr>
      <w:r>
        <w:rPr/>
        <w:t>In 2012 the Victorian State Government passed</w:t>
      </w:r>
      <w:r>
        <w:rPr>
          <w:spacing w:val="-1"/>
        </w:rPr>
        <w:t> </w:t>
      </w:r>
      <w:r>
        <w:rPr/>
        <w:t>legislation requiring the Fire Services Property Levy</w:t>
      </w:r>
      <w:r>
        <w:rPr>
          <w:spacing w:val="-4"/>
        </w:rPr>
        <w:t> </w:t>
      </w:r>
      <w:r>
        <w:rPr/>
        <w:t>(FSPL) to</w:t>
      </w:r>
      <w:r>
        <w:rPr>
          <w:spacing w:val="-4"/>
        </w:rPr>
        <w:t> </w:t>
      </w:r>
      <w:r>
        <w:rPr/>
        <w:t>be collected from ratepayers. Previously this</w:t>
      </w:r>
      <w:r>
        <w:rPr>
          <w:spacing w:val="-4"/>
        </w:rPr>
        <w:t> </w:t>
      </w:r>
      <w:r>
        <w:rPr/>
        <w:t>was</w:t>
      </w:r>
      <w:r>
        <w:rPr>
          <w:spacing w:val="-2"/>
        </w:rPr>
        <w:t> </w:t>
      </w:r>
      <w:r>
        <w:rPr/>
        <w:t>collected</w:t>
      </w:r>
      <w:r>
        <w:rPr>
          <w:spacing w:val="-4"/>
        </w:rPr>
        <w:t> </w:t>
      </w:r>
      <w:r>
        <w:rPr/>
        <w:t>through building and property insurance</w:t>
      </w:r>
      <w:r>
        <w:rPr>
          <w:spacing w:val="-2"/>
        </w:rPr>
        <w:t> </w:t>
      </w:r>
      <w:r>
        <w:rPr/>
        <w:t>premiums. The Fire Services Property Levy helped fund the services provided by the Fire Brigade), and all levies</w:t>
      </w:r>
      <w:r>
        <w:rPr>
          <w:spacing w:val="-1"/>
        </w:rPr>
        <w:t> </w:t>
      </w:r>
      <w:r>
        <w:rPr/>
        <w:t>collected by Council</w:t>
      </w:r>
      <w:r>
        <w:rPr>
          <w:spacing w:val="-1"/>
        </w:rPr>
        <w:t> </w:t>
      </w:r>
      <w:r>
        <w:rPr/>
        <w:t>are passed</w:t>
      </w:r>
      <w:r>
        <w:rPr>
          <w:spacing w:val="40"/>
        </w:rPr>
        <w:t> </w:t>
      </w:r>
      <w:r>
        <w:rPr/>
        <w:t>through to the State Government.</w:t>
      </w:r>
    </w:p>
    <w:p>
      <w:pPr>
        <w:pStyle w:val="BodyText"/>
        <w:spacing w:before="1"/>
      </w:pPr>
    </w:p>
    <w:p>
      <w:pPr>
        <w:pStyle w:val="BodyText"/>
        <w:ind w:left="1440" w:right="1434"/>
        <w:jc w:val="both"/>
      </w:pPr>
      <w:r>
        <w:rPr/>
        <w:t>From</w:t>
      </w:r>
      <w:r>
        <w:rPr>
          <w:spacing w:val="-16"/>
        </w:rPr>
        <w:t> </w:t>
      </w:r>
      <w:r>
        <w:rPr/>
        <w:t>July</w:t>
      </w:r>
      <w:r>
        <w:rPr>
          <w:spacing w:val="-15"/>
        </w:rPr>
        <w:t> </w:t>
      </w:r>
      <w:r>
        <w:rPr/>
        <w:t>1,</w:t>
      </w:r>
      <w:r>
        <w:rPr>
          <w:spacing w:val="-15"/>
        </w:rPr>
        <w:t> </w:t>
      </w:r>
      <w:r>
        <w:rPr/>
        <w:t>2025,</w:t>
      </w:r>
      <w:r>
        <w:rPr>
          <w:spacing w:val="-16"/>
        </w:rPr>
        <w:t> </w:t>
      </w:r>
      <w:r>
        <w:rPr/>
        <w:t>the</w:t>
      </w:r>
      <w:r>
        <w:rPr>
          <w:spacing w:val="-15"/>
        </w:rPr>
        <w:t> </w:t>
      </w:r>
      <w:r>
        <w:rPr/>
        <w:t>FSPL</w:t>
      </w:r>
      <w:r>
        <w:rPr>
          <w:spacing w:val="-15"/>
        </w:rPr>
        <w:t> </w:t>
      </w:r>
      <w:r>
        <w:rPr/>
        <w:t>will</w:t>
      </w:r>
      <w:r>
        <w:rPr>
          <w:spacing w:val="-15"/>
        </w:rPr>
        <w:t> </w:t>
      </w:r>
      <w:r>
        <w:rPr/>
        <w:t>be</w:t>
      </w:r>
      <w:r>
        <w:rPr>
          <w:spacing w:val="-16"/>
        </w:rPr>
        <w:t> </w:t>
      </w:r>
      <w:r>
        <w:rPr/>
        <w:t>replaced</w:t>
      </w:r>
      <w:r>
        <w:rPr>
          <w:spacing w:val="-15"/>
        </w:rPr>
        <w:t> </w:t>
      </w:r>
      <w:r>
        <w:rPr/>
        <w:t>by</w:t>
      </w:r>
      <w:r>
        <w:rPr>
          <w:spacing w:val="-15"/>
        </w:rPr>
        <w:t> </w:t>
      </w:r>
      <w:r>
        <w:rPr/>
        <w:t>the</w:t>
      </w:r>
      <w:r>
        <w:rPr>
          <w:spacing w:val="-13"/>
        </w:rPr>
        <w:t> </w:t>
      </w:r>
      <w:r>
        <w:rPr/>
        <w:t>Emergency</w:t>
      </w:r>
      <w:r>
        <w:rPr>
          <w:spacing w:val="-15"/>
        </w:rPr>
        <w:t> </w:t>
      </w:r>
      <w:r>
        <w:rPr/>
        <w:t>Services</w:t>
      </w:r>
      <w:r>
        <w:rPr>
          <w:spacing w:val="-16"/>
        </w:rPr>
        <w:t> </w:t>
      </w:r>
      <w:r>
        <w:rPr/>
        <w:t>and</w:t>
      </w:r>
      <w:r>
        <w:rPr>
          <w:spacing w:val="-14"/>
        </w:rPr>
        <w:t> </w:t>
      </w:r>
      <w:r>
        <w:rPr/>
        <w:t>Volunteers</w:t>
      </w:r>
      <w:r>
        <w:rPr>
          <w:spacing w:val="-15"/>
        </w:rPr>
        <w:t> </w:t>
      </w:r>
      <w:r>
        <w:rPr/>
        <w:t>Fund (ESVF) in Victoria, expanding funding to include other emergency services and offering exemptions for active CFA and VICSES volunteers and life members on their primary place of residence.</w:t>
      </w:r>
    </w:p>
    <w:p>
      <w:pPr>
        <w:pStyle w:val="BodyText"/>
      </w:pPr>
    </w:p>
    <w:p>
      <w:pPr>
        <w:pStyle w:val="BodyText"/>
        <w:ind w:left="1440" w:right="1434"/>
        <w:jc w:val="both"/>
      </w:pPr>
      <w:r>
        <w:rPr/>
        <w:drawing>
          <wp:anchor distT="0" distB="0" distL="0" distR="0" allowOverlap="1" layoutInCell="1" locked="0" behindDoc="0" simplePos="0" relativeHeight="15746560">
            <wp:simplePos x="0" y="0"/>
            <wp:positionH relativeFrom="page">
              <wp:posOffset>0</wp:posOffset>
            </wp:positionH>
            <wp:positionV relativeFrom="paragraph">
              <wp:posOffset>1336521</wp:posOffset>
            </wp:positionV>
            <wp:extent cx="7560564" cy="101981"/>
            <wp:effectExtent l="0" t="0" r="0" b="0"/>
            <wp:wrapNone/>
            <wp:docPr id="71" name="image2.png"/>
            <wp:cNvGraphicFramePr>
              <a:graphicFrameLocks noChangeAspect="1"/>
            </wp:cNvGraphicFramePr>
            <a:graphic>
              <a:graphicData uri="http://schemas.openxmlformats.org/drawingml/2006/picture">
                <pic:pic>
                  <pic:nvPicPr>
                    <pic:cNvPr id="72" name="image2.png"/>
                    <pic:cNvPicPr/>
                  </pic:nvPicPr>
                  <pic:blipFill>
                    <a:blip r:embed="rId7" cstate="print"/>
                    <a:stretch>
                      <a:fillRect/>
                    </a:stretch>
                  </pic:blipFill>
                  <pic:spPr>
                    <a:xfrm>
                      <a:off x="0" y="0"/>
                      <a:ext cx="7560564" cy="101981"/>
                    </a:xfrm>
                    <a:prstGeom prst="rect">
                      <a:avLst/>
                    </a:prstGeom>
                  </pic:spPr>
                </pic:pic>
              </a:graphicData>
            </a:graphic>
          </wp:anchor>
        </w:drawing>
      </w:r>
      <w:r>
        <w:rPr/>
        <w:t>Like the FSPL, the ESVF will be calculated based on a fixed charge that varies by property type, and a variable charge based on property value. Pensioners, veterans and single farm enterprises</w:t>
      </w:r>
      <w:r>
        <w:rPr>
          <w:spacing w:val="-6"/>
        </w:rPr>
        <w:t> </w:t>
      </w:r>
      <w:r>
        <w:rPr/>
        <w:t>will</w:t>
      </w:r>
      <w:r>
        <w:rPr>
          <w:spacing w:val="-6"/>
        </w:rPr>
        <w:t> </w:t>
      </w:r>
      <w:r>
        <w:rPr/>
        <w:t>continue</w:t>
      </w:r>
      <w:r>
        <w:rPr>
          <w:spacing w:val="-6"/>
        </w:rPr>
        <w:t> </w:t>
      </w:r>
      <w:r>
        <w:rPr/>
        <w:t>to</w:t>
      </w:r>
      <w:r>
        <w:rPr>
          <w:spacing w:val="-4"/>
        </w:rPr>
        <w:t> </w:t>
      </w:r>
      <w:r>
        <w:rPr/>
        <w:t>receive</w:t>
      </w:r>
      <w:r>
        <w:rPr>
          <w:spacing w:val="-8"/>
        </w:rPr>
        <w:t> </w:t>
      </w:r>
      <w:r>
        <w:rPr/>
        <w:t>concessions.</w:t>
      </w:r>
      <w:r>
        <w:rPr>
          <w:spacing w:val="-6"/>
        </w:rPr>
        <w:t> </w:t>
      </w:r>
      <w:r>
        <w:rPr/>
        <w:t>The</w:t>
      </w:r>
      <w:r>
        <w:rPr>
          <w:spacing w:val="-8"/>
        </w:rPr>
        <w:t> </w:t>
      </w:r>
      <w:r>
        <w:rPr/>
        <w:t>ESVF</w:t>
      </w:r>
      <w:r>
        <w:rPr>
          <w:spacing w:val="-6"/>
        </w:rPr>
        <w:t> </w:t>
      </w:r>
      <w:r>
        <w:rPr/>
        <w:t>will</w:t>
      </w:r>
      <w:r>
        <w:rPr>
          <w:spacing w:val="-8"/>
        </w:rPr>
        <w:t> </w:t>
      </w:r>
      <w:r>
        <w:rPr/>
        <w:t>still</w:t>
      </w:r>
      <w:r>
        <w:rPr>
          <w:spacing w:val="-6"/>
        </w:rPr>
        <w:t> </w:t>
      </w:r>
      <w:r>
        <w:rPr/>
        <w:t>be</w:t>
      </w:r>
      <w:r>
        <w:rPr>
          <w:spacing w:val="-5"/>
        </w:rPr>
        <w:t> </w:t>
      </w:r>
      <w:r>
        <w:rPr/>
        <w:t>collected</w:t>
      </w:r>
      <w:r>
        <w:rPr>
          <w:spacing w:val="-6"/>
        </w:rPr>
        <w:t> </w:t>
      </w:r>
      <w:r>
        <w:rPr/>
        <w:t>through</w:t>
      </w:r>
      <w:r>
        <w:rPr>
          <w:spacing w:val="-6"/>
        </w:rPr>
        <w:t> </w:t>
      </w:r>
      <w:r>
        <w:rPr/>
        <w:t>local </w:t>
      </w:r>
      <w:r>
        <w:rPr>
          <w:spacing w:val="-2"/>
        </w:rPr>
        <w:t>councils.</w:t>
      </w:r>
    </w:p>
    <w:p>
      <w:pPr>
        <w:spacing w:after="0"/>
        <w:jc w:val="both"/>
        <w:sectPr>
          <w:pgSz w:w="11910" w:h="16840"/>
          <w:pgMar w:header="0" w:footer="662" w:top="580" w:bottom="860" w:left="0" w:right="0"/>
        </w:sectPr>
      </w:pPr>
    </w:p>
    <w:p>
      <w:pPr>
        <w:pStyle w:val="Heading1"/>
        <w:numPr>
          <w:ilvl w:val="0"/>
          <w:numId w:val="13"/>
        </w:numPr>
        <w:tabs>
          <w:tab w:pos="2159" w:val="left" w:leader="none"/>
        </w:tabs>
        <w:spacing w:line="240" w:lineRule="auto" w:before="62" w:after="0"/>
        <w:ind w:left="2158" w:right="0" w:hanging="719"/>
        <w:jc w:val="left"/>
        <w:rPr>
          <w:color w:val="134295"/>
        </w:rPr>
      </w:pPr>
      <w:bookmarkStart w:name="_TOC_250009" w:id="13"/>
      <w:r>
        <w:rPr>
          <w:color w:val="134295"/>
        </w:rPr>
        <w:t>Other Revenue</w:t>
      </w:r>
      <w:r>
        <w:rPr>
          <w:color w:val="134295"/>
          <w:spacing w:val="-3"/>
        </w:rPr>
        <w:t> </w:t>
      </w:r>
      <w:bookmarkEnd w:id="13"/>
      <w:r>
        <w:rPr>
          <w:color w:val="134295"/>
          <w:spacing w:val="-2"/>
        </w:rPr>
        <w:t>Items</w:t>
      </w:r>
    </w:p>
    <w:p>
      <w:pPr>
        <w:pStyle w:val="Heading2"/>
        <w:numPr>
          <w:ilvl w:val="1"/>
          <w:numId w:val="13"/>
        </w:numPr>
        <w:tabs>
          <w:tab w:pos="2161" w:val="left" w:leader="none"/>
          <w:tab w:pos="2162" w:val="left" w:leader="none"/>
        </w:tabs>
        <w:spacing w:line="240" w:lineRule="auto" w:before="201" w:after="0"/>
        <w:ind w:left="2161" w:right="0" w:hanging="722"/>
        <w:jc w:val="left"/>
      </w:pPr>
      <w:bookmarkStart w:name="_TOC_250008" w:id="14"/>
      <w:r>
        <w:rPr>
          <w:color w:val="134295"/>
        </w:rPr>
        <w:t>User</w:t>
      </w:r>
      <w:r>
        <w:rPr>
          <w:color w:val="134295"/>
          <w:spacing w:val="-8"/>
        </w:rPr>
        <w:t> </w:t>
      </w:r>
      <w:r>
        <w:rPr>
          <w:color w:val="134295"/>
        </w:rPr>
        <w:t>Fees</w:t>
      </w:r>
      <w:r>
        <w:rPr>
          <w:color w:val="134295"/>
          <w:spacing w:val="-6"/>
        </w:rPr>
        <w:t> </w:t>
      </w:r>
      <w:r>
        <w:rPr>
          <w:color w:val="134295"/>
        </w:rPr>
        <w:t>and</w:t>
      </w:r>
      <w:r>
        <w:rPr>
          <w:color w:val="134295"/>
          <w:spacing w:val="-4"/>
        </w:rPr>
        <w:t> </w:t>
      </w:r>
      <w:bookmarkEnd w:id="14"/>
      <w:r>
        <w:rPr>
          <w:color w:val="134295"/>
          <w:spacing w:val="-2"/>
        </w:rPr>
        <w:t>Charges</w:t>
      </w:r>
    </w:p>
    <w:p>
      <w:pPr>
        <w:pStyle w:val="BodyText"/>
        <w:spacing w:before="251"/>
        <w:ind w:left="1440" w:right="1342"/>
      </w:pPr>
      <w:r>
        <w:rPr/>
        <w:t>User fees</w:t>
      </w:r>
      <w:r>
        <w:rPr>
          <w:spacing w:val="-2"/>
        </w:rPr>
        <w:t> </w:t>
      </w:r>
      <w:r>
        <w:rPr/>
        <w:t>and charges are</w:t>
      </w:r>
      <w:r>
        <w:rPr>
          <w:spacing w:val="-1"/>
        </w:rPr>
        <w:t> </w:t>
      </w:r>
      <w:r>
        <w:rPr/>
        <w:t>those</w:t>
      </w:r>
      <w:r>
        <w:rPr>
          <w:spacing w:val="-1"/>
        </w:rPr>
        <w:t> </w:t>
      </w:r>
      <w:r>
        <w:rPr/>
        <w:t>that Council will charge</w:t>
      </w:r>
      <w:r>
        <w:rPr>
          <w:spacing w:val="-1"/>
        </w:rPr>
        <w:t> </w:t>
      </w:r>
      <w:r>
        <w:rPr/>
        <w:t>for</w:t>
      </w:r>
      <w:r>
        <w:rPr>
          <w:spacing w:val="-1"/>
        </w:rPr>
        <w:t> </w:t>
      </w:r>
      <w:r>
        <w:rPr/>
        <w:t>the delivery</w:t>
      </w:r>
      <w:r>
        <w:rPr>
          <w:spacing w:val="-2"/>
        </w:rPr>
        <w:t> </w:t>
      </w:r>
      <w:r>
        <w:rPr/>
        <w:t>of services and use of community infrastructure.</w:t>
      </w:r>
    </w:p>
    <w:p>
      <w:pPr>
        <w:pStyle w:val="BodyText"/>
        <w:spacing w:before="11"/>
        <w:rPr>
          <w:sz w:val="21"/>
        </w:rPr>
      </w:pPr>
    </w:p>
    <w:p>
      <w:pPr>
        <w:pStyle w:val="BodyText"/>
        <w:ind w:left="1440"/>
      </w:pPr>
      <w:r>
        <w:rPr/>
        <w:t>Examples</w:t>
      </w:r>
      <w:r>
        <w:rPr>
          <w:spacing w:val="-4"/>
        </w:rPr>
        <w:t> </w:t>
      </w:r>
      <w:r>
        <w:rPr/>
        <w:t>of</w:t>
      </w:r>
      <w:r>
        <w:rPr>
          <w:spacing w:val="-1"/>
        </w:rPr>
        <w:t> </w:t>
      </w:r>
      <w:r>
        <w:rPr/>
        <w:t>user</w:t>
      </w:r>
      <w:r>
        <w:rPr>
          <w:spacing w:val="-5"/>
        </w:rPr>
        <w:t> </w:t>
      </w:r>
      <w:r>
        <w:rPr/>
        <w:t>fees</w:t>
      </w:r>
      <w:r>
        <w:rPr>
          <w:spacing w:val="-4"/>
        </w:rPr>
        <w:t> </w:t>
      </w:r>
      <w:r>
        <w:rPr/>
        <w:t>and</w:t>
      </w:r>
      <w:r>
        <w:rPr>
          <w:spacing w:val="-3"/>
        </w:rPr>
        <w:t> </w:t>
      </w:r>
      <w:r>
        <w:rPr/>
        <w:t>charges</w:t>
      </w:r>
      <w:r>
        <w:rPr>
          <w:spacing w:val="-3"/>
        </w:rPr>
        <w:t> </w:t>
      </w:r>
      <w:r>
        <w:rPr>
          <w:spacing w:val="-2"/>
        </w:rPr>
        <w:t>include:</w:t>
      </w:r>
    </w:p>
    <w:p>
      <w:pPr>
        <w:pStyle w:val="ListParagraph"/>
        <w:numPr>
          <w:ilvl w:val="0"/>
          <w:numId w:val="4"/>
        </w:numPr>
        <w:tabs>
          <w:tab w:pos="1799" w:val="left" w:leader="none"/>
          <w:tab w:pos="1800" w:val="left" w:leader="none"/>
        </w:tabs>
        <w:spacing w:line="269" w:lineRule="exact" w:before="1" w:after="0"/>
        <w:ind w:left="1799" w:right="0" w:hanging="360"/>
        <w:jc w:val="left"/>
        <w:rPr>
          <w:sz w:val="22"/>
        </w:rPr>
      </w:pPr>
      <w:r>
        <w:rPr>
          <w:sz w:val="22"/>
        </w:rPr>
        <w:t>Leisure</w:t>
      </w:r>
      <w:r>
        <w:rPr>
          <w:spacing w:val="-6"/>
          <w:sz w:val="22"/>
        </w:rPr>
        <w:t> </w:t>
      </w:r>
      <w:r>
        <w:rPr>
          <w:sz w:val="22"/>
        </w:rPr>
        <w:t>centre</w:t>
      </w:r>
      <w:r>
        <w:rPr>
          <w:spacing w:val="-4"/>
          <w:sz w:val="22"/>
        </w:rPr>
        <w:t> </w:t>
      </w:r>
      <w:r>
        <w:rPr>
          <w:sz w:val="22"/>
        </w:rPr>
        <w:t>and</w:t>
      </w:r>
      <w:r>
        <w:rPr>
          <w:spacing w:val="-5"/>
          <w:sz w:val="22"/>
        </w:rPr>
        <w:t> </w:t>
      </w:r>
      <w:r>
        <w:rPr>
          <w:sz w:val="22"/>
        </w:rPr>
        <w:t>recreation</w:t>
      </w:r>
      <w:r>
        <w:rPr>
          <w:spacing w:val="-3"/>
          <w:sz w:val="22"/>
        </w:rPr>
        <w:t> </w:t>
      </w:r>
      <w:r>
        <w:rPr>
          <w:sz w:val="22"/>
        </w:rPr>
        <w:t>membership</w:t>
      </w:r>
      <w:r>
        <w:rPr>
          <w:spacing w:val="-6"/>
          <w:sz w:val="22"/>
        </w:rPr>
        <w:t> </w:t>
      </w:r>
      <w:r>
        <w:rPr>
          <w:sz w:val="22"/>
        </w:rPr>
        <w:t>and</w:t>
      </w:r>
      <w:r>
        <w:rPr>
          <w:spacing w:val="-3"/>
          <w:sz w:val="22"/>
        </w:rPr>
        <w:t> </w:t>
      </w:r>
      <w:r>
        <w:rPr>
          <w:sz w:val="22"/>
        </w:rPr>
        <w:t>general</w:t>
      </w:r>
      <w:r>
        <w:rPr>
          <w:spacing w:val="-3"/>
          <w:sz w:val="22"/>
        </w:rPr>
        <w:t> </w:t>
      </w:r>
      <w:r>
        <w:rPr>
          <w:sz w:val="22"/>
        </w:rPr>
        <w:t>visitation</w:t>
      </w:r>
      <w:r>
        <w:rPr>
          <w:spacing w:val="-4"/>
          <w:sz w:val="22"/>
        </w:rPr>
        <w:t> fees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Aged</w:t>
      </w:r>
      <w:r>
        <w:rPr>
          <w:spacing w:val="-2"/>
          <w:sz w:val="22"/>
        </w:rPr>
        <w:t> </w:t>
      </w:r>
      <w:r>
        <w:rPr>
          <w:sz w:val="22"/>
        </w:rPr>
        <w:t>and</w:t>
      </w:r>
      <w:r>
        <w:rPr>
          <w:spacing w:val="-1"/>
          <w:sz w:val="22"/>
        </w:rPr>
        <w:t> </w:t>
      </w:r>
      <w:r>
        <w:rPr>
          <w:sz w:val="22"/>
        </w:rPr>
        <w:t>Health</w:t>
      </w:r>
      <w:r>
        <w:rPr>
          <w:spacing w:val="-3"/>
          <w:sz w:val="22"/>
        </w:rPr>
        <w:t> </w:t>
      </w:r>
      <w:r>
        <w:rPr>
          <w:sz w:val="22"/>
        </w:rPr>
        <w:t>Care</w:t>
      </w:r>
      <w:r>
        <w:rPr>
          <w:spacing w:val="-4"/>
          <w:sz w:val="22"/>
        </w:rPr>
        <w:t> </w:t>
      </w:r>
      <w:r>
        <w:rPr>
          <w:spacing w:val="-2"/>
          <w:sz w:val="22"/>
        </w:rPr>
        <w:t>services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Permits</w:t>
      </w:r>
      <w:r>
        <w:rPr>
          <w:spacing w:val="-3"/>
          <w:sz w:val="22"/>
        </w:rPr>
        <w:t> </w:t>
      </w:r>
      <w:r>
        <w:rPr>
          <w:sz w:val="22"/>
        </w:rPr>
        <w:t>and</w:t>
      </w:r>
      <w:r>
        <w:rPr>
          <w:spacing w:val="1"/>
          <w:sz w:val="22"/>
        </w:rPr>
        <w:t> </w:t>
      </w:r>
      <w:r>
        <w:rPr>
          <w:spacing w:val="-2"/>
          <w:sz w:val="22"/>
        </w:rPr>
        <w:t>licenses</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Animal</w:t>
      </w:r>
      <w:r>
        <w:rPr>
          <w:spacing w:val="-7"/>
          <w:sz w:val="22"/>
        </w:rPr>
        <w:t> </w:t>
      </w:r>
      <w:r>
        <w:rPr>
          <w:sz w:val="22"/>
        </w:rPr>
        <w:t>registration</w:t>
      </w:r>
      <w:r>
        <w:rPr>
          <w:spacing w:val="-5"/>
          <w:sz w:val="22"/>
        </w:rPr>
        <w:t> </w:t>
      </w:r>
      <w:r>
        <w:rPr>
          <w:spacing w:val="-4"/>
          <w:sz w:val="22"/>
        </w:rPr>
        <w:t>fees</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Leases</w:t>
      </w:r>
      <w:r>
        <w:rPr>
          <w:spacing w:val="-1"/>
          <w:sz w:val="22"/>
        </w:rPr>
        <w:t> </w:t>
      </w:r>
      <w:r>
        <w:rPr>
          <w:sz w:val="22"/>
        </w:rPr>
        <w:t>and</w:t>
      </w:r>
      <w:r>
        <w:rPr>
          <w:spacing w:val="-5"/>
          <w:sz w:val="22"/>
        </w:rPr>
        <w:t> </w:t>
      </w:r>
      <w:r>
        <w:rPr>
          <w:sz w:val="22"/>
        </w:rPr>
        <w:t>facility</w:t>
      </w:r>
      <w:r>
        <w:rPr>
          <w:spacing w:val="-1"/>
          <w:sz w:val="22"/>
        </w:rPr>
        <w:t> </w:t>
      </w:r>
      <w:r>
        <w:rPr>
          <w:sz w:val="22"/>
        </w:rPr>
        <w:t>hire</w:t>
      </w:r>
      <w:r>
        <w:rPr>
          <w:spacing w:val="-8"/>
          <w:sz w:val="22"/>
        </w:rPr>
        <w:t> </w:t>
      </w:r>
      <w:r>
        <w:rPr>
          <w:spacing w:val="-4"/>
          <w:sz w:val="22"/>
        </w:rPr>
        <w:t>fees</w:t>
      </w:r>
    </w:p>
    <w:p>
      <w:pPr>
        <w:pStyle w:val="BodyText"/>
        <w:spacing w:before="8"/>
        <w:rPr>
          <w:sz w:val="21"/>
        </w:rPr>
      </w:pPr>
    </w:p>
    <w:p>
      <w:pPr>
        <w:pStyle w:val="BodyText"/>
        <w:ind w:left="1440" w:right="1342"/>
      </w:pPr>
      <w:r>
        <w:rPr/>
        <w:t>Council continuously explores opportunities to expand on its user fee for service potential.</w:t>
      </w:r>
      <w:r>
        <w:rPr>
          <w:spacing w:val="80"/>
        </w:rPr>
        <w:t> </w:t>
      </w:r>
      <w:r>
        <w:rPr/>
        <w:t>This will be reflected as part of this plan as well as Council’s Long-Term Financial Planning. The provision of</w:t>
      </w:r>
      <w:r>
        <w:rPr>
          <w:spacing w:val="-1"/>
        </w:rPr>
        <w:t> </w:t>
      </w:r>
      <w:r>
        <w:rPr/>
        <w:t>infrastructure</w:t>
      </w:r>
      <w:r>
        <w:rPr>
          <w:spacing w:val="-1"/>
        </w:rPr>
        <w:t> </w:t>
      </w:r>
      <w:r>
        <w:rPr/>
        <w:t>and</w:t>
      </w:r>
      <w:r>
        <w:rPr>
          <w:spacing w:val="-1"/>
        </w:rPr>
        <w:t> </w:t>
      </w:r>
      <w:r>
        <w:rPr/>
        <w:t>services</w:t>
      </w:r>
      <w:r>
        <w:rPr>
          <w:spacing w:val="-2"/>
        </w:rPr>
        <w:t> </w:t>
      </w:r>
      <w:r>
        <w:rPr/>
        <w:t>form</w:t>
      </w:r>
      <w:r>
        <w:rPr>
          <w:spacing w:val="-5"/>
        </w:rPr>
        <w:t> </w:t>
      </w:r>
      <w:r>
        <w:rPr/>
        <w:t>a key part</w:t>
      </w:r>
      <w:r>
        <w:rPr>
          <w:spacing w:val="-1"/>
        </w:rPr>
        <w:t> </w:t>
      </w:r>
      <w:r>
        <w:rPr/>
        <w:t>of council’s role in supporting</w:t>
      </w:r>
      <w:r>
        <w:rPr>
          <w:spacing w:val="-1"/>
        </w:rPr>
        <w:t> </w:t>
      </w:r>
      <w:r>
        <w:rPr/>
        <w:t>the local</w:t>
      </w:r>
      <w:r>
        <w:rPr>
          <w:spacing w:val="-1"/>
        </w:rPr>
        <w:t> </w:t>
      </w:r>
      <w:r>
        <w:rPr/>
        <w:t>community.</w:t>
      </w:r>
      <w:r>
        <w:rPr>
          <w:spacing w:val="40"/>
        </w:rPr>
        <w:t> </w:t>
      </w:r>
      <w:r>
        <w:rPr/>
        <w:t>In</w:t>
      </w:r>
      <w:r>
        <w:rPr>
          <w:spacing w:val="-1"/>
        </w:rPr>
        <w:t> </w:t>
      </w:r>
      <w:r>
        <w:rPr/>
        <w:t>providing</w:t>
      </w:r>
      <w:r>
        <w:rPr>
          <w:spacing w:val="-1"/>
        </w:rPr>
        <w:t> </w:t>
      </w:r>
      <w:r>
        <w:rPr/>
        <w:t>these, council</w:t>
      </w:r>
      <w:r>
        <w:rPr>
          <w:spacing w:val="-5"/>
        </w:rPr>
        <w:t> </w:t>
      </w:r>
      <w:r>
        <w:rPr/>
        <w:t>must consider</w:t>
      </w:r>
      <w:r>
        <w:rPr>
          <w:spacing w:val="-1"/>
        </w:rPr>
        <w:t> </w:t>
      </w:r>
      <w:r>
        <w:rPr/>
        <w:t>a</w:t>
      </w:r>
      <w:r>
        <w:rPr>
          <w:spacing w:val="-1"/>
        </w:rPr>
        <w:t> </w:t>
      </w:r>
      <w:r>
        <w:rPr/>
        <w:t>range</w:t>
      </w:r>
      <w:r>
        <w:rPr>
          <w:spacing w:val="-1"/>
        </w:rPr>
        <w:t> </w:t>
      </w:r>
      <w:r>
        <w:rPr/>
        <w:t>of ‘Best Value’</w:t>
      </w:r>
      <w:r>
        <w:rPr>
          <w:spacing w:val="-1"/>
        </w:rPr>
        <w:t> </w:t>
      </w:r>
      <w:r>
        <w:rPr/>
        <w:t>principles including service cost and quality standards, value-for-money, and community expectations and values.</w:t>
      </w:r>
    </w:p>
    <w:p>
      <w:pPr>
        <w:pStyle w:val="BodyText"/>
      </w:pPr>
    </w:p>
    <w:p>
      <w:pPr>
        <w:pStyle w:val="BodyText"/>
        <w:ind w:left="1440" w:right="1432"/>
        <w:jc w:val="both"/>
      </w:pPr>
      <w:r>
        <w:rPr/>
        <w:t>Council</w:t>
      </w:r>
      <w:r>
        <w:rPr>
          <w:spacing w:val="-12"/>
        </w:rPr>
        <w:t> </w:t>
      </w:r>
      <w:r>
        <w:rPr/>
        <w:t>must</w:t>
      </w:r>
      <w:r>
        <w:rPr>
          <w:spacing w:val="-11"/>
        </w:rPr>
        <w:t> </w:t>
      </w:r>
      <w:r>
        <w:rPr/>
        <w:t>also</w:t>
      </w:r>
      <w:r>
        <w:rPr>
          <w:spacing w:val="-11"/>
        </w:rPr>
        <w:t> </w:t>
      </w:r>
      <w:r>
        <w:rPr/>
        <w:t>balance</w:t>
      </w:r>
      <w:r>
        <w:rPr>
          <w:spacing w:val="-10"/>
        </w:rPr>
        <w:t> </w:t>
      </w:r>
      <w:r>
        <w:rPr/>
        <w:t>the</w:t>
      </w:r>
      <w:r>
        <w:rPr>
          <w:spacing w:val="-11"/>
        </w:rPr>
        <w:t> </w:t>
      </w:r>
      <w:r>
        <w:rPr/>
        <w:t>affordability</w:t>
      </w:r>
      <w:r>
        <w:rPr>
          <w:spacing w:val="-10"/>
        </w:rPr>
        <w:t> </w:t>
      </w:r>
      <w:r>
        <w:rPr/>
        <w:t>and</w:t>
      </w:r>
      <w:r>
        <w:rPr>
          <w:spacing w:val="-13"/>
        </w:rPr>
        <w:t> </w:t>
      </w:r>
      <w:r>
        <w:rPr/>
        <w:t>accessibility</w:t>
      </w:r>
      <w:r>
        <w:rPr>
          <w:spacing w:val="-8"/>
        </w:rPr>
        <w:t> </w:t>
      </w:r>
      <w:r>
        <w:rPr/>
        <w:t>of</w:t>
      </w:r>
      <w:r>
        <w:rPr>
          <w:spacing w:val="-11"/>
        </w:rPr>
        <w:t> </w:t>
      </w:r>
      <w:r>
        <w:rPr/>
        <w:t>infrastructure</w:t>
      </w:r>
      <w:r>
        <w:rPr>
          <w:spacing w:val="-11"/>
        </w:rPr>
        <w:t> </w:t>
      </w:r>
      <w:r>
        <w:rPr/>
        <w:t>and</w:t>
      </w:r>
      <w:r>
        <w:rPr>
          <w:spacing w:val="-11"/>
        </w:rPr>
        <w:t> </w:t>
      </w:r>
      <w:r>
        <w:rPr/>
        <w:t>services</w:t>
      </w:r>
      <w:r>
        <w:rPr>
          <w:spacing w:val="-10"/>
        </w:rPr>
        <w:t> </w:t>
      </w:r>
      <w:r>
        <w:rPr/>
        <w:t>with its financial capacity and in the interests of long-term financial sustainability.</w:t>
      </w:r>
    </w:p>
    <w:p>
      <w:pPr>
        <w:pStyle w:val="BodyText"/>
        <w:spacing w:before="1"/>
        <w:ind w:left="1440" w:right="1437"/>
        <w:jc w:val="both"/>
      </w:pPr>
      <w:r>
        <w:rPr/>
        <w:t>Councils</w:t>
      </w:r>
      <w:r>
        <w:rPr>
          <w:spacing w:val="-1"/>
        </w:rPr>
        <w:t> </w:t>
      </w:r>
      <w:r>
        <w:rPr/>
        <w:t>must</w:t>
      </w:r>
      <w:r>
        <w:rPr>
          <w:spacing w:val="-5"/>
        </w:rPr>
        <w:t> </w:t>
      </w:r>
      <w:r>
        <w:rPr/>
        <w:t>also</w:t>
      </w:r>
      <w:r>
        <w:rPr>
          <w:spacing w:val="-2"/>
        </w:rPr>
        <w:t> </w:t>
      </w:r>
      <w:r>
        <w:rPr/>
        <w:t>comply</w:t>
      </w:r>
      <w:r>
        <w:rPr>
          <w:spacing w:val="-3"/>
        </w:rPr>
        <w:t> </w:t>
      </w:r>
      <w:r>
        <w:rPr/>
        <w:t>with</w:t>
      </w:r>
      <w:r>
        <w:rPr>
          <w:spacing w:val="-5"/>
        </w:rPr>
        <w:t> </w:t>
      </w:r>
      <w:r>
        <w:rPr/>
        <w:t>the</w:t>
      </w:r>
      <w:r>
        <w:rPr>
          <w:spacing w:val="-4"/>
        </w:rPr>
        <w:t> </w:t>
      </w:r>
      <w:r>
        <w:rPr/>
        <w:t>government’s</w:t>
      </w:r>
      <w:r>
        <w:rPr>
          <w:spacing w:val="-5"/>
        </w:rPr>
        <w:t> </w:t>
      </w:r>
      <w:r>
        <w:rPr/>
        <w:t>Competitive</w:t>
      </w:r>
      <w:r>
        <w:rPr>
          <w:spacing w:val="-3"/>
        </w:rPr>
        <w:t> </w:t>
      </w:r>
      <w:r>
        <w:rPr/>
        <w:t>Neutrality</w:t>
      </w:r>
      <w:r>
        <w:rPr>
          <w:spacing w:val="-5"/>
        </w:rPr>
        <w:t> </w:t>
      </w:r>
      <w:r>
        <w:rPr/>
        <w:t>Policy</w:t>
      </w:r>
      <w:r>
        <w:rPr>
          <w:spacing w:val="-1"/>
        </w:rPr>
        <w:t> </w:t>
      </w:r>
      <w:r>
        <w:rPr/>
        <w:t>for</w:t>
      </w:r>
      <w:r>
        <w:rPr>
          <w:spacing w:val="-3"/>
        </w:rPr>
        <w:t> </w:t>
      </w:r>
      <w:r>
        <w:rPr/>
        <w:t>significant business activities they provide and adjust their service prices to neutralise any competitive advantages when competing with the private sector.</w:t>
      </w:r>
    </w:p>
    <w:p>
      <w:pPr>
        <w:pStyle w:val="BodyText"/>
        <w:spacing w:before="10"/>
        <w:rPr>
          <w:sz w:val="21"/>
        </w:rPr>
      </w:pPr>
    </w:p>
    <w:p>
      <w:pPr>
        <w:pStyle w:val="BodyText"/>
        <w:ind w:left="1440" w:right="1434"/>
        <w:jc w:val="both"/>
      </w:pPr>
      <w:r>
        <w:rPr/>
        <w:t>In</w:t>
      </w:r>
      <w:r>
        <w:rPr>
          <w:spacing w:val="-7"/>
        </w:rPr>
        <w:t> </w:t>
      </w:r>
      <w:r>
        <w:rPr/>
        <w:t>providing</w:t>
      </w:r>
      <w:r>
        <w:rPr>
          <w:spacing w:val="-7"/>
        </w:rPr>
        <w:t> </w:t>
      </w:r>
      <w:r>
        <w:rPr/>
        <w:t>services</w:t>
      </w:r>
      <w:r>
        <w:rPr>
          <w:spacing w:val="-9"/>
        </w:rPr>
        <w:t> </w:t>
      </w:r>
      <w:r>
        <w:rPr/>
        <w:t>to</w:t>
      </w:r>
      <w:r>
        <w:rPr>
          <w:spacing w:val="-9"/>
        </w:rPr>
        <w:t> </w:t>
      </w:r>
      <w:r>
        <w:rPr/>
        <w:t>the</w:t>
      </w:r>
      <w:r>
        <w:rPr>
          <w:spacing w:val="-7"/>
        </w:rPr>
        <w:t> </w:t>
      </w:r>
      <w:r>
        <w:rPr/>
        <w:t>community,</w:t>
      </w:r>
      <w:r>
        <w:rPr>
          <w:spacing w:val="-7"/>
        </w:rPr>
        <w:t> </w:t>
      </w:r>
      <w:r>
        <w:rPr/>
        <w:t>council</w:t>
      </w:r>
      <w:r>
        <w:rPr>
          <w:spacing w:val="-9"/>
        </w:rPr>
        <w:t> </w:t>
      </w:r>
      <w:r>
        <w:rPr/>
        <w:t>must</w:t>
      </w:r>
      <w:r>
        <w:rPr>
          <w:spacing w:val="-5"/>
        </w:rPr>
        <w:t> </w:t>
      </w:r>
      <w:r>
        <w:rPr/>
        <w:t>determine</w:t>
      </w:r>
      <w:r>
        <w:rPr>
          <w:spacing w:val="-7"/>
        </w:rPr>
        <w:t> </w:t>
      </w:r>
      <w:r>
        <w:rPr/>
        <w:t>the</w:t>
      </w:r>
      <w:r>
        <w:rPr>
          <w:spacing w:val="-7"/>
        </w:rPr>
        <w:t> </w:t>
      </w:r>
      <w:r>
        <w:rPr/>
        <w:t>extent</w:t>
      </w:r>
      <w:r>
        <w:rPr>
          <w:spacing w:val="-7"/>
        </w:rPr>
        <w:t> </w:t>
      </w:r>
      <w:r>
        <w:rPr/>
        <w:t>of</w:t>
      </w:r>
      <w:r>
        <w:rPr>
          <w:spacing w:val="-5"/>
        </w:rPr>
        <w:t> </w:t>
      </w:r>
      <w:r>
        <w:rPr/>
        <w:t>cost</w:t>
      </w:r>
      <w:r>
        <w:rPr>
          <w:spacing w:val="-5"/>
        </w:rPr>
        <w:t> </w:t>
      </w:r>
      <w:r>
        <w:rPr/>
        <w:t>recovery</w:t>
      </w:r>
      <w:r>
        <w:rPr>
          <w:spacing w:val="-9"/>
        </w:rPr>
        <w:t> </w:t>
      </w:r>
      <w:r>
        <w:rPr/>
        <w:t>for particular services consistent with the level of both individual and collective benefit that the services provide and in line with the community’s expectations.</w:t>
      </w:r>
    </w:p>
    <w:p>
      <w:pPr>
        <w:pStyle w:val="BodyText"/>
      </w:pPr>
    </w:p>
    <w:p>
      <w:pPr>
        <w:pStyle w:val="BodyText"/>
        <w:spacing w:line="252" w:lineRule="exact" w:before="1"/>
        <w:ind w:left="1440"/>
      </w:pPr>
      <w:r>
        <w:rPr/>
        <w:t>Services</w:t>
      </w:r>
      <w:r>
        <w:rPr>
          <w:spacing w:val="-3"/>
        </w:rPr>
        <w:t> </w:t>
      </w:r>
      <w:r>
        <w:rPr/>
        <w:t>are</w:t>
      </w:r>
      <w:r>
        <w:rPr>
          <w:spacing w:val="-4"/>
        </w:rPr>
        <w:t> </w:t>
      </w:r>
      <w:r>
        <w:rPr/>
        <w:t>provided</w:t>
      </w:r>
      <w:r>
        <w:rPr>
          <w:spacing w:val="-1"/>
        </w:rPr>
        <w:t> </w:t>
      </w:r>
      <w:r>
        <w:rPr/>
        <w:t>on</w:t>
      </w:r>
      <w:r>
        <w:rPr>
          <w:spacing w:val="-4"/>
        </w:rPr>
        <w:t> </w:t>
      </w:r>
      <w:r>
        <w:rPr/>
        <w:t>the</w:t>
      </w:r>
      <w:r>
        <w:rPr>
          <w:spacing w:val="-3"/>
        </w:rPr>
        <w:t> </w:t>
      </w:r>
      <w:r>
        <w:rPr/>
        <w:t>basis</w:t>
      </w:r>
      <w:r>
        <w:rPr>
          <w:spacing w:val="-2"/>
        </w:rPr>
        <w:t> </w:t>
      </w:r>
      <w:r>
        <w:rPr/>
        <w:t>of</w:t>
      </w:r>
      <w:r>
        <w:rPr>
          <w:spacing w:val="-2"/>
        </w:rPr>
        <w:t> </w:t>
      </w:r>
      <w:r>
        <w:rPr/>
        <w:t>one</w:t>
      </w:r>
      <w:r>
        <w:rPr>
          <w:spacing w:val="-5"/>
        </w:rPr>
        <w:t> </w:t>
      </w:r>
      <w:r>
        <w:rPr/>
        <w:t>of</w:t>
      </w:r>
      <w:r>
        <w:rPr>
          <w:spacing w:val="-4"/>
        </w:rPr>
        <w:t> </w:t>
      </w:r>
      <w:r>
        <w:rPr/>
        <w:t>the</w:t>
      </w:r>
      <w:r>
        <w:rPr>
          <w:spacing w:val="-4"/>
        </w:rPr>
        <w:t> </w:t>
      </w:r>
      <w:r>
        <w:rPr/>
        <w:t>following</w:t>
      </w:r>
      <w:r>
        <w:rPr>
          <w:spacing w:val="-2"/>
        </w:rPr>
        <w:t> </w:t>
      </w:r>
      <w:r>
        <w:rPr/>
        <w:t>pricing</w:t>
      </w:r>
      <w:r>
        <w:rPr>
          <w:spacing w:val="-2"/>
        </w:rPr>
        <w:t> methods:</w:t>
      </w:r>
    </w:p>
    <w:p>
      <w:pPr>
        <w:pStyle w:val="ListParagraph"/>
        <w:numPr>
          <w:ilvl w:val="0"/>
          <w:numId w:val="16"/>
        </w:numPr>
        <w:tabs>
          <w:tab w:pos="1800" w:val="left" w:leader="none"/>
        </w:tabs>
        <w:spacing w:line="252" w:lineRule="exact" w:before="0" w:after="0"/>
        <w:ind w:left="1799" w:right="0" w:hanging="360"/>
        <w:jc w:val="left"/>
        <w:rPr>
          <w:sz w:val="22"/>
        </w:rPr>
      </w:pPr>
      <w:r>
        <w:rPr>
          <w:sz w:val="22"/>
        </w:rPr>
        <w:t>Market</w:t>
      </w:r>
      <w:r>
        <w:rPr>
          <w:spacing w:val="-2"/>
          <w:sz w:val="22"/>
        </w:rPr>
        <w:t> Price</w:t>
      </w:r>
    </w:p>
    <w:p>
      <w:pPr>
        <w:pStyle w:val="ListParagraph"/>
        <w:numPr>
          <w:ilvl w:val="0"/>
          <w:numId w:val="16"/>
        </w:numPr>
        <w:tabs>
          <w:tab w:pos="1800" w:val="left" w:leader="none"/>
        </w:tabs>
        <w:spacing w:line="252" w:lineRule="exact" w:before="1" w:after="0"/>
        <w:ind w:left="1799" w:right="0" w:hanging="360"/>
        <w:jc w:val="left"/>
        <w:rPr>
          <w:sz w:val="22"/>
        </w:rPr>
      </w:pPr>
      <w:r>
        <w:rPr>
          <w:sz w:val="22"/>
        </w:rPr>
        <w:t>Full</w:t>
      </w:r>
      <w:r>
        <w:rPr>
          <w:spacing w:val="-3"/>
          <w:sz w:val="22"/>
        </w:rPr>
        <w:t> </w:t>
      </w:r>
      <w:r>
        <w:rPr>
          <w:sz w:val="22"/>
        </w:rPr>
        <w:t>Cost</w:t>
      </w:r>
      <w:r>
        <w:rPr>
          <w:spacing w:val="-2"/>
          <w:sz w:val="22"/>
        </w:rPr>
        <w:t> </w:t>
      </w:r>
      <w:r>
        <w:rPr>
          <w:sz w:val="22"/>
        </w:rPr>
        <w:t>Recovery</w:t>
      </w:r>
      <w:r>
        <w:rPr>
          <w:spacing w:val="-2"/>
          <w:sz w:val="22"/>
        </w:rPr>
        <w:t> </w:t>
      </w:r>
      <w:r>
        <w:rPr>
          <w:spacing w:val="-4"/>
          <w:sz w:val="22"/>
        </w:rPr>
        <w:t>Price</w:t>
      </w:r>
    </w:p>
    <w:p>
      <w:pPr>
        <w:pStyle w:val="ListParagraph"/>
        <w:numPr>
          <w:ilvl w:val="0"/>
          <w:numId w:val="16"/>
        </w:numPr>
        <w:tabs>
          <w:tab w:pos="1800" w:val="left" w:leader="none"/>
        </w:tabs>
        <w:spacing w:line="252" w:lineRule="exact" w:before="0" w:after="0"/>
        <w:ind w:left="1799" w:right="0" w:hanging="360"/>
        <w:jc w:val="left"/>
        <w:rPr>
          <w:sz w:val="22"/>
        </w:rPr>
      </w:pPr>
      <w:r>
        <w:rPr>
          <w:sz w:val="22"/>
        </w:rPr>
        <w:t>Subsidised</w:t>
      </w:r>
      <w:r>
        <w:rPr>
          <w:spacing w:val="-7"/>
          <w:sz w:val="22"/>
        </w:rPr>
        <w:t> </w:t>
      </w:r>
      <w:r>
        <w:rPr>
          <w:spacing w:val="-2"/>
          <w:sz w:val="22"/>
        </w:rPr>
        <w:t>Price</w:t>
      </w:r>
    </w:p>
    <w:p>
      <w:pPr>
        <w:pStyle w:val="BodyText"/>
      </w:pPr>
    </w:p>
    <w:p>
      <w:pPr>
        <w:pStyle w:val="Heading5"/>
        <w:spacing w:before="1"/>
      </w:pPr>
      <w:r>
        <w:rPr/>
        <w:t>Market</w:t>
      </w:r>
      <w:r>
        <w:rPr>
          <w:spacing w:val="-1"/>
        </w:rPr>
        <w:t> </w:t>
      </w:r>
      <w:r>
        <w:rPr>
          <w:spacing w:val="-2"/>
        </w:rPr>
        <w:t>Price</w:t>
      </w:r>
    </w:p>
    <w:p>
      <w:pPr>
        <w:pStyle w:val="BodyText"/>
        <w:rPr>
          <w:b/>
        </w:rPr>
      </w:pPr>
    </w:p>
    <w:p>
      <w:pPr>
        <w:pStyle w:val="BodyText"/>
        <w:ind w:left="1440" w:right="1432"/>
        <w:jc w:val="both"/>
      </w:pPr>
      <w:r>
        <w:rPr/>
        <w:t>Market pricing is where council sets prices based on the benchmarked competitive prices of alternate suppliers.</w:t>
      </w:r>
      <w:r>
        <w:rPr>
          <w:spacing w:val="40"/>
        </w:rPr>
        <w:t> </w:t>
      </w:r>
      <w:r>
        <w:rPr/>
        <w:t>In general</w:t>
      </w:r>
      <w:r>
        <w:rPr>
          <w:spacing w:val="-1"/>
        </w:rPr>
        <w:t> </w:t>
      </w:r>
      <w:r>
        <w:rPr/>
        <w:t>market price represents full cost recovery plus an allowance for profit.</w:t>
      </w:r>
      <w:r>
        <w:rPr>
          <w:spacing w:val="40"/>
        </w:rPr>
        <w:t> </w:t>
      </w:r>
      <w:r>
        <w:rPr/>
        <w:t>Market prices</w:t>
      </w:r>
      <w:r>
        <w:rPr>
          <w:spacing w:val="-4"/>
        </w:rPr>
        <w:t> </w:t>
      </w:r>
      <w:r>
        <w:rPr/>
        <w:t>will be used</w:t>
      </w:r>
      <w:r>
        <w:rPr>
          <w:spacing w:val="-1"/>
        </w:rPr>
        <w:t> </w:t>
      </w:r>
      <w:r>
        <w:rPr/>
        <w:t>when other providers exist in the given market, and council needs to meet its obligations under the government’s Competitive Neutrality Policy.</w:t>
      </w:r>
    </w:p>
    <w:p>
      <w:pPr>
        <w:pStyle w:val="BodyText"/>
      </w:pPr>
    </w:p>
    <w:p>
      <w:pPr>
        <w:spacing w:before="0"/>
        <w:ind w:left="1440" w:right="1434" w:firstLine="0"/>
        <w:jc w:val="both"/>
        <w:rPr>
          <w:i/>
          <w:sz w:val="22"/>
        </w:rPr>
      </w:pPr>
      <w:r>
        <w:rPr>
          <w:i/>
          <w:sz w:val="22"/>
        </w:rPr>
        <w:t>It should</w:t>
      </w:r>
      <w:r>
        <w:rPr>
          <w:i/>
          <w:spacing w:val="-1"/>
          <w:sz w:val="22"/>
        </w:rPr>
        <w:t> </w:t>
      </w:r>
      <w:r>
        <w:rPr>
          <w:i/>
          <w:sz w:val="22"/>
        </w:rPr>
        <w:t>be</w:t>
      </w:r>
      <w:r>
        <w:rPr>
          <w:i/>
          <w:spacing w:val="-1"/>
          <w:sz w:val="22"/>
        </w:rPr>
        <w:t> </w:t>
      </w:r>
      <w:r>
        <w:rPr>
          <w:i/>
          <w:sz w:val="22"/>
        </w:rPr>
        <w:t>noted</w:t>
      </w:r>
      <w:r>
        <w:rPr>
          <w:i/>
          <w:spacing w:val="-1"/>
          <w:sz w:val="22"/>
        </w:rPr>
        <w:t> </w:t>
      </w:r>
      <w:r>
        <w:rPr>
          <w:i/>
          <w:sz w:val="22"/>
        </w:rPr>
        <w:t>that if</w:t>
      </w:r>
      <w:r>
        <w:rPr>
          <w:i/>
          <w:spacing w:val="-2"/>
          <w:sz w:val="22"/>
        </w:rPr>
        <w:t> </w:t>
      </w:r>
      <w:r>
        <w:rPr>
          <w:i/>
          <w:sz w:val="22"/>
        </w:rPr>
        <w:t>a</w:t>
      </w:r>
      <w:r>
        <w:rPr>
          <w:i/>
          <w:spacing w:val="-2"/>
          <w:sz w:val="22"/>
        </w:rPr>
        <w:t> </w:t>
      </w:r>
      <w:r>
        <w:rPr>
          <w:i/>
          <w:sz w:val="22"/>
        </w:rPr>
        <w:t>market price is</w:t>
      </w:r>
      <w:r>
        <w:rPr>
          <w:i/>
          <w:spacing w:val="-4"/>
          <w:sz w:val="22"/>
        </w:rPr>
        <w:t> </w:t>
      </w:r>
      <w:r>
        <w:rPr>
          <w:i/>
          <w:sz w:val="22"/>
        </w:rPr>
        <w:t>lower</w:t>
      </w:r>
      <w:r>
        <w:rPr>
          <w:i/>
          <w:spacing w:val="-1"/>
          <w:sz w:val="22"/>
        </w:rPr>
        <w:t> </w:t>
      </w:r>
      <w:r>
        <w:rPr>
          <w:i/>
          <w:sz w:val="22"/>
        </w:rPr>
        <w:t>than council’s</w:t>
      </w:r>
      <w:r>
        <w:rPr>
          <w:i/>
          <w:spacing w:val="-2"/>
          <w:sz w:val="22"/>
        </w:rPr>
        <w:t> </w:t>
      </w:r>
      <w:r>
        <w:rPr>
          <w:i/>
          <w:sz w:val="22"/>
        </w:rPr>
        <w:t>full cost price, then</w:t>
      </w:r>
      <w:r>
        <w:rPr>
          <w:i/>
          <w:spacing w:val="-1"/>
          <w:sz w:val="22"/>
        </w:rPr>
        <w:t> </w:t>
      </w:r>
      <w:r>
        <w:rPr>
          <w:i/>
          <w:sz w:val="22"/>
        </w:rPr>
        <w:t>the</w:t>
      </w:r>
      <w:r>
        <w:rPr>
          <w:i/>
          <w:spacing w:val="-3"/>
          <w:sz w:val="22"/>
        </w:rPr>
        <w:t> </w:t>
      </w:r>
      <w:r>
        <w:rPr>
          <w:i/>
          <w:sz w:val="22"/>
        </w:rPr>
        <w:t>market</w:t>
      </w:r>
      <w:r>
        <w:rPr>
          <w:i/>
          <w:sz w:val="22"/>
        </w:rPr>
        <w:t> price would represent council subsidising that service.</w:t>
      </w:r>
      <w:r>
        <w:rPr>
          <w:i/>
          <w:spacing w:val="40"/>
          <w:sz w:val="22"/>
        </w:rPr>
        <w:t> </w:t>
      </w:r>
      <w:r>
        <w:rPr>
          <w:i/>
          <w:sz w:val="22"/>
        </w:rPr>
        <w:t>If this situation exists, and there are other</w:t>
      </w:r>
      <w:r>
        <w:rPr>
          <w:i/>
          <w:spacing w:val="68"/>
          <w:sz w:val="22"/>
        </w:rPr>
        <w:t> </w:t>
      </w:r>
      <w:r>
        <w:rPr>
          <w:i/>
          <w:sz w:val="22"/>
        </w:rPr>
        <w:t>suppliers</w:t>
      </w:r>
      <w:r>
        <w:rPr>
          <w:i/>
          <w:spacing w:val="68"/>
          <w:sz w:val="22"/>
        </w:rPr>
        <w:t> </w:t>
      </w:r>
      <w:r>
        <w:rPr>
          <w:i/>
          <w:sz w:val="22"/>
        </w:rPr>
        <w:t>existing</w:t>
      </w:r>
      <w:r>
        <w:rPr>
          <w:i/>
          <w:spacing w:val="66"/>
          <w:sz w:val="22"/>
        </w:rPr>
        <w:t> </w:t>
      </w:r>
      <w:r>
        <w:rPr>
          <w:i/>
          <w:sz w:val="22"/>
        </w:rPr>
        <w:t>in</w:t>
      </w:r>
      <w:r>
        <w:rPr>
          <w:i/>
          <w:spacing w:val="66"/>
          <w:sz w:val="22"/>
        </w:rPr>
        <w:t> </w:t>
      </w:r>
      <w:r>
        <w:rPr>
          <w:i/>
          <w:sz w:val="22"/>
        </w:rPr>
        <w:t>the</w:t>
      </w:r>
      <w:r>
        <w:rPr>
          <w:i/>
          <w:spacing w:val="66"/>
          <w:sz w:val="22"/>
        </w:rPr>
        <w:t> </w:t>
      </w:r>
      <w:r>
        <w:rPr>
          <w:i/>
          <w:sz w:val="22"/>
        </w:rPr>
        <w:t>market</w:t>
      </w:r>
      <w:r>
        <w:rPr>
          <w:i/>
          <w:spacing w:val="68"/>
          <w:sz w:val="22"/>
        </w:rPr>
        <w:t> </w:t>
      </w:r>
      <w:r>
        <w:rPr>
          <w:i/>
          <w:sz w:val="22"/>
        </w:rPr>
        <w:t>at</w:t>
      </w:r>
      <w:r>
        <w:rPr>
          <w:i/>
          <w:spacing w:val="66"/>
          <w:sz w:val="22"/>
        </w:rPr>
        <w:t> </w:t>
      </w:r>
      <w:r>
        <w:rPr>
          <w:i/>
          <w:sz w:val="22"/>
        </w:rPr>
        <w:t>the</w:t>
      </w:r>
      <w:r>
        <w:rPr>
          <w:i/>
          <w:spacing w:val="64"/>
          <w:sz w:val="22"/>
        </w:rPr>
        <w:t> </w:t>
      </w:r>
      <w:r>
        <w:rPr>
          <w:i/>
          <w:sz w:val="22"/>
        </w:rPr>
        <w:t>same</w:t>
      </w:r>
      <w:r>
        <w:rPr>
          <w:i/>
          <w:spacing w:val="66"/>
          <w:sz w:val="22"/>
        </w:rPr>
        <w:t> </w:t>
      </w:r>
      <w:r>
        <w:rPr>
          <w:i/>
          <w:sz w:val="22"/>
        </w:rPr>
        <w:t>price,</w:t>
      </w:r>
      <w:r>
        <w:rPr>
          <w:i/>
          <w:spacing w:val="66"/>
          <w:sz w:val="22"/>
        </w:rPr>
        <w:t> </w:t>
      </w:r>
      <w:r>
        <w:rPr>
          <w:i/>
          <w:sz w:val="22"/>
        </w:rPr>
        <w:t>this</w:t>
      </w:r>
      <w:r>
        <w:rPr>
          <w:i/>
          <w:spacing w:val="65"/>
          <w:sz w:val="22"/>
        </w:rPr>
        <w:t> </w:t>
      </w:r>
      <w:r>
        <w:rPr>
          <w:i/>
          <w:sz w:val="22"/>
        </w:rPr>
        <w:t>may</w:t>
      </w:r>
      <w:r>
        <w:rPr>
          <w:i/>
          <w:spacing w:val="65"/>
          <w:sz w:val="22"/>
        </w:rPr>
        <w:t> </w:t>
      </w:r>
      <w:r>
        <w:rPr>
          <w:i/>
          <w:sz w:val="22"/>
        </w:rPr>
        <w:t>mean</w:t>
      </w:r>
      <w:r>
        <w:rPr>
          <w:i/>
          <w:spacing w:val="68"/>
          <w:sz w:val="22"/>
        </w:rPr>
        <w:t> </w:t>
      </w:r>
      <w:r>
        <w:rPr>
          <w:i/>
          <w:sz w:val="22"/>
        </w:rPr>
        <w:t>that</w:t>
      </w:r>
      <w:r>
        <w:rPr>
          <w:i/>
          <w:spacing w:val="70"/>
          <w:sz w:val="22"/>
        </w:rPr>
        <w:t> </w:t>
      </w:r>
      <w:r>
        <w:rPr>
          <w:i/>
          <w:sz w:val="22"/>
        </w:rPr>
        <w:t>council is</w:t>
      </w:r>
      <w:r>
        <w:rPr>
          <w:i/>
          <w:spacing w:val="-2"/>
          <w:sz w:val="22"/>
        </w:rPr>
        <w:t> </w:t>
      </w:r>
      <w:r>
        <w:rPr>
          <w:i/>
          <w:sz w:val="22"/>
        </w:rPr>
        <w:t>not</w:t>
      </w:r>
      <w:r>
        <w:rPr>
          <w:i/>
          <w:spacing w:val="-1"/>
          <w:sz w:val="22"/>
        </w:rPr>
        <w:t> </w:t>
      </w:r>
      <w:r>
        <w:rPr>
          <w:i/>
          <w:sz w:val="22"/>
        </w:rPr>
        <w:t>the</w:t>
      </w:r>
      <w:r>
        <w:rPr>
          <w:i/>
          <w:spacing w:val="-3"/>
          <w:sz w:val="22"/>
        </w:rPr>
        <w:t> </w:t>
      </w:r>
      <w:r>
        <w:rPr>
          <w:i/>
          <w:sz w:val="22"/>
        </w:rPr>
        <w:t>most efficient</w:t>
      </w:r>
      <w:r>
        <w:rPr>
          <w:i/>
          <w:spacing w:val="-5"/>
          <w:sz w:val="22"/>
        </w:rPr>
        <w:t> </w:t>
      </w:r>
      <w:r>
        <w:rPr>
          <w:i/>
          <w:sz w:val="22"/>
        </w:rPr>
        <w:t>supplier in the marketplace.</w:t>
      </w:r>
      <w:r>
        <w:rPr>
          <w:i/>
          <w:spacing w:val="40"/>
          <w:sz w:val="22"/>
        </w:rPr>
        <w:t> </w:t>
      </w:r>
      <w:r>
        <w:rPr>
          <w:i/>
          <w:sz w:val="22"/>
        </w:rPr>
        <w:t>In this situation, council</w:t>
      </w:r>
      <w:r>
        <w:rPr>
          <w:i/>
          <w:spacing w:val="-2"/>
          <w:sz w:val="22"/>
        </w:rPr>
        <w:t> </w:t>
      </w:r>
      <w:r>
        <w:rPr>
          <w:i/>
          <w:sz w:val="22"/>
        </w:rPr>
        <w:t>will</w:t>
      </w:r>
      <w:r>
        <w:rPr>
          <w:i/>
          <w:spacing w:val="-5"/>
          <w:sz w:val="22"/>
        </w:rPr>
        <w:t> </w:t>
      </w:r>
      <w:r>
        <w:rPr>
          <w:i/>
          <w:sz w:val="22"/>
        </w:rPr>
        <w:t>consider whether</w:t>
      </w:r>
      <w:r>
        <w:rPr>
          <w:i/>
          <w:spacing w:val="-2"/>
          <w:sz w:val="22"/>
        </w:rPr>
        <w:t> </w:t>
      </w:r>
      <w:r>
        <w:rPr>
          <w:i/>
          <w:sz w:val="22"/>
        </w:rPr>
        <w:t>there</w:t>
      </w:r>
      <w:r>
        <w:rPr>
          <w:i/>
          <w:spacing w:val="-4"/>
          <w:sz w:val="22"/>
        </w:rPr>
        <w:t> </w:t>
      </w:r>
      <w:r>
        <w:rPr>
          <w:i/>
          <w:sz w:val="22"/>
        </w:rPr>
        <w:t>is</w:t>
      </w:r>
      <w:r>
        <w:rPr>
          <w:i/>
          <w:spacing w:val="-2"/>
          <w:sz w:val="22"/>
        </w:rPr>
        <w:t> </w:t>
      </w:r>
      <w:r>
        <w:rPr>
          <w:i/>
          <w:sz w:val="22"/>
        </w:rPr>
        <w:t>a</w:t>
      </w:r>
      <w:r>
        <w:rPr>
          <w:i/>
          <w:spacing w:val="-3"/>
          <w:sz w:val="22"/>
        </w:rPr>
        <w:t> </w:t>
      </w:r>
      <w:r>
        <w:rPr>
          <w:i/>
          <w:sz w:val="22"/>
        </w:rPr>
        <w:t>community</w:t>
      </w:r>
      <w:r>
        <w:rPr>
          <w:i/>
          <w:spacing w:val="-2"/>
          <w:sz w:val="22"/>
        </w:rPr>
        <w:t> </w:t>
      </w:r>
      <w:r>
        <w:rPr>
          <w:i/>
          <w:sz w:val="22"/>
        </w:rPr>
        <w:t>service</w:t>
      </w:r>
      <w:r>
        <w:rPr>
          <w:i/>
          <w:spacing w:val="-4"/>
          <w:sz w:val="22"/>
        </w:rPr>
        <w:t> </w:t>
      </w:r>
      <w:r>
        <w:rPr>
          <w:i/>
          <w:sz w:val="22"/>
        </w:rPr>
        <w:t>obligation</w:t>
      </w:r>
      <w:r>
        <w:rPr>
          <w:i/>
          <w:spacing w:val="-1"/>
          <w:sz w:val="22"/>
        </w:rPr>
        <w:t> </w:t>
      </w:r>
      <w:r>
        <w:rPr>
          <w:i/>
          <w:sz w:val="22"/>
        </w:rPr>
        <w:t>and</w:t>
      </w:r>
      <w:r>
        <w:rPr>
          <w:i/>
          <w:spacing w:val="-2"/>
          <w:sz w:val="22"/>
        </w:rPr>
        <w:t> </w:t>
      </w:r>
      <w:r>
        <w:rPr>
          <w:i/>
          <w:sz w:val="22"/>
        </w:rPr>
        <w:t>whether</w:t>
      </w:r>
      <w:r>
        <w:rPr>
          <w:i/>
          <w:spacing w:val="-2"/>
          <w:sz w:val="22"/>
        </w:rPr>
        <w:t> </w:t>
      </w:r>
      <w:r>
        <w:rPr>
          <w:i/>
          <w:sz w:val="22"/>
        </w:rPr>
        <w:t>council</w:t>
      </w:r>
      <w:r>
        <w:rPr>
          <w:i/>
          <w:spacing w:val="-2"/>
          <w:sz w:val="22"/>
        </w:rPr>
        <w:t> </w:t>
      </w:r>
      <w:r>
        <w:rPr>
          <w:i/>
          <w:sz w:val="22"/>
        </w:rPr>
        <w:t>should</w:t>
      </w:r>
      <w:r>
        <w:rPr>
          <w:i/>
          <w:spacing w:val="-4"/>
          <w:sz w:val="22"/>
        </w:rPr>
        <w:t> </w:t>
      </w:r>
      <w:r>
        <w:rPr>
          <w:i/>
          <w:sz w:val="22"/>
        </w:rPr>
        <w:t>be</w:t>
      </w:r>
      <w:r>
        <w:rPr>
          <w:i/>
          <w:spacing w:val="-2"/>
          <w:sz w:val="22"/>
        </w:rPr>
        <w:t> </w:t>
      </w:r>
      <w:r>
        <w:rPr>
          <w:i/>
          <w:sz w:val="22"/>
        </w:rPr>
        <w:t>providing</w:t>
      </w:r>
      <w:r>
        <w:rPr>
          <w:i/>
          <w:spacing w:val="-2"/>
          <w:sz w:val="22"/>
        </w:rPr>
        <w:t> </w:t>
      </w:r>
      <w:r>
        <w:rPr>
          <w:i/>
          <w:sz w:val="22"/>
        </w:rPr>
        <w:t>this service at all.</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3"/>
        </w:rPr>
      </w:pPr>
      <w:r>
        <w:rPr/>
        <w:drawing>
          <wp:anchor distT="0" distB="0" distL="0" distR="0" allowOverlap="1" layoutInCell="1" locked="0" behindDoc="0" simplePos="0" relativeHeight="36">
            <wp:simplePos x="0" y="0"/>
            <wp:positionH relativeFrom="page">
              <wp:posOffset>27432</wp:posOffset>
            </wp:positionH>
            <wp:positionV relativeFrom="paragraph">
              <wp:posOffset>183183</wp:posOffset>
            </wp:positionV>
            <wp:extent cx="7378567" cy="97440"/>
            <wp:effectExtent l="0" t="0" r="0" b="0"/>
            <wp:wrapTopAndBottom/>
            <wp:docPr id="73" name="image4.png"/>
            <wp:cNvGraphicFramePr>
              <a:graphicFrameLocks noChangeAspect="1"/>
            </wp:cNvGraphicFramePr>
            <a:graphic>
              <a:graphicData uri="http://schemas.openxmlformats.org/drawingml/2006/picture">
                <pic:pic>
                  <pic:nvPicPr>
                    <pic:cNvPr id="74"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23"/>
        </w:rPr>
        <w:sectPr>
          <w:pgSz w:w="11910" w:h="16840"/>
          <w:pgMar w:header="0" w:footer="662" w:top="1360" w:bottom="860" w:left="0" w:right="0"/>
        </w:sectPr>
      </w:pPr>
    </w:p>
    <w:p>
      <w:pPr>
        <w:pStyle w:val="BodyText"/>
        <w:rPr>
          <w:i/>
          <w:sz w:val="20"/>
        </w:rPr>
      </w:pPr>
    </w:p>
    <w:p>
      <w:pPr>
        <w:pStyle w:val="BodyText"/>
        <w:rPr>
          <w:i/>
          <w:sz w:val="20"/>
        </w:rPr>
      </w:pPr>
    </w:p>
    <w:p>
      <w:pPr>
        <w:pStyle w:val="BodyText"/>
        <w:rPr>
          <w:i/>
          <w:sz w:val="25"/>
        </w:rPr>
      </w:pPr>
    </w:p>
    <w:p>
      <w:pPr>
        <w:pStyle w:val="Heading5"/>
        <w:spacing w:before="94"/>
        <w:jc w:val="left"/>
      </w:pPr>
      <w:r>
        <w:rPr/>
        <w:drawing>
          <wp:anchor distT="0" distB="0" distL="0" distR="0" allowOverlap="1" layoutInCell="1" locked="0" behindDoc="0" simplePos="0" relativeHeight="15747584">
            <wp:simplePos x="0" y="0"/>
            <wp:positionH relativeFrom="page">
              <wp:posOffset>6461760</wp:posOffset>
            </wp:positionH>
            <wp:positionV relativeFrom="paragraph">
              <wp:posOffset>-479833</wp:posOffset>
            </wp:positionV>
            <wp:extent cx="545591" cy="637031"/>
            <wp:effectExtent l="0" t="0" r="0" b="0"/>
            <wp:wrapNone/>
            <wp:docPr id="75" name="image3.png"/>
            <wp:cNvGraphicFramePr>
              <a:graphicFrameLocks noChangeAspect="1"/>
            </wp:cNvGraphicFramePr>
            <a:graphic>
              <a:graphicData uri="http://schemas.openxmlformats.org/drawingml/2006/picture">
                <pic:pic>
                  <pic:nvPicPr>
                    <pic:cNvPr id="76" name="image3.png"/>
                    <pic:cNvPicPr/>
                  </pic:nvPicPr>
                  <pic:blipFill>
                    <a:blip r:embed="rId8" cstate="print"/>
                    <a:stretch>
                      <a:fillRect/>
                    </a:stretch>
                  </pic:blipFill>
                  <pic:spPr>
                    <a:xfrm>
                      <a:off x="0" y="0"/>
                      <a:ext cx="545591" cy="637031"/>
                    </a:xfrm>
                    <a:prstGeom prst="rect">
                      <a:avLst/>
                    </a:prstGeom>
                  </pic:spPr>
                </pic:pic>
              </a:graphicData>
            </a:graphic>
          </wp:anchor>
        </w:drawing>
      </w:r>
      <w:r>
        <w:rPr/>
        <w:t>Full</w:t>
      </w:r>
      <w:r>
        <w:rPr>
          <w:spacing w:val="-5"/>
        </w:rPr>
        <w:t> </w:t>
      </w:r>
      <w:r>
        <w:rPr/>
        <w:t>Cost</w:t>
      </w:r>
      <w:r>
        <w:rPr>
          <w:spacing w:val="-2"/>
        </w:rPr>
        <w:t> </w:t>
      </w:r>
      <w:r>
        <w:rPr/>
        <w:t>Recovery </w:t>
      </w:r>
      <w:r>
        <w:rPr>
          <w:spacing w:val="-2"/>
        </w:rPr>
        <w:t>Price</w:t>
      </w:r>
    </w:p>
    <w:p>
      <w:pPr>
        <w:pStyle w:val="BodyText"/>
        <w:spacing w:before="10"/>
        <w:rPr>
          <w:b/>
          <w:sz w:val="13"/>
        </w:rPr>
      </w:pPr>
    </w:p>
    <w:p>
      <w:pPr>
        <w:pStyle w:val="BodyText"/>
        <w:spacing w:before="94"/>
        <w:ind w:left="1440" w:right="1432"/>
        <w:jc w:val="both"/>
      </w:pPr>
      <w:r>
        <w:rPr/>
        <w:t>Full cost recovery price</w:t>
      </w:r>
      <w:r>
        <w:rPr>
          <w:spacing w:val="-5"/>
        </w:rPr>
        <w:t> </w:t>
      </w:r>
      <w:r>
        <w:rPr/>
        <w:t>aims to recover all direct and indirect costs incurred by council.</w:t>
      </w:r>
      <w:r>
        <w:rPr>
          <w:spacing w:val="-1"/>
        </w:rPr>
        <w:t> </w:t>
      </w:r>
      <w:r>
        <w:rPr/>
        <w:t>This pricing should be used in particular where a service provided by council benefits individual customers specifically, rather than the community as a whole.</w:t>
      </w:r>
      <w:r>
        <w:rPr>
          <w:spacing w:val="-2"/>
        </w:rPr>
        <w:t> </w:t>
      </w:r>
      <w:r>
        <w:rPr/>
        <w:t>In principle, fees and charges should be set at a level that recovers</w:t>
      </w:r>
      <w:r>
        <w:rPr>
          <w:spacing w:val="-1"/>
        </w:rPr>
        <w:t> </w:t>
      </w:r>
      <w:r>
        <w:rPr/>
        <w:t>the full cost of providing the services</w:t>
      </w:r>
      <w:r>
        <w:rPr>
          <w:spacing w:val="-1"/>
        </w:rPr>
        <w:t> </w:t>
      </w:r>
      <w:r>
        <w:rPr/>
        <w:t>unless there is an overriding policy or imperative in favour of subsidisation.</w:t>
      </w:r>
    </w:p>
    <w:p>
      <w:pPr>
        <w:pStyle w:val="BodyText"/>
        <w:spacing w:before="10"/>
        <w:rPr>
          <w:sz w:val="21"/>
        </w:rPr>
      </w:pPr>
    </w:p>
    <w:p>
      <w:pPr>
        <w:pStyle w:val="Heading5"/>
      </w:pPr>
      <w:r>
        <w:rPr/>
        <w:t>Subsidised</w:t>
      </w:r>
      <w:r>
        <w:rPr>
          <w:spacing w:val="-7"/>
        </w:rPr>
        <w:t> </w:t>
      </w:r>
      <w:r>
        <w:rPr>
          <w:spacing w:val="-4"/>
        </w:rPr>
        <w:t>Price</w:t>
      </w:r>
    </w:p>
    <w:p>
      <w:pPr>
        <w:pStyle w:val="BodyText"/>
        <w:spacing w:before="1"/>
        <w:rPr>
          <w:b/>
        </w:rPr>
      </w:pPr>
    </w:p>
    <w:p>
      <w:pPr>
        <w:pStyle w:val="BodyText"/>
        <w:ind w:left="1440" w:right="1431"/>
        <w:jc w:val="both"/>
      </w:pPr>
      <w:r>
        <w:rPr/>
        <w:t>Subsidised</w:t>
      </w:r>
      <w:r>
        <w:rPr>
          <w:spacing w:val="-2"/>
        </w:rPr>
        <w:t> </w:t>
      </w:r>
      <w:r>
        <w:rPr/>
        <w:t>pricing</w:t>
      </w:r>
      <w:r>
        <w:rPr>
          <w:spacing w:val="-2"/>
        </w:rPr>
        <w:t> </w:t>
      </w:r>
      <w:r>
        <w:rPr/>
        <w:t>is</w:t>
      </w:r>
      <w:r>
        <w:rPr>
          <w:spacing w:val="-2"/>
        </w:rPr>
        <w:t> </w:t>
      </w:r>
      <w:r>
        <w:rPr/>
        <w:t>where council</w:t>
      </w:r>
      <w:r>
        <w:rPr>
          <w:spacing w:val="-2"/>
        </w:rPr>
        <w:t> </w:t>
      </w:r>
      <w:r>
        <w:rPr/>
        <w:t>subsidises</w:t>
      </w:r>
      <w:r>
        <w:rPr>
          <w:spacing w:val="-2"/>
        </w:rPr>
        <w:t> </w:t>
      </w:r>
      <w:r>
        <w:rPr/>
        <w:t>a service by not passing the full cost of that service onto the customer.</w:t>
      </w:r>
      <w:r>
        <w:rPr>
          <w:spacing w:val="-4"/>
        </w:rPr>
        <w:t> </w:t>
      </w:r>
      <w:r>
        <w:rPr/>
        <w:t>Subsidies may range from full subsidies (i.e. council provides the service</w:t>
      </w:r>
      <w:r>
        <w:rPr>
          <w:spacing w:val="-10"/>
        </w:rPr>
        <w:t> </w:t>
      </w:r>
      <w:r>
        <w:rPr/>
        <w:t>free</w:t>
      </w:r>
      <w:r>
        <w:rPr>
          <w:spacing w:val="-6"/>
        </w:rPr>
        <w:t> </w:t>
      </w:r>
      <w:r>
        <w:rPr/>
        <w:t>of</w:t>
      </w:r>
      <w:r>
        <w:rPr>
          <w:spacing w:val="-8"/>
        </w:rPr>
        <w:t> </w:t>
      </w:r>
      <w:r>
        <w:rPr/>
        <w:t>charge)</w:t>
      </w:r>
      <w:r>
        <w:rPr>
          <w:spacing w:val="-9"/>
        </w:rPr>
        <w:t> </w:t>
      </w:r>
      <w:r>
        <w:rPr/>
        <w:t>to</w:t>
      </w:r>
      <w:r>
        <w:rPr>
          <w:spacing w:val="-8"/>
        </w:rPr>
        <w:t> </w:t>
      </w:r>
      <w:r>
        <w:rPr/>
        <w:t>partial</w:t>
      </w:r>
      <w:r>
        <w:rPr>
          <w:spacing w:val="-6"/>
        </w:rPr>
        <w:t> </w:t>
      </w:r>
      <w:r>
        <w:rPr/>
        <w:t>subsidies,</w:t>
      </w:r>
      <w:r>
        <w:rPr>
          <w:spacing w:val="-8"/>
        </w:rPr>
        <w:t> </w:t>
      </w:r>
      <w:r>
        <w:rPr/>
        <w:t>where</w:t>
      </w:r>
      <w:r>
        <w:rPr>
          <w:spacing w:val="-8"/>
        </w:rPr>
        <w:t> </w:t>
      </w:r>
      <w:r>
        <w:rPr/>
        <w:t>council</w:t>
      </w:r>
      <w:r>
        <w:rPr>
          <w:spacing w:val="-9"/>
        </w:rPr>
        <w:t> </w:t>
      </w:r>
      <w:r>
        <w:rPr/>
        <w:t>provides</w:t>
      </w:r>
      <w:r>
        <w:rPr>
          <w:spacing w:val="-8"/>
        </w:rPr>
        <w:t> </w:t>
      </w:r>
      <w:r>
        <w:rPr/>
        <w:t>the</w:t>
      </w:r>
      <w:r>
        <w:rPr>
          <w:spacing w:val="-8"/>
        </w:rPr>
        <w:t> </w:t>
      </w:r>
      <w:r>
        <w:rPr/>
        <w:t>service</w:t>
      </w:r>
      <w:r>
        <w:rPr>
          <w:spacing w:val="-10"/>
        </w:rPr>
        <w:t> </w:t>
      </w:r>
      <w:r>
        <w:rPr/>
        <w:t>to</w:t>
      </w:r>
      <w:r>
        <w:rPr>
          <w:spacing w:val="-8"/>
        </w:rPr>
        <w:t> </w:t>
      </w:r>
      <w:r>
        <w:rPr/>
        <w:t>the</w:t>
      </w:r>
      <w:r>
        <w:rPr>
          <w:spacing w:val="-10"/>
        </w:rPr>
        <w:t> </w:t>
      </w:r>
      <w:r>
        <w:rPr/>
        <w:t>user</w:t>
      </w:r>
      <w:r>
        <w:rPr>
          <w:spacing w:val="-6"/>
        </w:rPr>
        <w:t> </w:t>
      </w:r>
      <w:r>
        <w:rPr/>
        <w:t>with a</w:t>
      </w:r>
      <w:r>
        <w:rPr>
          <w:spacing w:val="31"/>
        </w:rPr>
        <w:t> </w:t>
      </w:r>
      <w:r>
        <w:rPr/>
        <w:t>discount.</w:t>
      </w:r>
      <w:r>
        <w:rPr>
          <w:spacing w:val="28"/>
        </w:rPr>
        <w:t> </w:t>
      </w:r>
      <w:r>
        <w:rPr/>
        <w:t>The</w:t>
      </w:r>
      <w:r>
        <w:rPr>
          <w:spacing w:val="31"/>
        </w:rPr>
        <w:t> </w:t>
      </w:r>
      <w:r>
        <w:rPr/>
        <w:t>subsidy</w:t>
      </w:r>
      <w:r>
        <w:rPr>
          <w:spacing w:val="-3"/>
        </w:rPr>
        <w:t> </w:t>
      </w:r>
      <w:r>
        <w:rPr/>
        <w:t>can</w:t>
      </w:r>
      <w:r>
        <w:rPr>
          <w:spacing w:val="30"/>
        </w:rPr>
        <w:t> </w:t>
      </w:r>
      <w:r>
        <w:rPr/>
        <w:t>be</w:t>
      </w:r>
      <w:r>
        <w:rPr>
          <w:spacing w:val="28"/>
        </w:rPr>
        <w:t> </w:t>
      </w:r>
      <w:r>
        <w:rPr/>
        <w:t>funded</w:t>
      </w:r>
      <w:r>
        <w:rPr>
          <w:spacing w:val="-2"/>
        </w:rPr>
        <w:t> </w:t>
      </w:r>
      <w:r>
        <w:rPr/>
        <w:t>from</w:t>
      </w:r>
      <w:r>
        <w:rPr>
          <w:spacing w:val="30"/>
        </w:rPr>
        <w:t> </w:t>
      </w:r>
      <w:r>
        <w:rPr/>
        <w:t>council’s</w:t>
      </w:r>
      <w:r>
        <w:rPr>
          <w:spacing w:val="30"/>
        </w:rPr>
        <w:t> </w:t>
      </w:r>
      <w:r>
        <w:rPr/>
        <w:t>rate</w:t>
      </w:r>
      <w:r>
        <w:rPr>
          <w:spacing w:val="32"/>
        </w:rPr>
        <w:t> </w:t>
      </w:r>
      <w:r>
        <w:rPr/>
        <w:t>revenue</w:t>
      </w:r>
      <w:r>
        <w:rPr>
          <w:spacing w:val="31"/>
        </w:rPr>
        <w:t> </w:t>
      </w:r>
      <w:r>
        <w:rPr/>
        <w:t>or</w:t>
      </w:r>
      <w:r>
        <w:rPr>
          <w:spacing w:val="28"/>
        </w:rPr>
        <w:t> </w:t>
      </w:r>
      <w:r>
        <w:rPr/>
        <w:t>other</w:t>
      </w:r>
      <w:r>
        <w:rPr>
          <w:spacing w:val="29"/>
        </w:rPr>
        <w:t> </w:t>
      </w:r>
      <w:r>
        <w:rPr/>
        <w:t>sources</w:t>
      </w:r>
      <w:r>
        <w:rPr>
          <w:spacing w:val="28"/>
        </w:rPr>
        <w:t> </w:t>
      </w:r>
      <w:r>
        <w:rPr/>
        <w:t>such as Commonwealth and state funding programs.</w:t>
      </w:r>
      <w:r>
        <w:rPr>
          <w:spacing w:val="40"/>
        </w:rPr>
        <w:t> </w:t>
      </w:r>
      <w:r>
        <w:rPr/>
        <w:t>Full council subsidy pricing and partial cost pricing should always be based on knowledge of the full cost of providing a service.</w:t>
      </w:r>
    </w:p>
    <w:p>
      <w:pPr>
        <w:pStyle w:val="BodyText"/>
      </w:pPr>
    </w:p>
    <w:p>
      <w:pPr>
        <w:spacing w:before="0"/>
        <w:ind w:left="1440" w:right="1433" w:firstLine="0"/>
        <w:jc w:val="both"/>
        <w:rPr>
          <w:sz w:val="22"/>
        </w:rPr>
      </w:pPr>
      <w:r>
        <w:rPr>
          <w:sz w:val="22"/>
        </w:rPr>
        <w:t>As per the Victorian Auditor General’s Office report </w:t>
      </w:r>
      <w:r>
        <w:rPr>
          <w:i/>
          <w:sz w:val="22"/>
        </w:rPr>
        <w:t>“Fees and charges – cost recovery by</w:t>
      </w:r>
      <w:r>
        <w:rPr>
          <w:i/>
          <w:sz w:val="22"/>
        </w:rPr>
        <w:t> local government” </w:t>
      </w:r>
      <w:r>
        <w:rPr>
          <w:sz w:val="22"/>
        </w:rPr>
        <w:t>recommendations, council has developed a user fee pricing policy to help guide the fair and equitable setting of prices.</w:t>
      </w:r>
    </w:p>
    <w:p>
      <w:pPr>
        <w:pStyle w:val="BodyText"/>
        <w:spacing w:before="1"/>
      </w:pPr>
    </w:p>
    <w:p>
      <w:pPr>
        <w:pStyle w:val="BodyText"/>
        <w:ind w:left="1440"/>
      </w:pPr>
      <w:r>
        <w:rPr/>
        <w:t>The</w:t>
      </w:r>
      <w:r>
        <w:rPr>
          <w:spacing w:val="-4"/>
        </w:rPr>
        <w:t> </w:t>
      </w:r>
      <w:r>
        <w:rPr/>
        <w:t>policy</w:t>
      </w:r>
      <w:r>
        <w:rPr>
          <w:spacing w:val="-1"/>
        </w:rPr>
        <w:t> </w:t>
      </w:r>
      <w:r>
        <w:rPr/>
        <w:t>outlines</w:t>
      </w:r>
      <w:r>
        <w:rPr>
          <w:spacing w:val="-5"/>
        </w:rPr>
        <w:t> </w:t>
      </w:r>
      <w:r>
        <w:rPr/>
        <w:t>the</w:t>
      </w:r>
      <w:r>
        <w:rPr>
          <w:spacing w:val="-3"/>
        </w:rPr>
        <w:t> </w:t>
      </w:r>
      <w:r>
        <w:rPr/>
        <w:t>process</w:t>
      </w:r>
      <w:r>
        <w:rPr>
          <w:spacing w:val="-5"/>
        </w:rPr>
        <w:t> </w:t>
      </w:r>
      <w:r>
        <w:rPr/>
        <w:t>for</w:t>
      </w:r>
      <w:r>
        <w:rPr>
          <w:spacing w:val="-3"/>
        </w:rPr>
        <w:t> </w:t>
      </w:r>
      <w:r>
        <w:rPr/>
        <w:t>setting</w:t>
      </w:r>
      <w:r>
        <w:rPr>
          <w:spacing w:val="-5"/>
        </w:rPr>
        <w:t> </w:t>
      </w:r>
      <w:r>
        <w:rPr/>
        <w:t>fee</w:t>
      </w:r>
      <w:r>
        <w:rPr>
          <w:spacing w:val="-2"/>
        </w:rPr>
        <w:t> </w:t>
      </w:r>
      <w:r>
        <w:rPr/>
        <w:t>prices</w:t>
      </w:r>
      <w:r>
        <w:rPr>
          <w:spacing w:val="-3"/>
        </w:rPr>
        <w:t> </w:t>
      </w:r>
      <w:r>
        <w:rPr/>
        <w:t>and</w:t>
      </w:r>
      <w:r>
        <w:rPr>
          <w:spacing w:val="-3"/>
        </w:rPr>
        <w:t> </w:t>
      </w:r>
      <w:r>
        <w:rPr/>
        <w:t>includes</w:t>
      </w:r>
      <w:r>
        <w:rPr>
          <w:spacing w:val="-5"/>
        </w:rPr>
        <w:t> </w:t>
      </w:r>
      <w:r>
        <w:rPr/>
        <w:t>such</w:t>
      </w:r>
      <w:r>
        <w:rPr>
          <w:spacing w:val="-2"/>
        </w:rPr>
        <w:t> </w:t>
      </w:r>
      <w:r>
        <w:rPr/>
        <w:t>principles</w:t>
      </w:r>
      <w:r>
        <w:rPr>
          <w:spacing w:val="-1"/>
        </w:rPr>
        <w:t> </w:t>
      </w:r>
      <w:r>
        <w:rPr>
          <w:spacing w:val="-5"/>
        </w:rPr>
        <w:t>as:</w:t>
      </w:r>
    </w:p>
    <w:p>
      <w:pPr>
        <w:pStyle w:val="ListParagraph"/>
        <w:numPr>
          <w:ilvl w:val="0"/>
          <w:numId w:val="4"/>
        </w:numPr>
        <w:tabs>
          <w:tab w:pos="1799" w:val="left" w:leader="none"/>
          <w:tab w:pos="1800" w:val="left" w:leader="none"/>
        </w:tabs>
        <w:spacing w:line="240" w:lineRule="auto" w:before="1" w:after="0"/>
        <w:ind w:left="1799" w:right="0" w:hanging="360"/>
        <w:jc w:val="left"/>
        <w:rPr>
          <w:sz w:val="22"/>
        </w:rPr>
      </w:pPr>
      <w:r>
        <w:rPr>
          <w:sz w:val="22"/>
        </w:rPr>
        <w:t>Both</w:t>
      </w:r>
      <w:r>
        <w:rPr>
          <w:spacing w:val="-7"/>
          <w:sz w:val="22"/>
        </w:rPr>
        <w:t> </w:t>
      </w:r>
      <w:r>
        <w:rPr>
          <w:sz w:val="22"/>
        </w:rPr>
        <w:t>direct</w:t>
      </w:r>
      <w:r>
        <w:rPr>
          <w:spacing w:val="-1"/>
          <w:sz w:val="22"/>
        </w:rPr>
        <w:t> </w:t>
      </w:r>
      <w:r>
        <w:rPr>
          <w:sz w:val="22"/>
        </w:rPr>
        <w:t>and</w:t>
      </w:r>
      <w:r>
        <w:rPr>
          <w:spacing w:val="-4"/>
          <w:sz w:val="22"/>
        </w:rPr>
        <w:t> </w:t>
      </w:r>
      <w:r>
        <w:rPr>
          <w:sz w:val="22"/>
        </w:rPr>
        <w:t>indirect</w:t>
      </w:r>
      <w:r>
        <w:rPr>
          <w:spacing w:val="-2"/>
          <w:sz w:val="22"/>
        </w:rPr>
        <w:t> </w:t>
      </w:r>
      <w:r>
        <w:rPr>
          <w:sz w:val="22"/>
        </w:rPr>
        <w:t>costs</w:t>
      </w:r>
      <w:r>
        <w:rPr>
          <w:spacing w:val="-3"/>
          <w:sz w:val="22"/>
        </w:rPr>
        <w:t> </w:t>
      </w:r>
      <w:r>
        <w:rPr>
          <w:sz w:val="22"/>
        </w:rPr>
        <w:t>to</w:t>
      </w:r>
      <w:r>
        <w:rPr>
          <w:spacing w:val="-3"/>
          <w:sz w:val="22"/>
        </w:rPr>
        <w:t> </w:t>
      </w:r>
      <w:r>
        <w:rPr>
          <w:sz w:val="22"/>
        </w:rPr>
        <w:t>be</w:t>
      </w:r>
      <w:r>
        <w:rPr>
          <w:spacing w:val="-6"/>
          <w:sz w:val="22"/>
        </w:rPr>
        <w:t> </w:t>
      </w:r>
      <w:r>
        <w:rPr>
          <w:sz w:val="22"/>
        </w:rPr>
        <w:t>taken</w:t>
      </w:r>
      <w:r>
        <w:rPr>
          <w:spacing w:val="-2"/>
          <w:sz w:val="22"/>
        </w:rPr>
        <w:t> </w:t>
      </w:r>
      <w:r>
        <w:rPr>
          <w:sz w:val="22"/>
        </w:rPr>
        <w:t>into</w:t>
      </w:r>
      <w:r>
        <w:rPr>
          <w:spacing w:val="-3"/>
          <w:sz w:val="22"/>
        </w:rPr>
        <w:t> </w:t>
      </w:r>
      <w:r>
        <w:rPr>
          <w:sz w:val="22"/>
        </w:rPr>
        <w:t>account</w:t>
      </w:r>
      <w:r>
        <w:rPr>
          <w:spacing w:val="-1"/>
          <w:sz w:val="22"/>
        </w:rPr>
        <w:t> </w:t>
      </w:r>
      <w:r>
        <w:rPr>
          <w:sz w:val="22"/>
        </w:rPr>
        <w:t>when</w:t>
      </w:r>
      <w:r>
        <w:rPr>
          <w:spacing w:val="-5"/>
          <w:sz w:val="22"/>
        </w:rPr>
        <w:t> </w:t>
      </w:r>
      <w:r>
        <w:rPr>
          <w:sz w:val="22"/>
        </w:rPr>
        <w:t>setting</w:t>
      </w:r>
      <w:r>
        <w:rPr>
          <w:spacing w:val="-2"/>
          <w:sz w:val="22"/>
        </w:rPr>
        <w:t> prices;</w:t>
      </w:r>
    </w:p>
    <w:p>
      <w:pPr>
        <w:pStyle w:val="ListParagraph"/>
        <w:numPr>
          <w:ilvl w:val="0"/>
          <w:numId w:val="4"/>
        </w:numPr>
        <w:tabs>
          <w:tab w:pos="1799" w:val="left" w:leader="none"/>
          <w:tab w:pos="1800" w:val="left" w:leader="none"/>
        </w:tabs>
        <w:spacing w:line="240" w:lineRule="auto" w:before="18" w:after="0"/>
        <w:ind w:left="1799" w:right="0" w:hanging="360"/>
        <w:jc w:val="left"/>
        <w:rPr>
          <w:sz w:val="22"/>
        </w:rPr>
      </w:pPr>
      <w:r>
        <w:rPr>
          <w:spacing w:val="-2"/>
          <w:sz w:val="22"/>
        </w:rPr>
        <w:t>Accessibility,</w:t>
      </w:r>
      <w:r>
        <w:rPr>
          <w:spacing w:val="-3"/>
          <w:sz w:val="22"/>
        </w:rPr>
        <w:t> </w:t>
      </w:r>
      <w:r>
        <w:rPr>
          <w:spacing w:val="-2"/>
          <w:sz w:val="22"/>
        </w:rPr>
        <w:t>affordability</w:t>
      </w:r>
      <w:r>
        <w:rPr>
          <w:spacing w:val="-3"/>
          <w:sz w:val="22"/>
        </w:rPr>
        <w:t> </w:t>
      </w:r>
      <w:r>
        <w:rPr>
          <w:spacing w:val="-2"/>
          <w:sz w:val="22"/>
        </w:rPr>
        <w:t>and</w:t>
      </w:r>
      <w:r>
        <w:rPr>
          <w:spacing w:val="-1"/>
          <w:sz w:val="22"/>
        </w:rPr>
        <w:t> </w:t>
      </w:r>
      <w:r>
        <w:rPr>
          <w:spacing w:val="-2"/>
          <w:sz w:val="22"/>
        </w:rPr>
        <w:t>efficient</w:t>
      </w:r>
      <w:r>
        <w:rPr>
          <w:spacing w:val="-1"/>
          <w:sz w:val="22"/>
        </w:rPr>
        <w:t> </w:t>
      </w:r>
      <w:r>
        <w:rPr>
          <w:spacing w:val="-2"/>
          <w:sz w:val="22"/>
        </w:rPr>
        <w:t>delivery</w:t>
      </w:r>
      <w:r>
        <w:rPr>
          <w:spacing w:val="-3"/>
          <w:sz w:val="22"/>
        </w:rPr>
        <w:t> </w:t>
      </w:r>
      <w:r>
        <w:rPr>
          <w:spacing w:val="-2"/>
          <w:sz w:val="22"/>
        </w:rPr>
        <w:t>of</w:t>
      </w:r>
      <w:r>
        <w:rPr>
          <w:spacing w:val="-3"/>
          <w:sz w:val="22"/>
        </w:rPr>
        <w:t> </w:t>
      </w:r>
      <w:r>
        <w:rPr>
          <w:spacing w:val="-2"/>
          <w:sz w:val="22"/>
        </w:rPr>
        <w:t>services</w:t>
      </w:r>
      <w:r>
        <w:rPr>
          <w:spacing w:val="-4"/>
          <w:sz w:val="22"/>
        </w:rPr>
        <w:t> </w:t>
      </w:r>
      <w:r>
        <w:rPr>
          <w:spacing w:val="-2"/>
          <w:sz w:val="22"/>
        </w:rPr>
        <w:t>must</w:t>
      </w:r>
      <w:r>
        <w:rPr>
          <w:spacing w:val="-3"/>
          <w:sz w:val="22"/>
        </w:rPr>
        <w:t> </w:t>
      </w:r>
      <w:r>
        <w:rPr>
          <w:spacing w:val="-2"/>
          <w:sz w:val="22"/>
        </w:rPr>
        <w:t>be</w:t>
      </w:r>
      <w:r>
        <w:rPr>
          <w:spacing w:val="-3"/>
          <w:sz w:val="22"/>
        </w:rPr>
        <w:t> </w:t>
      </w:r>
      <w:r>
        <w:rPr>
          <w:spacing w:val="-2"/>
          <w:sz w:val="22"/>
        </w:rPr>
        <w:t>taken</w:t>
      </w:r>
      <w:r>
        <w:rPr>
          <w:spacing w:val="-1"/>
          <w:sz w:val="22"/>
        </w:rPr>
        <w:t> </w:t>
      </w:r>
      <w:r>
        <w:rPr>
          <w:spacing w:val="-2"/>
          <w:sz w:val="22"/>
        </w:rPr>
        <w:t>into account;</w:t>
      </w:r>
      <w:r>
        <w:rPr>
          <w:spacing w:val="1"/>
          <w:sz w:val="22"/>
        </w:rPr>
        <w:t> </w:t>
      </w:r>
      <w:r>
        <w:rPr>
          <w:spacing w:val="-5"/>
          <w:sz w:val="22"/>
        </w:rPr>
        <w:t>and</w:t>
      </w:r>
    </w:p>
    <w:p>
      <w:pPr>
        <w:pStyle w:val="ListParagraph"/>
        <w:numPr>
          <w:ilvl w:val="0"/>
          <w:numId w:val="4"/>
        </w:numPr>
        <w:tabs>
          <w:tab w:pos="1799" w:val="left" w:leader="none"/>
          <w:tab w:pos="1800" w:val="left" w:leader="none"/>
        </w:tabs>
        <w:spacing w:line="240" w:lineRule="auto" w:before="19" w:after="0"/>
        <w:ind w:left="1799" w:right="0" w:hanging="360"/>
        <w:jc w:val="left"/>
        <w:rPr>
          <w:sz w:val="22"/>
        </w:rPr>
      </w:pPr>
      <w:r>
        <w:rPr>
          <w:sz w:val="22"/>
        </w:rPr>
        <w:t>Competitive</w:t>
      </w:r>
      <w:r>
        <w:rPr>
          <w:spacing w:val="-7"/>
          <w:sz w:val="22"/>
        </w:rPr>
        <w:t> </w:t>
      </w:r>
      <w:r>
        <w:rPr>
          <w:sz w:val="22"/>
        </w:rPr>
        <w:t>neutrality</w:t>
      </w:r>
      <w:r>
        <w:rPr>
          <w:spacing w:val="-5"/>
          <w:sz w:val="22"/>
        </w:rPr>
        <w:t> </w:t>
      </w:r>
      <w:r>
        <w:rPr>
          <w:sz w:val="22"/>
        </w:rPr>
        <w:t>with</w:t>
      </w:r>
      <w:r>
        <w:rPr>
          <w:spacing w:val="-7"/>
          <w:sz w:val="22"/>
        </w:rPr>
        <w:t> </w:t>
      </w:r>
      <w:r>
        <w:rPr>
          <w:sz w:val="22"/>
        </w:rPr>
        <w:t>commercial</w:t>
      </w:r>
      <w:r>
        <w:rPr>
          <w:spacing w:val="-4"/>
          <w:sz w:val="22"/>
        </w:rPr>
        <w:t> </w:t>
      </w:r>
      <w:r>
        <w:rPr>
          <w:spacing w:val="-2"/>
          <w:sz w:val="22"/>
        </w:rPr>
        <w:t>providers.</w:t>
      </w:r>
    </w:p>
    <w:p>
      <w:pPr>
        <w:pStyle w:val="BodyText"/>
        <w:spacing w:before="175"/>
        <w:ind w:left="1440" w:right="1435"/>
        <w:jc w:val="both"/>
      </w:pPr>
      <w:r>
        <w:rPr/>
        <w:t>Council will develop a table of fees and charges as part of its annual budget each year. Proposed pricing changes will be included in this table and will be communicated to the community before the budget is adopted, giving them the chance to review and provide valuable feedback before the fees are locked in.</w:t>
      </w:r>
    </w:p>
    <w:p>
      <w:pPr>
        <w:pStyle w:val="BodyText"/>
        <w:rPr>
          <w:sz w:val="24"/>
        </w:rPr>
      </w:pPr>
    </w:p>
    <w:p>
      <w:pPr>
        <w:pStyle w:val="Heading2"/>
        <w:numPr>
          <w:ilvl w:val="1"/>
          <w:numId w:val="13"/>
        </w:numPr>
        <w:tabs>
          <w:tab w:pos="2161" w:val="left" w:leader="none"/>
          <w:tab w:pos="2162" w:val="left" w:leader="none"/>
        </w:tabs>
        <w:spacing w:line="240" w:lineRule="auto" w:before="178" w:after="0"/>
        <w:ind w:left="2161" w:right="0" w:hanging="722"/>
        <w:jc w:val="left"/>
      </w:pPr>
      <w:bookmarkStart w:name="_TOC_250007" w:id="15"/>
      <w:r>
        <w:rPr>
          <w:color w:val="134295"/>
        </w:rPr>
        <w:t>Statutory</w:t>
      </w:r>
      <w:r>
        <w:rPr>
          <w:color w:val="134295"/>
          <w:spacing w:val="-9"/>
        </w:rPr>
        <w:t> </w:t>
      </w:r>
      <w:r>
        <w:rPr>
          <w:color w:val="134295"/>
        </w:rPr>
        <w:t>Fees</w:t>
      </w:r>
      <w:r>
        <w:rPr>
          <w:color w:val="134295"/>
          <w:spacing w:val="-9"/>
        </w:rPr>
        <w:t> </w:t>
      </w:r>
      <w:r>
        <w:rPr>
          <w:color w:val="134295"/>
        </w:rPr>
        <w:t>and</w:t>
      </w:r>
      <w:r>
        <w:rPr>
          <w:color w:val="134295"/>
          <w:spacing w:val="-12"/>
        </w:rPr>
        <w:t> </w:t>
      </w:r>
      <w:bookmarkEnd w:id="15"/>
      <w:r>
        <w:rPr>
          <w:color w:val="134295"/>
          <w:spacing w:val="-2"/>
        </w:rPr>
        <w:t>Charges</w:t>
      </w:r>
    </w:p>
    <w:p>
      <w:pPr>
        <w:pStyle w:val="BodyText"/>
        <w:spacing w:before="254"/>
        <w:ind w:left="1440" w:right="1434"/>
        <w:jc w:val="both"/>
      </w:pPr>
      <w:r>
        <w:rPr/>
        <w:t>Statutory fees and fines are those which council collects under the direction of legislation or other</w:t>
      </w:r>
      <w:r>
        <w:rPr>
          <w:spacing w:val="-7"/>
        </w:rPr>
        <w:t> </w:t>
      </w:r>
      <w:r>
        <w:rPr/>
        <w:t>government</w:t>
      </w:r>
      <w:r>
        <w:rPr>
          <w:spacing w:val="-6"/>
        </w:rPr>
        <w:t> </w:t>
      </w:r>
      <w:r>
        <w:rPr/>
        <w:t>directives.</w:t>
      </w:r>
      <w:r>
        <w:rPr>
          <w:spacing w:val="-8"/>
        </w:rPr>
        <w:t> </w:t>
      </w:r>
      <w:r>
        <w:rPr/>
        <w:t>The</w:t>
      </w:r>
      <w:r>
        <w:rPr>
          <w:spacing w:val="-12"/>
        </w:rPr>
        <w:t> </w:t>
      </w:r>
      <w:r>
        <w:rPr/>
        <w:t>rates</w:t>
      </w:r>
      <w:r>
        <w:rPr>
          <w:spacing w:val="-8"/>
        </w:rPr>
        <w:t> </w:t>
      </w:r>
      <w:r>
        <w:rPr/>
        <w:t>used</w:t>
      </w:r>
      <w:r>
        <w:rPr>
          <w:spacing w:val="-11"/>
        </w:rPr>
        <w:t> </w:t>
      </w:r>
      <w:r>
        <w:rPr/>
        <w:t>for</w:t>
      </w:r>
      <w:r>
        <w:rPr>
          <w:spacing w:val="-8"/>
        </w:rPr>
        <w:t> </w:t>
      </w:r>
      <w:r>
        <w:rPr/>
        <w:t>statutory</w:t>
      </w:r>
      <w:r>
        <w:rPr>
          <w:spacing w:val="-13"/>
        </w:rPr>
        <w:t> </w:t>
      </w:r>
      <w:r>
        <w:rPr/>
        <w:t>fees</w:t>
      </w:r>
      <w:r>
        <w:rPr>
          <w:spacing w:val="-8"/>
        </w:rPr>
        <w:t> </w:t>
      </w:r>
      <w:r>
        <w:rPr/>
        <w:t>and</w:t>
      </w:r>
      <w:r>
        <w:rPr>
          <w:spacing w:val="-11"/>
        </w:rPr>
        <w:t> </w:t>
      </w:r>
      <w:r>
        <w:rPr/>
        <w:t>fines</w:t>
      </w:r>
      <w:r>
        <w:rPr>
          <w:spacing w:val="-8"/>
        </w:rPr>
        <w:t> </w:t>
      </w:r>
      <w:r>
        <w:rPr/>
        <w:t>are</w:t>
      </w:r>
      <w:r>
        <w:rPr>
          <w:spacing w:val="-10"/>
        </w:rPr>
        <w:t> </w:t>
      </w:r>
      <w:r>
        <w:rPr/>
        <w:t>generally</w:t>
      </w:r>
      <w:r>
        <w:rPr>
          <w:spacing w:val="-11"/>
        </w:rPr>
        <w:t> </w:t>
      </w:r>
      <w:r>
        <w:rPr/>
        <w:t>advised by</w:t>
      </w:r>
      <w:r>
        <w:rPr>
          <w:spacing w:val="-9"/>
        </w:rPr>
        <w:t> </w:t>
      </w:r>
      <w:r>
        <w:rPr/>
        <w:t>the</w:t>
      </w:r>
      <w:r>
        <w:rPr>
          <w:spacing w:val="-9"/>
        </w:rPr>
        <w:t> </w:t>
      </w:r>
      <w:r>
        <w:rPr/>
        <w:t>state</w:t>
      </w:r>
      <w:r>
        <w:rPr>
          <w:spacing w:val="-7"/>
        </w:rPr>
        <w:t> </w:t>
      </w:r>
      <w:r>
        <w:rPr/>
        <w:t>government</w:t>
      </w:r>
      <w:r>
        <w:rPr>
          <w:spacing w:val="-11"/>
        </w:rPr>
        <w:t> </w:t>
      </w:r>
      <w:r>
        <w:rPr/>
        <w:t>department</w:t>
      </w:r>
      <w:r>
        <w:rPr>
          <w:spacing w:val="-11"/>
        </w:rPr>
        <w:t> </w:t>
      </w:r>
      <w:r>
        <w:rPr/>
        <w:t>responsible</w:t>
      </w:r>
      <w:r>
        <w:rPr>
          <w:spacing w:val="-11"/>
        </w:rPr>
        <w:t> </w:t>
      </w:r>
      <w:r>
        <w:rPr/>
        <w:t>for</w:t>
      </w:r>
      <w:r>
        <w:rPr>
          <w:spacing w:val="-8"/>
        </w:rPr>
        <w:t> </w:t>
      </w:r>
      <w:r>
        <w:rPr/>
        <w:t>the</w:t>
      </w:r>
      <w:r>
        <w:rPr>
          <w:spacing w:val="-9"/>
        </w:rPr>
        <w:t> </w:t>
      </w:r>
      <w:r>
        <w:rPr/>
        <w:t>corresponding</w:t>
      </w:r>
      <w:r>
        <w:rPr>
          <w:spacing w:val="-9"/>
        </w:rPr>
        <w:t> </w:t>
      </w:r>
      <w:r>
        <w:rPr/>
        <w:t>services</w:t>
      </w:r>
      <w:r>
        <w:rPr>
          <w:spacing w:val="-7"/>
        </w:rPr>
        <w:t> </w:t>
      </w:r>
      <w:r>
        <w:rPr/>
        <w:t>or</w:t>
      </w:r>
      <w:r>
        <w:rPr>
          <w:spacing w:val="-7"/>
        </w:rPr>
        <w:t> </w:t>
      </w:r>
      <w:r>
        <w:rPr/>
        <w:t>legislation, and generally councils will have limited discretion in applying these fees.</w:t>
      </w:r>
    </w:p>
    <w:p>
      <w:pPr>
        <w:pStyle w:val="BodyText"/>
      </w:pPr>
    </w:p>
    <w:p>
      <w:pPr>
        <w:pStyle w:val="BodyText"/>
        <w:ind w:left="1440"/>
      </w:pPr>
      <w:r>
        <w:rPr/>
        <w:t>Examples</w:t>
      </w:r>
      <w:r>
        <w:rPr>
          <w:spacing w:val="-3"/>
        </w:rPr>
        <w:t> </w:t>
      </w:r>
      <w:r>
        <w:rPr/>
        <w:t>of</w:t>
      </w:r>
      <w:r>
        <w:rPr>
          <w:spacing w:val="-2"/>
        </w:rPr>
        <w:t> </w:t>
      </w:r>
      <w:r>
        <w:rPr/>
        <w:t>statutory</w:t>
      </w:r>
      <w:r>
        <w:rPr>
          <w:spacing w:val="-4"/>
        </w:rPr>
        <w:t> </w:t>
      </w:r>
      <w:r>
        <w:rPr/>
        <w:t>fees</w:t>
      </w:r>
      <w:r>
        <w:rPr>
          <w:spacing w:val="-3"/>
        </w:rPr>
        <w:t> </w:t>
      </w:r>
      <w:r>
        <w:rPr/>
        <w:t>and</w:t>
      </w:r>
      <w:r>
        <w:rPr>
          <w:spacing w:val="-5"/>
        </w:rPr>
        <w:t> </w:t>
      </w:r>
      <w:r>
        <w:rPr/>
        <w:t>fines</w:t>
      </w:r>
      <w:r>
        <w:rPr>
          <w:spacing w:val="-1"/>
        </w:rPr>
        <w:t> </w:t>
      </w:r>
      <w:r>
        <w:rPr>
          <w:spacing w:val="-2"/>
        </w:rPr>
        <w:t>include:</w:t>
      </w:r>
    </w:p>
    <w:p>
      <w:pPr>
        <w:pStyle w:val="ListParagraph"/>
        <w:numPr>
          <w:ilvl w:val="0"/>
          <w:numId w:val="4"/>
        </w:numPr>
        <w:tabs>
          <w:tab w:pos="1799" w:val="left" w:leader="none"/>
          <w:tab w:pos="1800" w:val="left" w:leader="none"/>
        </w:tabs>
        <w:spacing w:line="268" w:lineRule="exact" w:before="1" w:after="0"/>
        <w:ind w:left="1799" w:right="0" w:hanging="360"/>
        <w:jc w:val="left"/>
        <w:rPr>
          <w:sz w:val="22"/>
        </w:rPr>
      </w:pPr>
      <w:r>
        <w:rPr>
          <w:sz w:val="22"/>
        </w:rPr>
        <w:t>Planning</w:t>
      </w:r>
      <w:r>
        <w:rPr>
          <w:spacing w:val="-4"/>
          <w:sz w:val="22"/>
        </w:rPr>
        <w:t> </w:t>
      </w:r>
      <w:r>
        <w:rPr>
          <w:sz w:val="22"/>
        </w:rPr>
        <w:t>and</w:t>
      </w:r>
      <w:r>
        <w:rPr>
          <w:spacing w:val="-4"/>
          <w:sz w:val="22"/>
        </w:rPr>
        <w:t> </w:t>
      </w:r>
      <w:r>
        <w:rPr>
          <w:sz w:val="22"/>
        </w:rPr>
        <w:t>subdivision</w:t>
      </w:r>
      <w:r>
        <w:rPr>
          <w:spacing w:val="-2"/>
          <w:sz w:val="22"/>
        </w:rPr>
        <w:t> </w:t>
      </w:r>
      <w:r>
        <w:rPr>
          <w:spacing w:val="-4"/>
          <w:sz w:val="22"/>
        </w:rPr>
        <w:t>fees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Building</w:t>
      </w:r>
      <w:r>
        <w:rPr>
          <w:spacing w:val="-4"/>
          <w:sz w:val="22"/>
        </w:rPr>
        <w:t> </w:t>
      </w:r>
      <w:r>
        <w:rPr>
          <w:sz w:val="22"/>
        </w:rPr>
        <w:t>and</w:t>
      </w:r>
      <w:r>
        <w:rPr>
          <w:spacing w:val="-4"/>
          <w:sz w:val="22"/>
        </w:rPr>
        <w:t> </w:t>
      </w:r>
      <w:r>
        <w:rPr>
          <w:sz w:val="22"/>
        </w:rPr>
        <w:t>Inspection</w:t>
      </w:r>
      <w:r>
        <w:rPr>
          <w:spacing w:val="-5"/>
          <w:sz w:val="22"/>
        </w:rPr>
        <w:t> </w:t>
      </w:r>
      <w:r>
        <w:rPr>
          <w:spacing w:val="-4"/>
          <w:sz w:val="22"/>
        </w:rPr>
        <w:t>fees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Infringements</w:t>
      </w:r>
      <w:r>
        <w:rPr>
          <w:spacing w:val="-5"/>
          <w:sz w:val="22"/>
        </w:rPr>
        <w:t> </w:t>
      </w:r>
      <w:r>
        <w:rPr>
          <w:sz w:val="22"/>
        </w:rPr>
        <w:t>and</w:t>
      </w:r>
      <w:r>
        <w:rPr>
          <w:spacing w:val="-7"/>
          <w:sz w:val="22"/>
        </w:rPr>
        <w:t> </w:t>
      </w:r>
      <w:r>
        <w:rPr>
          <w:spacing w:val="-4"/>
          <w:sz w:val="22"/>
        </w:rPr>
        <w:t>fines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Land</w:t>
      </w:r>
      <w:r>
        <w:rPr>
          <w:spacing w:val="-3"/>
          <w:sz w:val="22"/>
        </w:rPr>
        <w:t> </w:t>
      </w:r>
      <w:r>
        <w:rPr>
          <w:sz w:val="22"/>
        </w:rPr>
        <w:t>Information</w:t>
      </w:r>
      <w:r>
        <w:rPr>
          <w:spacing w:val="-5"/>
          <w:sz w:val="22"/>
        </w:rPr>
        <w:t> </w:t>
      </w:r>
      <w:r>
        <w:rPr>
          <w:sz w:val="22"/>
        </w:rPr>
        <w:t>Certificate</w:t>
      </w:r>
      <w:r>
        <w:rPr>
          <w:spacing w:val="-7"/>
          <w:sz w:val="22"/>
        </w:rPr>
        <w:t> </w:t>
      </w:r>
      <w:r>
        <w:rPr>
          <w:spacing w:val="-4"/>
          <w:sz w:val="22"/>
        </w:rPr>
        <w:t>fees</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Swimming</w:t>
      </w:r>
      <w:r>
        <w:rPr>
          <w:spacing w:val="-5"/>
          <w:sz w:val="22"/>
        </w:rPr>
        <w:t> </w:t>
      </w:r>
      <w:r>
        <w:rPr>
          <w:sz w:val="22"/>
        </w:rPr>
        <w:t>Pool/Spa</w:t>
      </w:r>
      <w:r>
        <w:rPr>
          <w:spacing w:val="-5"/>
          <w:sz w:val="22"/>
        </w:rPr>
        <w:t> </w:t>
      </w:r>
      <w:r>
        <w:rPr>
          <w:sz w:val="22"/>
        </w:rPr>
        <w:t>Registration</w:t>
      </w:r>
      <w:r>
        <w:rPr>
          <w:spacing w:val="-6"/>
          <w:sz w:val="22"/>
        </w:rPr>
        <w:t> </w:t>
      </w:r>
      <w:r>
        <w:rPr>
          <w:spacing w:val="-4"/>
          <w:sz w:val="22"/>
        </w:rPr>
        <w:t>fees</w:t>
      </w:r>
    </w:p>
    <w:p>
      <w:pPr>
        <w:pStyle w:val="BodyText"/>
        <w:spacing w:before="7"/>
        <w:rPr>
          <w:sz w:val="21"/>
        </w:rPr>
      </w:pPr>
    </w:p>
    <w:p>
      <w:pPr>
        <w:pStyle w:val="BodyText"/>
        <w:spacing w:before="1"/>
        <w:ind w:left="1440" w:right="1342"/>
      </w:pPr>
      <w:r>
        <w:rPr/>
        <w:drawing>
          <wp:anchor distT="0" distB="0" distL="0" distR="0" allowOverlap="1" layoutInCell="1" locked="0" behindDoc="0" simplePos="0" relativeHeight="15748096">
            <wp:simplePos x="0" y="0"/>
            <wp:positionH relativeFrom="page">
              <wp:posOffset>0</wp:posOffset>
            </wp:positionH>
            <wp:positionV relativeFrom="paragraph">
              <wp:posOffset>1433168</wp:posOffset>
            </wp:positionV>
            <wp:extent cx="7560564" cy="101981"/>
            <wp:effectExtent l="0" t="0" r="0" b="0"/>
            <wp:wrapNone/>
            <wp:docPr id="77" name="image2.png"/>
            <wp:cNvGraphicFramePr>
              <a:graphicFrameLocks noChangeAspect="1"/>
            </wp:cNvGraphicFramePr>
            <a:graphic>
              <a:graphicData uri="http://schemas.openxmlformats.org/drawingml/2006/picture">
                <pic:pic>
                  <pic:nvPicPr>
                    <pic:cNvPr id="78" name="image2.png"/>
                    <pic:cNvPicPr/>
                  </pic:nvPicPr>
                  <pic:blipFill>
                    <a:blip r:embed="rId7" cstate="print"/>
                    <a:stretch>
                      <a:fillRect/>
                    </a:stretch>
                  </pic:blipFill>
                  <pic:spPr>
                    <a:xfrm>
                      <a:off x="0" y="0"/>
                      <a:ext cx="7560564" cy="101981"/>
                    </a:xfrm>
                    <a:prstGeom prst="rect">
                      <a:avLst/>
                    </a:prstGeom>
                  </pic:spPr>
                </pic:pic>
              </a:graphicData>
            </a:graphic>
          </wp:anchor>
        </w:drawing>
      </w:r>
      <w:r>
        <w:rPr/>
        <w:t>Penalty and</w:t>
      </w:r>
      <w:r>
        <w:rPr>
          <w:spacing w:val="-4"/>
        </w:rPr>
        <w:t> </w:t>
      </w:r>
      <w:r>
        <w:rPr/>
        <w:t>fee</w:t>
      </w:r>
      <w:r>
        <w:rPr>
          <w:spacing w:val="-2"/>
        </w:rPr>
        <w:t> </w:t>
      </w:r>
      <w:r>
        <w:rPr/>
        <w:t>units are</w:t>
      </w:r>
      <w:r>
        <w:rPr>
          <w:spacing w:val="-6"/>
        </w:rPr>
        <w:t> </w:t>
      </w:r>
      <w:r>
        <w:rPr/>
        <w:t>used</w:t>
      </w:r>
      <w:r>
        <w:rPr>
          <w:spacing w:val="-1"/>
        </w:rPr>
        <w:t> </w:t>
      </w:r>
      <w:r>
        <w:rPr/>
        <w:t>in Victoria’s</w:t>
      </w:r>
      <w:r>
        <w:rPr>
          <w:spacing w:val="-2"/>
        </w:rPr>
        <w:t> </w:t>
      </w:r>
      <w:r>
        <w:rPr/>
        <w:t>Acts</w:t>
      </w:r>
      <w:r>
        <w:rPr>
          <w:spacing w:val="-2"/>
        </w:rPr>
        <w:t> </w:t>
      </w:r>
      <w:r>
        <w:rPr/>
        <w:t>and Regulations</w:t>
      </w:r>
      <w:r>
        <w:rPr>
          <w:spacing w:val="-2"/>
        </w:rPr>
        <w:t> </w:t>
      </w:r>
      <w:r>
        <w:rPr/>
        <w:t>to</w:t>
      </w:r>
      <w:r>
        <w:rPr>
          <w:spacing w:val="-6"/>
        </w:rPr>
        <w:t> </w:t>
      </w:r>
      <w:r>
        <w:rPr/>
        <w:t>describe</w:t>
      </w:r>
      <w:r>
        <w:rPr>
          <w:spacing w:val="-2"/>
        </w:rPr>
        <w:t> </w:t>
      </w:r>
      <w:r>
        <w:rPr/>
        <w:t>the</w:t>
      </w:r>
      <w:r>
        <w:rPr>
          <w:spacing w:val="-4"/>
        </w:rPr>
        <w:t> </w:t>
      </w:r>
      <w:r>
        <w:rPr/>
        <w:t>amount of a fine or a fee.</w:t>
      </w:r>
    </w:p>
    <w:p>
      <w:pPr>
        <w:spacing w:after="0"/>
        <w:sectPr>
          <w:pgSz w:w="11910" w:h="16840"/>
          <w:pgMar w:header="0" w:footer="662" w:top="580" w:bottom="860" w:left="0" w:right="0"/>
        </w:sectPr>
      </w:pPr>
    </w:p>
    <w:p>
      <w:pPr>
        <w:pStyle w:val="Heading5"/>
        <w:spacing w:before="81"/>
      </w:pPr>
      <w:r>
        <w:rPr/>
        <w:t>Penalty</w:t>
      </w:r>
      <w:r>
        <w:rPr>
          <w:spacing w:val="-3"/>
        </w:rPr>
        <w:t> </w:t>
      </w:r>
      <w:r>
        <w:rPr>
          <w:spacing w:val="-2"/>
        </w:rPr>
        <w:t>units</w:t>
      </w:r>
    </w:p>
    <w:p>
      <w:pPr>
        <w:pStyle w:val="BodyText"/>
        <w:spacing w:before="1"/>
        <w:rPr>
          <w:b/>
        </w:rPr>
      </w:pPr>
    </w:p>
    <w:p>
      <w:pPr>
        <w:pStyle w:val="BodyText"/>
        <w:ind w:left="1440" w:right="1439"/>
        <w:jc w:val="both"/>
      </w:pPr>
      <w:r>
        <w:rPr/>
        <w:t>Penalty</w:t>
      </w:r>
      <w:r>
        <w:rPr>
          <w:spacing w:val="-8"/>
        </w:rPr>
        <w:t> </w:t>
      </w:r>
      <w:r>
        <w:rPr/>
        <w:t>units</w:t>
      </w:r>
      <w:r>
        <w:rPr>
          <w:spacing w:val="-11"/>
        </w:rPr>
        <w:t> </w:t>
      </w:r>
      <w:r>
        <w:rPr/>
        <w:t>are</w:t>
      </w:r>
      <w:r>
        <w:rPr>
          <w:spacing w:val="-12"/>
        </w:rPr>
        <w:t> </w:t>
      </w:r>
      <w:r>
        <w:rPr/>
        <w:t>used</w:t>
      </w:r>
      <w:r>
        <w:rPr>
          <w:spacing w:val="-12"/>
        </w:rPr>
        <w:t> </w:t>
      </w:r>
      <w:r>
        <w:rPr/>
        <w:t>to</w:t>
      </w:r>
      <w:r>
        <w:rPr>
          <w:spacing w:val="-14"/>
        </w:rPr>
        <w:t> </w:t>
      </w:r>
      <w:r>
        <w:rPr/>
        <w:t>define</w:t>
      </w:r>
      <w:r>
        <w:rPr>
          <w:spacing w:val="-10"/>
        </w:rPr>
        <w:t> </w:t>
      </w:r>
      <w:r>
        <w:rPr/>
        <w:t>the</w:t>
      </w:r>
      <w:r>
        <w:rPr>
          <w:spacing w:val="-12"/>
        </w:rPr>
        <w:t> </w:t>
      </w:r>
      <w:r>
        <w:rPr/>
        <w:t>amount</w:t>
      </w:r>
      <w:r>
        <w:rPr>
          <w:spacing w:val="-10"/>
        </w:rPr>
        <w:t> </w:t>
      </w:r>
      <w:r>
        <w:rPr/>
        <w:t>payable</w:t>
      </w:r>
      <w:r>
        <w:rPr>
          <w:spacing w:val="-10"/>
        </w:rPr>
        <w:t> </w:t>
      </w:r>
      <w:r>
        <w:rPr/>
        <w:t>for</w:t>
      </w:r>
      <w:r>
        <w:rPr>
          <w:spacing w:val="-9"/>
        </w:rPr>
        <w:t> </w:t>
      </w:r>
      <w:r>
        <w:rPr/>
        <w:t>fines</w:t>
      </w:r>
      <w:r>
        <w:rPr>
          <w:spacing w:val="-11"/>
        </w:rPr>
        <w:t> </w:t>
      </w:r>
      <w:r>
        <w:rPr/>
        <w:t>for</w:t>
      </w:r>
      <w:r>
        <w:rPr>
          <w:spacing w:val="-11"/>
        </w:rPr>
        <w:t> </w:t>
      </w:r>
      <w:r>
        <w:rPr/>
        <w:t>many</w:t>
      </w:r>
      <w:r>
        <w:rPr>
          <w:spacing w:val="-11"/>
        </w:rPr>
        <w:t> </w:t>
      </w:r>
      <w:r>
        <w:rPr/>
        <w:t>offences.</w:t>
      </w:r>
      <w:r>
        <w:rPr>
          <w:spacing w:val="-6"/>
        </w:rPr>
        <w:t> </w:t>
      </w:r>
      <w:r>
        <w:rPr/>
        <w:t>For</w:t>
      </w:r>
      <w:r>
        <w:rPr>
          <w:spacing w:val="-11"/>
        </w:rPr>
        <w:t> </w:t>
      </w:r>
      <w:r>
        <w:rPr/>
        <w:t>example, the fine for selling a tobacco product to a person aged under 18 is 120 penalty units.</w:t>
      </w:r>
    </w:p>
    <w:p>
      <w:pPr>
        <w:pStyle w:val="BodyText"/>
        <w:ind w:left="1440"/>
        <w:jc w:val="both"/>
      </w:pPr>
      <w:r>
        <w:rPr/>
        <w:t>One</w:t>
      </w:r>
      <w:r>
        <w:rPr>
          <w:spacing w:val="-4"/>
        </w:rPr>
        <w:t> </w:t>
      </w:r>
      <w:r>
        <w:rPr/>
        <w:t>penalty</w:t>
      </w:r>
      <w:r>
        <w:rPr>
          <w:spacing w:val="-1"/>
        </w:rPr>
        <w:t> </w:t>
      </w:r>
      <w:r>
        <w:rPr/>
        <w:t>unit</w:t>
      </w:r>
      <w:r>
        <w:rPr>
          <w:spacing w:val="-3"/>
        </w:rPr>
        <w:t> </w:t>
      </w:r>
      <w:r>
        <w:rPr/>
        <w:t>is</w:t>
      </w:r>
      <w:r>
        <w:rPr>
          <w:spacing w:val="-2"/>
        </w:rPr>
        <w:t> </w:t>
      </w:r>
      <w:r>
        <w:rPr/>
        <w:t>currently</w:t>
      </w:r>
      <w:r>
        <w:rPr>
          <w:spacing w:val="-1"/>
        </w:rPr>
        <w:t> </w:t>
      </w:r>
      <w:r>
        <w:rPr/>
        <w:t>$197.59,</w:t>
      </w:r>
      <w:r>
        <w:rPr>
          <w:spacing w:val="-1"/>
        </w:rPr>
        <w:t> </w:t>
      </w:r>
      <w:r>
        <w:rPr/>
        <w:t>from</w:t>
      </w:r>
      <w:r>
        <w:rPr>
          <w:spacing w:val="-2"/>
        </w:rPr>
        <w:t> </w:t>
      </w:r>
      <w:r>
        <w:rPr/>
        <w:t>1</w:t>
      </w:r>
      <w:r>
        <w:rPr>
          <w:spacing w:val="-3"/>
        </w:rPr>
        <w:t> </w:t>
      </w:r>
      <w:r>
        <w:rPr/>
        <w:t>July</w:t>
      </w:r>
      <w:r>
        <w:rPr>
          <w:spacing w:val="-3"/>
        </w:rPr>
        <w:t> </w:t>
      </w:r>
      <w:r>
        <w:rPr/>
        <w:t>2024</w:t>
      </w:r>
      <w:r>
        <w:rPr>
          <w:spacing w:val="-4"/>
        </w:rPr>
        <w:t> </w:t>
      </w:r>
      <w:r>
        <w:rPr/>
        <w:t>to</w:t>
      </w:r>
      <w:r>
        <w:rPr>
          <w:spacing w:val="-1"/>
        </w:rPr>
        <w:t> </w:t>
      </w:r>
      <w:r>
        <w:rPr/>
        <w:t>30</w:t>
      </w:r>
      <w:r>
        <w:rPr>
          <w:spacing w:val="-3"/>
        </w:rPr>
        <w:t> </w:t>
      </w:r>
      <w:r>
        <w:rPr/>
        <w:t>June</w:t>
      </w:r>
      <w:r>
        <w:rPr>
          <w:spacing w:val="-3"/>
        </w:rPr>
        <w:t> </w:t>
      </w:r>
      <w:r>
        <w:rPr>
          <w:spacing w:val="-2"/>
        </w:rPr>
        <w:t>2025.</w:t>
      </w:r>
    </w:p>
    <w:p>
      <w:pPr>
        <w:pStyle w:val="BodyText"/>
        <w:spacing w:before="10"/>
        <w:rPr>
          <w:sz w:val="21"/>
        </w:rPr>
      </w:pPr>
    </w:p>
    <w:p>
      <w:pPr>
        <w:pStyle w:val="BodyText"/>
        <w:ind w:left="1440" w:right="1437"/>
        <w:jc w:val="both"/>
      </w:pPr>
      <w:r>
        <w:rPr/>
        <w:t>The</w:t>
      </w:r>
      <w:r>
        <w:rPr>
          <w:spacing w:val="-6"/>
        </w:rPr>
        <w:t> </w:t>
      </w:r>
      <w:r>
        <w:rPr/>
        <w:t>rate</w:t>
      </w:r>
      <w:r>
        <w:rPr>
          <w:spacing w:val="-8"/>
        </w:rPr>
        <w:t> </w:t>
      </w:r>
      <w:r>
        <w:rPr/>
        <w:t>for</w:t>
      </w:r>
      <w:r>
        <w:rPr>
          <w:spacing w:val="-5"/>
        </w:rPr>
        <w:t> </w:t>
      </w:r>
      <w:r>
        <w:rPr/>
        <w:t>penalty</w:t>
      </w:r>
      <w:r>
        <w:rPr>
          <w:spacing w:val="-8"/>
        </w:rPr>
        <w:t> </w:t>
      </w:r>
      <w:r>
        <w:rPr/>
        <w:t>units</w:t>
      </w:r>
      <w:r>
        <w:rPr>
          <w:spacing w:val="-8"/>
        </w:rPr>
        <w:t> </w:t>
      </w:r>
      <w:r>
        <w:rPr/>
        <w:t>is</w:t>
      </w:r>
      <w:r>
        <w:rPr>
          <w:spacing w:val="-6"/>
        </w:rPr>
        <w:t> </w:t>
      </w:r>
      <w:r>
        <w:rPr/>
        <w:t>indexed</w:t>
      </w:r>
      <w:r>
        <w:rPr>
          <w:spacing w:val="-8"/>
        </w:rPr>
        <w:t> </w:t>
      </w:r>
      <w:r>
        <w:rPr/>
        <w:t>each</w:t>
      </w:r>
      <w:r>
        <w:rPr>
          <w:spacing w:val="-8"/>
        </w:rPr>
        <w:t> </w:t>
      </w:r>
      <w:r>
        <w:rPr/>
        <w:t>financial</w:t>
      </w:r>
      <w:r>
        <w:rPr>
          <w:spacing w:val="-9"/>
        </w:rPr>
        <w:t> </w:t>
      </w:r>
      <w:r>
        <w:rPr/>
        <w:t>year</w:t>
      </w:r>
      <w:r>
        <w:rPr>
          <w:spacing w:val="-8"/>
        </w:rPr>
        <w:t> </w:t>
      </w:r>
      <w:r>
        <w:rPr/>
        <w:t>so</w:t>
      </w:r>
      <w:r>
        <w:rPr>
          <w:spacing w:val="-10"/>
        </w:rPr>
        <w:t> </w:t>
      </w:r>
      <w:r>
        <w:rPr/>
        <w:t>that</w:t>
      </w:r>
      <w:r>
        <w:rPr>
          <w:spacing w:val="-6"/>
        </w:rPr>
        <w:t> </w:t>
      </w:r>
      <w:r>
        <w:rPr/>
        <w:t>it</w:t>
      </w:r>
      <w:r>
        <w:rPr>
          <w:spacing w:val="-8"/>
        </w:rPr>
        <w:t> </w:t>
      </w:r>
      <w:r>
        <w:rPr/>
        <w:t>is</w:t>
      </w:r>
      <w:r>
        <w:rPr>
          <w:spacing w:val="-8"/>
        </w:rPr>
        <w:t> </w:t>
      </w:r>
      <w:r>
        <w:rPr/>
        <w:t>raised</w:t>
      </w:r>
      <w:r>
        <w:rPr>
          <w:spacing w:val="-8"/>
        </w:rPr>
        <w:t> </w:t>
      </w:r>
      <w:r>
        <w:rPr/>
        <w:t>in</w:t>
      </w:r>
      <w:r>
        <w:rPr>
          <w:spacing w:val="-6"/>
        </w:rPr>
        <w:t> </w:t>
      </w:r>
      <w:r>
        <w:rPr/>
        <w:t>line</w:t>
      </w:r>
      <w:r>
        <w:rPr>
          <w:spacing w:val="-8"/>
        </w:rPr>
        <w:t> </w:t>
      </w:r>
      <w:r>
        <w:rPr/>
        <w:t>with</w:t>
      </w:r>
      <w:r>
        <w:rPr>
          <w:spacing w:val="-10"/>
        </w:rPr>
        <w:t> </w:t>
      </w:r>
      <w:r>
        <w:rPr/>
        <w:t>inflation. Any change to the value of a penalty unit will happen on 1 July each year.</w:t>
      </w:r>
    </w:p>
    <w:p>
      <w:pPr>
        <w:pStyle w:val="BodyText"/>
        <w:spacing w:before="1"/>
      </w:pPr>
    </w:p>
    <w:p>
      <w:pPr>
        <w:pStyle w:val="Heading5"/>
        <w:spacing w:before="1"/>
      </w:pPr>
      <w:r>
        <w:rPr/>
        <w:t>Fee</w:t>
      </w:r>
      <w:r>
        <w:rPr>
          <w:spacing w:val="-4"/>
        </w:rPr>
        <w:t> </w:t>
      </w:r>
      <w:r>
        <w:rPr>
          <w:spacing w:val="-2"/>
        </w:rPr>
        <w:t>units</w:t>
      </w:r>
    </w:p>
    <w:p>
      <w:pPr>
        <w:pStyle w:val="BodyText"/>
        <w:spacing w:before="9"/>
        <w:rPr>
          <w:b/>
          <w:sz w:val="21"/>
        </w:rPr>
      </w:pPr>
    </w:p>
    <w:p>
      <w:pPr>
        <w:pStyle w:val="BodyText"/>
        <w:ind w:left="1440" w:right="1431"/>
        <w:jc w:val="both"/>
      </w:pPr>
      <w:r>
        <w:rPr/>
        <w:t>Fee</w:t>
      </w:r>
      <w:r>
        <w:rPr>
          <w:spacing w:val="-4"/>
        </w:rPr>
        <w:t> </w:t>
      </w:r>
      <w:r>
        <w:rPr/>
        <w:t>units</w:t>
      </w:r>
      <w:r>
        <w:rPr>
          <w:spacing w:val="-4"/>
        </w:rPr>
        <w:t> </w:t>
      </w:r>
      <w:r>
        <w:rPr/>
        <w:t>are</w:t>
      </w:r>
      <w:r>
        <w:rPr>
          <w:spacing w:val="-8"/>
        </w:rPr>
        <w:t> </w:t>
      </w:r>
      <w:r>
        <w:rPr/>
        <w:t>used</w:t>
      </w:r>
      <w:r>
        <w:rPr>
          <w:spacing w:val="-6"/>
        </w:rPr>
        <w:t> </w:t>
      </w:r>
      <w:r>
        <w:rPr/>
        <w:t>to</w:t>
      </w:r>
      <w:r>
        <w:rPr>
          <w:spacing w:val="-5"/>
        </w:rPr>
        <w:t> </w:t>
      </w:r>
      <w:r>
        <w:rPr/>
        <w:t>calculate</w:t>
      </w:r>
      <w:r>
        <w:rPr>
          <w:spacing w:val="-8"/>
        </w:rPr>
        <w:t> </w:t>
      </w:r>
      <w:r>
        <w:rPr/>
        <w:t>the</w:t>
      </w:r>
      <w:r>
        <w:rPr>
          <w:spacing w:val="-4"/>
        </w:rPr>
        <w:t> </w:t>
      </w:r>
      <w:r>
        <w:rPr/>
        <w:t>cost</w:t>
      </w:r>
      <w:r>
        <w:rPr>
          <w:spacing w:val="-6"/>
        </w:rPr>
        <w:t> </w:t>
      </w:r>
      <w:r>
        <w:rPr/>
        <w:t>of</w:t>
      </w:r>
      <w:r>
        <w:rPr>
          <w:spacing w:val="-4"/>
        </w:rPr>
        <w:t> </w:t>
      </w:r>
      <w:r>
        <w:rPr/>
        <w:t>a</w:t>
      </w:r>
      <w:r>
        <w:rPr>
          <w:spacing w:val="-6"/>
        </w:rPr>
        <w:t> </w:t>
      </w:r>
      <w:r>
        <w:rPr/>
        <w:t>certificate,</w:t>
      </w:r>
      <w:r>
        <w:rPr>
          <w:spacing w:val="-4"/>
        </w:rPr>
        <w:t> </w:t>
      </w:r>
      <w:r>
        <w:rPr/>
        <w:t>registration</w:t>
      </w:r>
      <w:r>
        <w:rPr>
          <w:spacing w:val="-4"/>
        </w:rPr>
        <w:t> </w:t>
      </w:r>
      <w:r>
        <w:rPr/>
        <w:t>or</w:t>
      </w:r>
      <w:r>
        <w:rPr>
          <w:spacing w:val="-4"/>
        </w:rPr>
        <w:t> </w:t>
      </w:r>
      <w:r>
        <w:rPr/>
        <w:t>licence</w:t>
      </w:r>
      <w:r>
        <w:rPr>
          <w:spacing w:val="-5"/>
        </w:rPr>
        <w:t> </w:t>
      </w:r>
      <w:r>
        <w:rPr/>
        <w:t>that</w:t>
      </w:r>
      <w:r>
        <w:rPr>
          <w:spacing w:val="-6"/>
        </w:rPr>
        <w:t> </w:t>
      </w:r>
      <w:r>
        <w:rPr/>
        <w:t>is</w:t>
      </w:r>
      <w:r>
        <w:rPr>
          <w:spacing w:val="-4"/>
        </w:rPr>
        <w:t> </w:t>
      </w:r>
      <w:r>
        <w:rPr/>
        <w:t>set</w:t>
      </w:r>
      <w:r>
        <w:rPr>
          <w:spacing w:val="-2"/>
        </w:rPr>
        <w:t> </w:t>
      </w:r>
      <w:r>
        <w:rPr/>
        <w:t>out</w:t>
      </w:r>
      <w:r>
        <w:rPr>
          <w:spacing w:val="-2"/>
        </w:rPr>
        <w:t> </w:t>
      </w:r>
      <w:r>
        <w:rPr/>
        <w:t>in an</w:t>
      </w:r>
      <w:r>
        <w:rPr>
          <w:spacing w:val="40"/>
        </w:rPr>
        <w:t> </w:t>
      </w:r>
      <w:r>
        <w:rPr/>
        <w:t>Act</w:t>
      </w:r>
      <w:r>
        <w:rPr>
          <w:spacing w:val="80"/>
        </w:rPr>
        <w:t> </w:t>
      </w:r>
      <w:r>
        <w:rPr/>
        <w:t>or</w:t>
      </w:r>
      <w:r>
        <w:rPr>
          <w:spacing w:val="80"/>
        </w:rPr>
        <w:t> </w:t>
      </w:r>
      <w:r>
        <w:rPr/>
        <w:t>Regulation.</w:t>
      </w:r>
      <w:r>
        <w:rPr>
          <w:spacing w:val="40"/>
        </w:rPr>
        <w:t> </w:t>
      </w:r>
      <w:r>
        <w:rPr/>
        <w:t>For</w:t>
      </w:r>
      <w:r>
        <w:rPr>
          <w:spacing w:val="80"/>
        </w:rPr>
        <w:t> </w:t>
      </w:r>
      <w:r>
        <w:rPr/>
        <w:t>example,</w:t>
      </w:r>
      <w:r>
        <w:rPr>
          <w:spacing w:val="40"/>
        </w:rPr>
        <w:t> </w:t>
      </w:r>
      <w:r>
        <w:rPr/>
        <w:t>the</w:t>
      </w:r>
      <w:r>
        <w:rPr>
          <w:spacing w:val="40"/>
        </w:rPr>
        <w:t> </w:t>
      </w:r>
      <w:r>
        <w:rPr/>
        <w:t>cost</w:t>
      </w:r>
      <w:r>
        <w:rPr>
          <w:spacing w:val="40"/>
        </w:rPr>
        <w:t> </w:t>
      </w:r>
      <w:r>
        <w:rPr/>
        <w:t>of</w:t>
      </w:r>
      <w:r>
        <w:rPr>
          <w:spacing w:val="80"/>
        </w:rPr>
        <w:t> </w:t>
      </w:r>
      <w:r>
        <w:rPr/>
        <w:t>depositing</w:t>
      </w:r>
      <w:r>
        <w:rPr>
          <w:spacing w:val="40"/>
        </w:rPr>
        <w:t> </w:t>
      </w:r>
      <w:r>
        <w:rPr/>
        <w:t>a</w:t>
      </w:r>
      <w:r>
        <w:rPr>
          <w:spacing w:val="40"/>
        </w:rPr>
        <w:t> </w:t>
      </w:r>
      <w:r>
        <w:rPr/>
        <w:t>Will</w:t>
      </w:r>
      <w:r>
        <w:rPr>
          <w:spacing w:val="40"/>
        </w:rPr>
        <w:t> </w:t>
      </w:r>
      <w:r>
        <w:rPr/>
        <w:t>with</w:t>
      </w:r>
      <w:r>
        <w:rPr>
          <w:spacing w:val="80"/>
        </w:rPr>
        <w:t> </w:t>
      </w:r>
      <w:r>
        <w:rPr/>
        <w:t>the</w:t>
      </w:r>
      <w:r>
        <w:rPr>
          <w:spacing w:val="80"/>
        </w:rPr>
        <w:t> </w:t>
      </w:r>
      <w:r>
        <w:rPr/>
        <w:t>supreme court</w:t>
      </w:r>
      <w:r>
        <w:rPr>
          <w:spacing w:val="-4"/>
        </w:rPr>
        <w:t> </w:t>
      </w:r>
      <w:r>
        <w:rPr/>
        <w:t>registrar</w:t>
      </w:r>
      <w:r>
        <w:rPr>
          <w:spacing w:val="-1"/>
        </w:rPr>
        <w:t> </w:t>
      </w:r>
      <w:r>
        <w:rPr/>
        <w:t>of probates is 1.6 fee units. The value of one fee unit is currently $16.33. This value may increase at the beginning of a financial year, at the same time as penalty units.</w:t>
      </w:r>
    </w:p>
    <w:p>
      <w:pPr>
        <w:pStyle w:val="BodyText"/>
        <w:spacing w:before="2"/>
      </w:pPr>
    </w:p>
    <w:p>
      <w:pPr>
        <w:pStyle w:val="BodyText"/>
        <w:ind w:left="1440" w:right="1437"/>
        <w:jc w:val="both"/>
      </w:pPr>
      <w:r>
        <w:rPr/>
        <w:t>The cost of fees and penalties is calculated by multiplying the number of units by the current value of the fee or unit. The exact cost may be rounded up or down.</w:t>
      </w:r>
    </w:p>
    <w:p>
      <w:pPr>
        <w:pStyle w:val="BodyText"/>
        <w:rPr>
          <w:sz w:val="24"/>
        </w:rPr>
      </w:pPr>
    </w:p>
    <w:p>
      <w:pPr>
        <w:pStyle w:val="Heading2"/>
        <w:numPr>
          <w:ilvl w:val="1"/>
          <w:numId w:val="13"/>
        </w:numPr>
        <w:tabs>
          <w:tab w:pos="2161" w:val="left" w:leader="none"/>
          <w:tab w:pos="2162" w:val="left" w:leader="none"/>
        </w:tabs>
        <w:spacing w:line="240" w:lineRule="auto" w:before="176" w:after="0"/>
        <w:ind w:left="2161" w:right="0" w:hanging="722"/>
        <w:jc w:val="left"/>
      </w:pPr>
      <w:bookmarkStart w:name="_TOC_250006" w:id="16"/>
      <w:bookmarkEnd w:id="16"/>
      <w:r>
        <w:rPr>
          <w:color w:val="134295"/>
          <w:spacing w:val="-2"/>
        </w:rPr>
        <w:t>Grants</w:t>
      </w:r>
    </w:p>
    <w:p>
      <w:pPr>
        <w:pStyle w:val="BodyText"/>
        <w:spacing w:before="254"/>
        <w:ind w:left="1440" w:right="1431"/>
        <w:jc w:val="both"/>
      </w:pPr>
      <w:r>
        <w:rPr/>
        <w:t>Grant revenue represents income usually received from other levels of government. Some grants are singular and attached to the delivery of specific projects, whilst others can be of a recurrent nature and may or may not be linked to the delivery of projects.</w:t>
      </w:r>
    </w:p>
    <w:p>
      <w:pPr>
        <w:pStyle w:val="BodyText"/>
        <w:spacing w:before="10"/>
        <w:rPr>
          <w:sz w:val="21"/>
        </w:rPr>
      </w:pPr>
    </w:p>
    <w:p>
      <w:pPr>
        <w:pStyle w:val="BodyText"/>
        <w:ind w:left="1440" w:right="1435"/>
        <w:jc w:val="both"/>
      </w:pPr>
      <w:r>
        <w:rPr/>
        <w:t>Council will pro-actively advocate to other levels of government for grant funding support to deliver important</w:t>
      </w:r>
      <w:r>
        <w:rPr>
          <w:spacing w:val="-2"/>
        </w:rPr>
        <w:t> </w:t>
      </w:r>
      <w:r>
        <w:rPr/>
        <w:t>infrastructure</w:t>
      </w:r>
      <w:r>
        <w:rPr>
          <w:spacing w:val="-2"/>
        </w:rPr>
        <w:t> </w:t>
      </w:r>
      <w:r>
        <w:rPr/>
        <w:t>and</w:t>
      </w:r>
      <w:r>
        <w:rPr>
          <w:spacing w:val="-2"/>
        </w:rPr>
        <w:t> </w:t>
      </w:r>
      <w:r>
        <w:rPr/>
        <w:t>service</w:t>
      </w:r>
      <w:r>
        <w:rPr>
          <w:spacing w:val="-2"/>
        </w:rPr>
        <w:t> </w:t>
      </w:r>
      <w:r>
        <w:rPr/>
        <w:t>outcomes</w:t>
      </w:r>
      <w:r>
        <w:rPr>
          <w:spacing w:val="-1"/>
        </w:rPr>
        <w:t> </w:t>
      </w:r>
      <w:r>
        <w:rPr/>
        <w:t>for</w:t>
      </w:r>
      <w:r>
        <w:rPr>
          <w:spacing w:val="-1"/>
        </w:rPr>
        <w:t> </w:t>
      </w:r>
      <w:r>
        <w:rPr/>
        <w:t>the</w:t>
      </w:r>
      <w:r>
        <w:rPr>
          <w:spacing w:val="-5"/>
        </w:rPr>
        <w:t> </w:t>
      </w:r>
      <w:r>
        <w:rPr/>
        <w:t>community.</w:t>
      </w:r>
      <w:r>
        <w:rPr>
          <w:spacing w:val="-5"/>
        </w:rPr>
        <w:t> </w:t>
      </w:r>
      <w:r>
        <w:rPr/>
        <w:t>Council</w:t>
      </w:r>
      <w:r>
        <w:rPr>
          <w:spacing w:val="-1"/>
        </w:rPr>
        <w:t> </w:t>
      </w:r>
      <w:r>
        <w:rPr/>
        <w:t>may</w:t>
      </w:r>
      <w:r>
        <w:rPr>
          <w:spacing w:val="-3"/>
        </w:rPr>
        <w:t> </w:t>
      </w:r>
      <w:r>
        <w:rPr/>
        <w:t>use</w:t>
      </w:r>
      <w:r>
        <w:rPr>
          <w:spacing w:val="-2"/>
        </w:rPr>
        <w:t> </w:t>
      </w:r>
      <w:r>
        <w:rPr/>
        <w:t>its own funds to leverage higher grant funding and maximise external funding opportunities. Maroondah has achieved outstanding results in its ability to attract funding from external sources to deliver on large capital infrastructure</w:t>
      </w:r>
      <w:r>
        <w:rPr>
          <w:spacing w:val="-1"/>
        </w:rPr>
        <w:t> </w:t>
      </w:r>
      <w:r>
        <w:rPr/>
        <w:t>projects and will continue to advocate</w:t>
      </w:r>
      <w:r>
        <w:rPr>
          <w:spacing w:val="-1"/>
        </w:rPr>
        <w:t> </w:t>
      </w:r>
      <w:r>
        <w:rPr/>
        <w:t>in this </w:t>
      </w:r>
      <w:r>
        <w:rPr>
          <w:spacing w:val="-2"/>
        </w:rPr>
        <w:t>space.</w:t>
      </w:r>
    </w:p>
    <w:p>
      <w:pPr>
        <w:pStyle w:val="BodyText"/>
      </w:pPr>
    </w:p>
    <w:p>
      <w:pPr>
        <w:pStyle w:val="BodyText"/>
        <w:ind w:left="1440" w:right="1435"/>
        <w:jc w:val="both"/>
      </w:pPr>
      <w:r>
        <w:rPr/>
        <w:t>When preparing its financial plan, council considers its project proposal pipeline, advocacy priorities, upcoming grant program opportunities, and co-funding options to determine what grants to apply for. Council will only apply for and accept external funding if it is consistent with the Community Vision and does not lead to the distortion of Council Plan priorities.</w:t>
      </w:r>
    </w:p>
    <w:p>
      <w:pPr>
        <w:pStyle w:val="BodyText"/>
      </w:pPr>
    </w:p>
    <w:p>
      <w:pPr>
        <w:pStyle w:val="BodyText"/>
        <w:ind w:left="1440" w:right="1437"/>
        <w:jc w:val="both"/>
      </w:pPr>
      <w:r>
        <w:rPr/>
        <w:t>Grant assumptions are then clearly detailed in council’s budget document. No project that is reliant on grant funding will proceed until a signed funding agreement is in place.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39">
            <wp:simplePos x="0" y="0"/>
            <wp:positionH relativeFrom="page">
              <wp:posOffset>27432</wp:posOffset>
            </wp:positionH>
            <wp:positionV relativeFrom="paragraph">
              <wp:posOffset>113974</wp:posOffset>
            </wp:positionV>
            <wp:extent cx="7378567" cy="97440"/>
            <wp:effectExtent l="0" t="0" r="0" b="0"/>
            <wp:wrapTopAndBottom/>
            <wp:docPr id="79" name="image4.png"/>
            <wp:cNvGraphicFramePr>
              <a:graphicFrameLocks noChangeAspect="1"/>
            </wp:cNvGraphicFramePr>
            <a:graphic>
              <a:graphicData uri="http://schemas.openxmlformats.org/drawingml/2006/picture">
                <pic:pic>
                  <pic:nvPicPr>
                    <pic:cNvPr id="80"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3"/>
        </w:rPr>
        <w:sectPr>
          <w:pgSz w:w="11910" w:h="16840"/>
          <w:pgMar w:header="0" w:footer="662" w:top="1340" w:bottom="860" w:left="0" w:right="0"/>
        </w:sectPr>
      </w:pPr>
    </w:p>
    <w:p>
      <w:pPr>
        <w:pStyle w:val="BodyText"/>
        <w:rPr>
          <w:sz w:val="20"/>
        </w:rPr>
      </w:pPr>
    </w:p>
    <w:p>
      <w:pPr>
        <w:pStyle w:val="BodyText"/>
        <w:rPr>
          <w:sz w:val="20"/>
        </w:rPr>
      </w:pPr>
    </w:p>
    <w:p>
      <w:pPr>
        <w:pStyle w:val="BodyText"/>
        <w:spacing w:before="5"/>
        <w:rPr>
          <w:sz w:val="25"/>
        </w:rPr>
      </w:pPr>
    </w:p>
    <w:p>
      <w:pPr>
        <w:pStyle w:val="Heading2"/>
        <w:numPr>
          <w:ilvl w:val="1"/>
          <w:numId w:val="13"/>
        </w:numPr>
        <w:tabs>
          <w:tab w:pos="2161" w:val="left" w:leader="none"/>
          <w:tab w:pos="2162" w:val="left" w:leader="none"/>
        </w:tabs>
        <w:spacing w:line="240" w:lineRule="auto" w:before="89" w:after="0"/>
        <w:ind w:left="2161" w:right="0" w:hanging="722"/>
        <w:jc w:val="left"/>
      </w:pPr>
      <w:r>
        <w:rPr/>
        <w:drawing>
          <wp:anchor distT="0" distB="0" distL="0" distR="0" allowOverlap="1" layoutInCell="1" locked="0" behindDoc="0" simplePos="0" relativeHeight="15749120">
            <wp:simplePos x="0" y="0"/>
            <wp:positionH relativeFrom="page">
              <wp:posOffset>6461760</wp:posOffset>
            </wp:positionH>
            <wp:positionV relativeFrom="paragraph">
              <wp:posOffset>-482881</wp:posOffset>
            </wp:positionV>
            <wp:extent cx="545591" cy="637031"/>
            <wp:effectExtent l="0" t="0" r="0" b="0"/>
            <wp:wrapNone/>
            <wp:docPr id="81" name="image3.png"/>
            <wp:cNvGraphicFramePr>
              <a:graphicFrameLocks noChangeAspect="1"/>
            </wp:cNvGraphicFramePr>
            <a:graphic>
              <a:graphicData uri="http://schemas.openxmlformats.org/drawingml/2006/picture">
                <pic:pic>
                  <pic:nvPicPr>
                    <pic:cNvPr id="82" name="image3.png"/>
                    <pic:cNvPicPr/>
                  </pic:nvPicPr>
                  <pic:blipFill>
                    <a:blip r:embed="rId8" cstate="print"/>
                    <a:stretch>
                      <a:fillRect/>
                    </a:stretch>
                  </pic:blipFill>
                  <pic:spPr>
                    <a:xfrm>
                      <a:off x="0" y="0"/>
                      <a:ext cx="545591" cy="637031"/>
                    </a:xfrm>
                    <a:prstGeom prst="rect">
                      <a:avLst/>
                    </a:prstGeom>
                  </pic:spPr>
                </pic:pic>
              </a:graphicData>
            </a:graphic>
          </wp:anchor>
        </w:drawing>
      </w:r>
      <w:bookmarkStart w:name="_TOC_250005" w:id="17"/>
      <w:bookmarkEnd w:id="17"/>
      <w:r>
        <w:rPr>
          <w:color w:val="134295"/>
          <w:spacing w:val="-2"/>
        </w:rPr>
        <w:t>Contributions</w:t>
      </w:r>
    </w:p>
    <w:p>
      <w:pPr>
        <w:pStyle w:val="BodyText"/>
        <w:spacing w:before="10"/>
        <w:rPr>
          <w:b/>
          <w:sz w:val="13"/>
        </w:rPr>
      </w:pPr>
    </w:p>
    <w:p>
      <w:pPr>
        <w:pStyle w:val="BodyText"/>
        <w:spacing w:before="94"/>
        <w:ind w:left="1440" w:right="1342"/>
      </w:pPr>
      <w:r>
        <w:rPr/>
        <w:t>Contributions</w:t>
      </w:r>
      <w:r>
        <w:rPr>
          <w:spacing w:val="-12"/>
        </w:rPr>
        <w:t> </w:t>
      </w:r>
      <w:r>
        <w:rPr/>
        <w:t>represent</w:t>
      </w:r>
      <w:r>
        <w:rPr>
          <w:spacing w:val="-12"/>
        </w:rPr>
        <w:t> </w:t>
      </w:r>
      <w:r>
        <w:rPr/>
        <w:t>funds</w:t>
      </w:r>
      <w:r>
        <w:rPr>
          <w:spacing w:val="-12"/>
        </w:rPr>
        <w:t> </w:t>
      </w:r>
      <w:r>
        <w:rPr/>
        <w:t>received</w:t>
      </w:r>
      <w:r>
        <w:rPr>
          <w:spacing w:val="-12"/>
        </w:rPr>
        <w:t> </w:t>
      </w:r>
      <w:r>
        <w:rPr/>
        <w:t>by</w:t>
      </w:r>
      <w:r>
        <w:rPr>
          <w:spacing w:val="-12"/>
        </w:rPr>
        <w:t> </w:t>
      </w:r>
      <w:r>
        <w:rPr/>
        <w:t>council,</w:t>
      </w:r>
      <w:r>
        <w:rPr>
          <w:spacing w:val="-16"/>
        </w:rPr>
        <w:t> </w:t>
      </w:r>
      <w:r>
        <w:rPr/>
        <w:t>usually</w:t>
      </w:r>
      <w:r>
        <w:rPr>
          <w:spacing w:val="-12"/>
        </w:rPr>
        <w:t> </w:t>
      </w:r>
      <w:r>
        <w:rPr/>
        <w:t>from</w:t>
      </w:r>
      <w:r>
        <w:rPr>
          <w:spacing w:val="-10"/>
        </w:rPr>
        <w:t> </w:t>
      </w:r>
      <w:r>
        <w:rPr/>
        <w:t>non-government</w:t>
      </w:r>
      <w:r>
        <w:rPr>
          <w:spacing w:val="-11"/>
        </w:rPr>
        <w:t> </w:t>
      </w:r>
      <w:r>
        <w:rPr/>
        <w:t>sources,</w:t>
      </w:r>
      <w:r>
        <w:rPr>
          <w:spacing w:val="-9"/>
        </w:rPr>
        <w:t> </w:t>
      </w:r>
      <w:r>
        <w:rPr/>
        <w:t>and are usually linked to projects.</w:t>
      </w:r>
    </w:p>
    <w:p>
      <w:pPr>
        <w:pStyle w:val="BodyText"/>
        <w:spacing w:before="11"/>
        <w:rPr>
          <w:sz w:val="21"/>
        </w:rPr>
      </w:pPr>
    </w:p>
    <w:p>
      <w:pPr>
        <w:pStyle w:val="BodyText"/>
        <w:ind w:left="1440" w:right="1342"/>
      </w:pPr>
      <w:r>
        <w:rPr/>
        <w:t>Contributions</w:t>
      </w:r>
      <w:r>
        <w:rPr>
          <w:spacing w:val="-8"/>
        </w:rPr>
        <w:t> </w:t>
      </w:r>
      <w:r>
        <w:rPr/>
        <w:t>can</w:t>
      </w:r>
      <w:r>
        <w:rPr>
          <w:spacing w:val="-8"/>
        </w:rPr>
        <w:t> </w:t>
      </w:r>
      <w:r>
        <w:rPr/>
        <w:t>be</w:t>
      </w:r>
      <w:r>
        <w:rPr>
          <w:spacing w:val="-8"/>
        </w:rPr>
        <w:t> </w:t>
      </w:r>
      <w:r>
        <w:rPr/>
        <w:t>made</w:t>
      </w:r>
      <w:r>
        <w:rPr>
          <w:spacing w:val="-8"/>
        </w:rPr>
        <w:t> </w:t>
      </w:r>
      <w:r>
        <w:rPr/>
        <w:t>to</w:t>
      </w:r>
      <w:r>
        <w:rPr>
          <w:spacing w:val="-10"/>
        </w:rPr>
        <w:t> </w:t>
      </w:r>
      <w:r>
        <w:rPr/>
        <w:t>council</w:t>
      </w:r>
      <w:r>
        <w:rPr>
          <w:spacing w:val="-7"/>
        </w:rPr>
        <w:t> </w:t>
      </w:r>
      <w:r>
        <w:rPr/>
        <w:t>in</w:t>
      </w:r>
      <w:r>
        <w:rPr>
          <w:spacing w:val="-8"/>
        </w:rPr>
        <w:t> </w:t>
      </w:r>
      <w:r>
        <w:rPr/>
        <w:t>the</w:t>
      </w:r>
      <w:r>
        <w:rPr>
          <w:spacing w:val="-8"/>
        </w:rPr>
        <w:t> </w:t>
      </w:r>
      <w:r>
        <w:rPr/>
        <w:t>form</w:t>
      </w:r>
      <w:r>
        <w:rPr>
          <w:spacing w:val="-11"/>
        </w:rPr>
        <w:t> </w:t>
      </w:r>
      <w:r>
        <w:rPr/>
        <w:t>of</w:t>
      </w:r>
      <w:r>
        <w:rPr>
          <w:spacing w:val="-4"/>
        </w:rPr>
        <w:t> </w:t>
      </w:r>
      <w:r>
        <w:rPr/>
        <w:t>either</w:t>
      </w:r>
      <w:r>
        <w:rPr>
          <w:spacing w:val="-8"/>
        </w:rPr>
        <w:t> </w:t>
      </w:r>
      <w:r>
        <w:rPr/>
        <w:t>cash</w:t>
      </w:r>
      <w:r>
        <w:rPr>
          <w:spacing w:val="-8"/>
        </w:rPr>
        <w:t> </w:t>
      </w:r>
      <w:r>
        <w:rPr/>
        <w:t>payments</w:t>
      </w:r>
      <w:r>
        <w:rPr>
          <w:spacing w:val="-11"/>
        </w:rPr>
        <w:t> </w:t>
      </w:r>
      <w:r>
        <w:rPr/>
        <w:t>or</w:t>
      </w:r>
      <w:r>
        <w:rPr>
          <w:spacing w:val="-5"/>
        </w:rPr>
        <w:t> </w:t>
      </w:r>
      <w:r>
        <w:rPr/>
        <w:t>asset</w:t>
      </w:r>
      <w:r>
        <w:rPr>
          <w:spacing w:val="-8"/>
        </w:rPr>
        <w:t> </w:t>
      </w:r>
      <w:r>
        <w:rPr/>
        <w:t>handovers. Examples of contributions include:</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Monies</w:t>
      </w:r>
      <w:r>
        <w:rPr>
          <w:spacing w:val="-5"/>
          <w:sz w:val="22"/>
        </w:rPr>
        <w:t> </w:t>
      </w:r>
      <w:r>
        <w:rPr>
          <w:sz w:val="22"/>
        </w:rPr>
        <w:t>collected</w:t>
      </w:r>
      <w:r>
        <w:rPr>
          <w:spacing w:val="-7"/>
          <w:sz w:val="22"/>
        </w:rPr>
        <w:t> </w:t>
      </w:r>
      <w:r>
        <w:rPr>
          <w:sz w:val="22"/>
        </w:rPr>
        <w:t>from</w:t>
      </w:r>
      <w:r>
        <w:rPr>
          <w:spacing w:val="-4"/>
          <w:sz w:val="22"/>
        </w:rPr>
        <w:t> </w:t>
      </w:r>
      <w:r>
        <w:rPr>
          <w:sz w:val="22"/>
        </w:rPr>
        <w:t>developers</w:t>
      </w:r>
      <w:r>
        <w:rPr>
          <w:spacing w:val="-5"/>
          <w:sz w:val="22"/>
        </w:rPr>
        <w:t> </w:t>
      </w:r>
      <w:r>
        <w:rPr>
          <w:sz w:val="22"/>
        </w:rPr>
        <w:t>under</w:t>
      </w:r>
      <w:r>
        <w:rPr>
          <w:spacing w:val="-4"/>
          <w:sz w:val="22"/>
        </w:rPr>
        <w:t> </w:t>
      </w:r>
      <w:r>
        <w:rPr>
          <w:sz w:val="22"/>
        </w:rPr>
        <w:t>planning</w:t>
      </w:r>
      <w:r>
        <w:rPr>
          <w:spacing w:val="-6"/>
          <w:sz w:val="22"/>
        </w:rPr>
        <w:t> </w:t>
      </w:r>
      <w:r>
        <w:rPr>
          <w:sz w:val="22"/>
        </w:rPr>
        <w:t>and</w:t>
      </w:r>
      <w:r>
        <w:rPr>
          <w:spacing w:val="-4"/>
          <w:sz w:val="22"/>
        </w:rPr>
        <w:t> </w:t>
      </w:r>
      <w:r>
        <w:rPr>
          <w:sz w:val="22"/>
        </w:rPr>
        <w:t>development</w:t>
      </w:r>
      <w:r>
        <w:rPr>
          <w:spacing w:val="-4"/>
          <w:sz w:val="22"/>
        </w:rPr>
        <w:t> </w:t>
      </w:r>
      <w:r>
        <w:rPr>
          <w:spacing w:val="-2"/>
          <w:sz w:val="22"/>
        </w:rPr>
        <w:t>agreements</w:t>
      </w:r>
    </w:p>
    <w:p>
      <w:pPr>
        <w:pStyle w:val="ListParagraph"/>
        <w:numPr>
          <w:ilvl w:val="0"/>
          <w:numId w:val="4"/>
        </w:numPr>
        <w:tabs>
          <w:tab w:pos="1799" w:val="left" w:leader="none"/>
          <w:tab w:pos="1800" w:val="left" w:leader="none"/>
        </w:tabs>
        <w:spacing w:line="269" w:lineRule="exact" w:before="0" w:after="0"/>
        <w:ind w:left="1799" w:right="0" w:hanging="360"/>
        <w:jc w:val="left"/>
        <w:rPr>
          <w:sz w:val="22"/>
        </w:rPr>
      </w:pPr>
      <w:r>
        <w:rPr>
          <w:sz w:val="22"/>
        </w:rPr>
        <w:t>Monies</w:t>
      </w:r>
      <w:r>
        <w:rPr>
          <w:spacing w:val="-4"/>
          <w:sz w:val="22"/>
        </w:rPr>
        <w:t> </w:t>
      </w:r>
      <w:r>
        <w:rPr>
          <w:sz w:val="22"/>
        </w:rPr>
        <w:t>collected</w:t>
      </w:r>
      <w:r>
        <w:rPr>
          <w:spacing w:val="-7"/>
          <w:sz w:val="22"/>
        </w:rPr>
        <w:t> </w:t>
      </w:r>
      <w:r>
        <w:rPr>
          <w:sz w:val="22"/>
        </w:rPr>
        <w:t>under</w:t>
      </w:r>
      <w:r>
        <w:rPr>
          <w:spacing w:val="-5"/>
          <w:sz w:val="22"/>
        </w:rPr>
        <w:t> </w:t>
      </w:r>
      <w:r>
        <w:rPr>
          <w:sz w:val="22"/>
        </w:rPr>
        <w:t>developer</w:t>
      </w:r>
      <w:r>
        <w:rPr>
          <w:spacing w:val="-4"/>
          <w:sz w:val="22"/>
        </w:rPr>
        <w:t> </w:t>
      </w:r>
      <w:r>
        <w:rPr>
          <w:sz w:val="22"/>
        </w:rPr>
        <w:t>contribution</w:t>
      </w:r>
      <w:r>
        <w:rPr>
          <w:spacing w:val="-5"/>
          <w:sz w:val="22"/>
        </w:rPr>
        <w:t> </w:t>
      </w:r>
      <w:r>
        <w:rPr>
          <w:sz w:val="22"/>
        </w:rPr>
        <w:t>plans</w:t>
      </w:r>
      <w:r>
        <w:rPr>
          <w:spacing w:val="-5"/>
          <w:sz w:val="22"/>
        </w:rPr>
        <w:t> </w:t>
      </w:r>
      <w:r>
        <w:rPr>
          <w:sz w:val="22"/>
        </w:rPr>
        <w:t>and</w:t>
      </w:r>
      <w:r>
        <w:rPr>
          <w:spacing w:val="-5"/>
          <w:sz w:val="22"/>
        </w:rPr>
        <w:t> </w:t>
      </w:r>
      <w:r>
        <w:rPr>
          <w:sz w:val="22"/>
        </w:rPr>
        <w:t>infrastructure</w:t>
      </w:r>
      <w:r>
        <w:rPr>
          <w:spacing w:val="-8"/>
          <w:sz w:val="22"/>
        </w:rPr>
        <w:t> </w:t>
      </w:r>
      <w:r>
        <w:rPr>
          <w:sz w:val="22"/>
        </w:rPr>
        <w:t>contribution</w:t>
      </w:r>
      <w:r>
        <w:rPr>
          <w:spacing w:val="-5"/>
          <w:sz w:val="22"/>
        </w:rPr>
        <w:t> </w:t>
      </w:r>
      <w:r>
        <w:rPr>
          <w:spacing w:val="-2"/>
          <w:sz w:val="22"/>
        </w:rPr>
        <w:t>plans</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Contributions</w:t>
      </w:r>
      <w:r>
        <w:rPr>
          <w:spacing w:val="-3"/>
          <w:sz w:val="22"/>
        </w:rPr>
        <w:t> </w:t>
      </w:r>
      <w:r>
        <w:rPr>
          <w:sz w:val="22"/>
        </w:rPr>
        <w:t>from</w:t>
      </w:r>
      <w:r>
        <w:rPr>
          <w:spacing w:val="-3"/>
          <w:sz w:val="22"/>
        </w:rPr>
        <w:t> </w:t>
      </w:r>
      <w:r>
        <w:rPr>
          <w:sz w:val="22"/>
        </w:rPr>
        <w:t>user</w:t>
      </w:r>
      <w:r>
        <w:rPr>
          <w:spacing w:val="-5"/>
          <w:sz w:val="22"/>
        </w:rPr>
        <w:t> </w:t>
      </w:r>
      <w:r>
        <w:rPr>
          <w:sz w:val="22"/>
        </w:rPr>
        <w:t>groups</w:t>
      </w:r>
      <w:r>
        <w:rPr>
          <w:spacing w:val="-4"/>
          <w:sz w:val="22"/>
        </w:rPr>
        <w:t> </w:t>
      </w:r>
      <w:r>
        <w:rPr>
          <w:sz w:val="22"/>
        </w:rPr>
        <w:t>towards</w:t>
      </w:r>
      <w:r>
        <w:rPr>
          <w:spacing w:val="-5"/>
          <w:sz w:val="22"/>
        </w:rPr>
        <w:t> </w:t>
      </w:r>
      <w:r>
        <w:rPr>
          <w:sz w:val="22"/>
        </w:rPr>
        <w:t>upgrade</w:t>
      </w:r>
      <w:r>
        <w:rPr>
          <w:spacing w:val="-6"/>
          <w:sz w:val="22"/>
        </w:rPr>
        <w:t> </w:t>
      </w:r>
      <w:r>
        <w:rPr>
          <w:sz w:val="22"/>
        </w:rPr>
        <w:t>of</w:t>
      </w:r>
      <w:r>
        <w:rPr>
          <w:spacing w:val="-1"/>
          <w:sz w:val="22"/>
        </w:rPr>
        <w:t> </w:t>
      </w:r>
      <w:r>
        <w:rPr>
          <w:spacing w:val="-2"/>
          <w:sz w:val="22"/>
        </w:rPr>
        <w:t>facilities</w:t>
      </w:r>
    </w:p>
    <w:p>
      <w:pPr>
        <w:pStyle w:val="ListParagraph"/>
        <w:numPr>
          <w:ilvl w:val="0"/>
          <w:numId w:val="4"/>
        </w:numPr>
        <w:tabs>
          <w:tab w:pos="1799" w:val="left" w:leader="none"/>
          <w:tab w:pos="1800" w:val="left" w:leader="none"/>
        </w:tabs>
        <w:spacing w:line="237" w:lineRule="auto" w:before="1" w:after="0"/>
        <w:ind w:left="1800" w:right="1436" w:hanging="360"/>
        <w:jc w:val="left"/>
        <w:rPr>
          <w:sz w:val="22"/>
        </w:rPr>
      </w:pPr>
      <w:r>
        <w:rPr>
          <w:sz w:val="22"/>
        </w:rPr>
        <w:t>Assets</w:t>
      </w:r>
      <w:r>
        <w:rPr>
          <w:spacing w:val="-8"/>
          <w:sz w:val="22"/>
        </w:rPr>
        <w:t> </w:t>
      </w:r>
      <w:r>
        <w:rPr>
          <w:sz w:val="22"/>
        </w:rPr>
        <w:t>handed</w:t>
      </w:r>
      <w:r>
        <w:rPr>
          <w:spacing w:val="-10"/>
          <w:sz w:val="22"/>
        </w:rPr>
        <w:t> </w:t>
      </w:r>
      <w:r>
        <w:rPr>
          <w:sz w:val="22"/>
        </w:rPr>
        <w:t>over</w:t>
      </w:r>
      <w:r>
        <w:rPr>
          <w:spacing w:val="-11"/>
          <w:sz w:val="22"/>
        </w:rPr>
        <w:t> </w:t>
      </w:r>
      <w:r>
        <w:rPr>
          <w:sz w:val="22"/>
        </w:rPr>
        <w:t>to</w:t>
      </w:r>
      <w:r>
        <w:rPr>
          <w:spacing w:val="-11"/>
          <w:sz w:val="22"/>
        </w:rPr>
        <w:t> </w:t>
      </w:r>
      <w:r>
        <w:rPr>
          <w:sz w:val="22"/>
        </w:rPr>
        <w:t>council</w:t>
      </w:r>
      <w:r>
        <w:rPr>
          <w:spacing w:val="-11"/>
          <w:sz w:val="22"/>
        </w:rPr>
        <w:t> </w:t>
      </w:r>
      <w:r>
        <w:rPr>
          <w:sz w:val="22"/>
        </w:rPr>
        <w:t>from</w:t>
      </w:r>
      <w:r>
        <w:rPr>
          <w:spacing w:val="-7"/>
          <w:sz w:val="22"/>
        </w:rPr>
        <w:t> </w:t>
      </w:r>
      <w:r>
        <w:rPr>
          <w:sz w:val="22"/>
        </w:rPr>
        <w:t>developers</w:t>
      </w:r>
      <w:r>
        <w:rPr>
          <w:spacing w:val="-8"/>
          <w:sz w:val="22"/>
        </w:rPr>
        <w:t> </w:t>
      </w:r>
      <w:r>
        <w:rPr>
          <w:sz w:val="22"/>
        </w:rPr>
        <w:t>at</w:t>
      </w:r>
      <w:r>
        <w:rPr>
          <w:spacing w:val="-11"/>
          <w:sz w:val="22"/>
        </w:rPr>
        <w:t> </w:t>
      </w:r>
      <w:r>
        <w:rPr>
          <w:sz w:val="22"/>
        </w:rPr>
        <w:t>the</w:t>
      </w:r>
      <w:r>
        <w:rPr>
          <w:spacing w:val="-10"/>
          <w:sz w:val="22"/>
        </w:rPr>
        <w:t> </w:t>
      </w:r>
      <w:r>
        <w:rPr>
          <w:sz w:val="22"/>
        </w:rPr>
        <w:t>completion</w:t>
      </w:r>
      <w:r>
        <w:rPr>
          <w:spacing w:val="-10"/>
          <w:sz w:val="22"/>
        </w:rPr>
        <w:t> </w:t>
      </w:r>
      <w:r>
        <w:rPr>
          <w:sz w:val="22"/>
        </w:rPr>
        <w:t>of</w:t>
      </w:r>
      <w:r>
        <w:rPr>
          <w:spacing w:val="-10"/>
          <w:sz w:val="22"/>
        </w:rPr>
        <w:t> </w:t>
      </w:r>
      <w:r>
        <w:rPr>
          <w:sz w:val="22"/>
        </w:rPr>
        <w:t>a</w:t>
      </w:r>
      <w:r>
        <w:rPr>
          <w:spacing w:val="-10"/>
          <w:sz w:val="22"/>
        </w:rPr>
        <w:t> </w:t>
      </w:r>
      <w:r>
        <w:rPr>
          <w:sz w:val="22"/>
        </w:rPr>
        <w:t>subdivision,</w:t>
      </w:r>
      <w:r>
        <w:rPr>
          <w:spacing w:val="-7"/>
          <w:sz w:val="22"/>
        </w:rPr>
        <w:t> </w:t>
      </w:r>
      <w:r>
        <w:rPr>
          <w:sz w:val="22"/>
        </w:rPr>
        <w:t>such</w:t>
      </w:r>
      <w:r>
        <w:rPr>
          <w:spacing w:val="-12"/>
          <w:sz w:val="22"/>
        </w:rPr>
        <w:t> </w:t>
      </w:r>
      <w:r>
        <w:rPr>
          <w:sz w:val="22"/>
        </w:rPr>
        <w:t>as roads, drainage, and streetlights.</w:t>
      </w:r>
    </w:p>
    <w:p>
      <w:pPr>
        <w:pStyle w:val="BodyText"/>
      </w:pPr>
    </w:p>
    <w:p>
      <w:pPr>
        <w:pStyle w:val="BodyText"/>
        <w:ind w:left="1440" w:right="1435"/>
        <w:jc w:val="both"/>
      </w:pPr>
      <w:r>
        <w:rPr/>
        <w:t>Contributions should always be linked to a planning or funding agreement. Council will not undertake any work on a contribution-funded project until a signed agreement outlining the contribution details is in place.</w:t>
      </w:r>
    </w:p>
    <w:p>
      <w:pPr>
        <w:pStyle w:val="BodyText"/>
        <w:spacing w:before="1"/>
      </w:pPr>
    </w:p>
    <w:p>
      <w:pPr>
        <w:pStyle w:val="BodyText"/>
        <w:ind w:left="1440" w:right="1435"/>
        <w:jc w:val="both"/>
      </w:pPr>
      <w:r>
        <w:rPr/>
        <w:t>Contributions linked to developments can be received well before any council expenditure occurs. In</w:t>
      </w:r>
      <w:r>
        <w:rPr>
          <w:spacing w:val="-2"/>
        </w:rPr>
        <w:t> </w:t>
      </w:r>
      <w:r>
        <w:rPr/>
        <w:t>this situation, the funds will be identified and held separately</w:t>
      </w:r>
      <w:r>
        <w:rPr>
          <w:spacing w:val="-2"/>
        </w:rPr>
        <w:t> </w:t>
      </w:r>
      <w:r>
        <w:rPr/>
        <w:t>for the specific works identified in the agreements.</w:t>
      </w:r>
    </w:p>
    <w:p>
      <w:pPr>
        <w:pStyle w:val="BodyText"/>
        <w:rPr>
          <w:sz w:val="24"/>
        </w:rPr>
      </w:pPr>
    </w:p>
    <w:p>
      <w:pPr>
        <w:pStyle w:val="Heading2"/>
        <w:numPr>
          <w:ilvl w:val="1"/>
          <w:numId w:val="13"/>
        </w:numPr>
        <w:tabs>
          <w:tab w:pos="2161" w:val="left" w:leader="none"/>
          <w:tab w:pos="2162" w:val="left" w:leader="none"/>
        </w:tabs>
        <w:spacing w:line="240" w:lineRule="auto" w:before="177" w:after="0"/>
        <w:ind w:left="2161" w:right="0" w:hanging="722"/>
        <w:jc w:val="left"/>
      </w:pPr>
      <w:bookmarkStart w:name="_TOC_250004" w:id="18"/>
      <w:r>
        <w:rPr>
          <w:color w:val="134295"/>
        </w:rPr>
        <w:t>Revenue</w:t>
      </w:r>
      <w:r>
        <w:rPr>
          <w:color w:val="134295"/>
          <w:spacing w:val="-11"/>
        </w:rPr>
        <w:t> </w:t>
      </w:r>
      <w:r>
        <w:rPr>
          <w:color w:val="134295"/>
        </w:rPr>
        <w:t>on</w:t>
      </w:r>
      <w:r>
        <w:rPr>
          <w:color w:val="134295"/>
          <w:spacing w:val="-9"/>
        </w:rPr>
        <w:t> </w:t>
      </w:r>
      <w:bookmarkEnd w:id="18"/>
      <w:r>
        <w:rPr>
          <w:color w:val="134295"/>
          <w:spacing w:val="-2"/>
        </w:rPr>
        <w:t>Investments</w:t>
      </w:r>
    </w:p>
    <w:p>
      <w:pPr>
        <w:pStyle w:val="BodyText"/>
        <w:spacing w:before="252"/>
        <w:ind w:left="1440" w:right="1433"/>
        <w:jc w:val="both"/>
      </w:pPr>
      <w:r>
        <w:rPr/>
        <w:t>Council receives interest on funds managed as part of its investment portfolio, where funds are held in advance of expenditure, or for special purposes. The investment portfolio is managed</w:t>
      </w:r>
      <w:r>
        <w:rPr>
          <w:spacing w:val="-6"/>
        </w:rPr>
        <w:t> </w:t>
      </w:r>
      <w:r>
        <w:rPr/>
        <w:t>per</w:t>
      </w:r>
      <w:r>
        <w:rPr>
          <w:spacing w:val="-6"/>
        </w:rPr>
        <w:t> </w:t>
      </w:r>
      <w:r>
        <w:rPr/>
        <w:t>council’s</w:t>
      </w:r>
      <w:r>
        <w:rPr>
          <w:spacing w:val="-6"/>
        </w:rPr>
        <w:t> </w:t>
      </w:r>
      <w:r>
        <w:rPr/>
        <w:t>investment</w:t>
      </w:r>
      <w:r>
        <w:rPr>
          <w:spacing w:val="-4"/>
        </w:rPr>
        <w:t> </w:t>
      </w:r>
      <w:r>
        <w:rPr/>
        <w:t>policy,</w:t>
      </w:r>
      <w:r>
        <w:rPr>
          <w:spacing w:val="-4"/>
        </w:rPr>
        <w:t> </w:t>
      </w:r>
      <w:r>
        <w:rPr/>
        <w:t>which</w:t>
      </w:r>
      <w:r>
        <w:rPr>
          <w:spacing w:val="-5"/>
        </w:rPr>
        <w:t> </w:t>
      </w:r>
      <w:r>
        <w:rPr/>
        <w:t>seeks</w:t>
      </w:r>
      <w:r>
        <w:rPr>
          <w:spacing w:val="-6"/>
        </w:rPr>
        <w:t> </w:t>
      </w:r>
      <w:r>
        <w:rPr/>
        <w:t>to</w:t>
      </w:r>
      <w:r>
        <w:rPr>
          <w:spacing w:val="-5"/>
        </w:rPr>
        <w:t> </w:t>
      </w:r>
      <w:r>
        <w:rPr/>
        <w:t>earn</w:t>
      </w:r>
      <w:r>
        <w:rPr>
          <w:spacing w:val="-8"/>
        </w:rPr>
        <w:t> </w:t>
      </w:r>
      <w:r>
        <w:rPr/>
        <w:t>the</w:t>
      </w:r>
      <w:r>
        <w:rPr>
          <w:spacing w:val="-5"/>
        </w:rPr>
        <w:t> </w:t>
      </w:r>
      <w:r>
        <w:rPr/>
        <w:t>best</w:t>
      </w:r>
      <w:r>
        <w:rPr>
          <w:spacing w:val="-6"/>
        </w:rPr>
        <w:t> </w:t>
      </w:r>
      <w:r>
        <w:rPr/>
        <w:t>return</w:t>
      </w:r>
      <w:r>
        <w:rPr>
          <w:spacing w:val="-5"/>
        </w:rPr>
        <w:t> </w:t>
      </w:r>
      <w:r>
        <w:rPr/>
        <w:t>on</w:t>
      </w:r>
      <w:r>
        <w:rPr>
          <w:spacing w:val="-8"/>
        </w:rPr>
        <w:t> </w:t>
      </w:r>
      <w:r>
        <w:rPr/>
        <w:t>funds,</w:t>
      </w:r>
      <w:r>
        <w:rPr>
          <w:spacing w:val="-4"/>
        </w:rPr>
        <w:t> </w:t>
      </w:r>
      <w:r>
        <w:rPr/>
        <w:t>whilst minimising risk.</w:t>
      </w:r>
    </w:p>
    <w:p>
      <w:pPr>
        <w:pStyle w:val="BodyText"/>
        <w:rPr>
          <w:sz w:val="24"/>
        </w:rPr>
      </w:pPr>
    </w:p>
    <w:p>
      <w:pPr>
        <w:pStyle w:val="BodyText"/>
        <w:spacing w:before="10"/>
        <w:rPr>
          <w:sz w:val="18"/>
        </w:rPr>
      </w:pPr>
    </w:p>
    <w:p>
      <w:pPr>
        <w:pStyle w:val="Heading1"/>
        <w:numPr>
          <w:ilvl w:val="0"/>
          <w:numId w:val="13"/>
        </w:numPr>
        <w:tabs>
          <w:tab w:pos="2160" w:val="left" w:leader="none"/>
        </w:tabs>
        <w:spacing w:line="240" w:lineRule="auto" w:before="0" w:after="0"/>
        <w:ind w:left="2160" w:right="0" w:hanging="720"/>
        <w:jc w:val="left"/>
        <w:rPr>
          <w:color w:val="134295"/>
        </w:rPr>
      </w:pPr>
      <w:bookmarkStart w:name="_TOC_250003" w:id="19"/>
      <w:bookmarkEnd w:id="19"/>
      <w:r>
        <w:rPr>
          <w:color w:val="134295"/>
          <w:spacing w:val="-2"/>
        </w:rPr>
        <w:t>Borrowings</w:t>
      </w:r>
    </w:p>
    <w:p>
      <w:pPr>
        <w:pStyle w:val="BodyText"/>
        <w:spacing w:before="314"/>
        <w:ind w:left="1440" w:right="1435"/>
        <w:jc w:val="both"/>
      </w:pPr>
      <w:r>
        <w:rPr/>
        <w:t>Whilst not a source of income, borrowings can be an important cash management tool in appropriate circumstances. Loans can only be approved by council resolution. The following financial sustainability principles must be adhered to with new borrowings:</w:t>
      </w:r>
    </w:p>
    <w:p>
      <w:pPr>
        <w:pStyle w:val="BodyText"/>
        <w:spacing w:before="3"/>
      </w:pPr>
    </w:p>
    <w:p>
      <w:pPr>
        <w:pStyle w:val="ListParagraph"/>
        <w:numPr>
          <w:ilvl w:val="0"/>
          <w:numId w:val="4"/>
        </w:numPr>
        <w:tabs>
          <w:tab w:pos="1799" w:val="left" w:leader="none"/>
          <w:tab w:pos="1800" w:val="left" w:leader="none"/>
        </w:tabs>
        <w:spacing w:line="237" w:lineRule="auto" w:before="0" w:after="0"/>
        <w:ind w:left="1800" w:right="1435" w:hanging="360"/>
        <w:jc w:val="left"/>
        <w:rPr>
          <w:sz w:val="22"/>
        </w:rPr>
      </w:pPr>
      <w:r>
        <w:rPr>
          <w:sz w:val="22"/>
        </w:rPr>
        <w:t>Borrowings must only be applied for where it can be proven that repayments can be met in the Long-Term Financial Plan;</w:t>
      </w:r>
    </w:p>
    <w:p>
      <w:pPr>
        <w:pStyle w:val="ListParagraph"/>
        <w:numPr>
          <w:ilvl w:val="0"/>
          <w:numId w:val="4"/>
        </w:numPr>
        <w:tabs>
          <w:tab w:pos="1799" w:val="left" w:leader="none"/>
          <w:tab w:pos="1800" w:val="left" w:leader="none"/>
        </w:tabs>
        <w:spacing w:line="268" w:lineRule="exact" w:before="1" w:after="0"/>
        <w:ind w:left="1799" w:right="0" w:hanging="360"/>
        <w:jc w:val="left"/>
        <w:rPr>
          <w:sz w:val="22"/>
        </w:rPr>
      </w:pPr>
      <w:r>
        <w:rPr>
          <w:sz w:val="22"/>
        </w:rPr>
        <w:t>Borrowings</w:t>
      </w:r>
      <w:r>
        <w:rPr>
          <w:spacing w:val="-4"/>
          <w:sz w:val="22"/>
        </w:rPr>
        <w:t> </w:t>
      </w:r>
      <w:r>
        <w:rPr>
          <w:sz w:val="22"/>
        </w:rPr>
        <w:t>must</w:t>
      </w:r>
      <w:r>
        <w:rPr>
          <w:spacing w:val="-2"/>
          <w:sz w:val="22"/>
        </w:rPr>
        <w:t> </w:t>
      </w:r>
      <w:r>
        <w:rPr>
          <w:sz w:val="22"/>
        </w:rPr>
        <w:t>not</w:t>
      </w:r>
      <w:r>
        <w:rPr>
          <w:spacing w:val="-3"/>
          <w:sz w:val="22"/>
        </w:rPr>
        <w:t> </w:t>
      </w:r>
      <w:r>
        <w:rPr>
          <w:sz w:val="22"/>
        </w:rPr>
        <w:t>be</w:t>
      </w:r>
      <w:r>
        <w:rPr>
          <w:spacing w:val="-5"/>
          <w:sz w:val="22"/>
        </w:rPr>
        <w:t> </w:t>
      </w:r>
      <w:r>
        <w:rPr>
          <w:sz w:val="22"/>
        </w:rPr>
        <w:t>used</w:t>
      </w:r>
      <w:r>
        <w:rPr>
          <w:spacing w:val="-2"/>
          <w:sz w:val="22"/>
        </w:rPr>
        <w:t> </w:t>
      </w:r>
      <w:r>
        <w:rPr>
          <w:sz w:val="22"/>
        </w:rPr>
        <w:t>to</w:t>
      </w:r>
      <w:r>
        <w:rPr>
          <w:spacing w:val="-5"/>
          <w:sz w:val="22"/>
        </w:rPr>
        <w:t> </w:t>
      </w:r>
      <w:r>
        <w:rPr>
          <w:sz w:val="22"/>
        </w:rPr>
        <w:t>fund</w:t>
      </w:r>
      <w:r>
        <w:rPr>
          <w:spacing w:val="-3"/>
          <w:sz w:val="22"/>
        </w:rPr>
        <w:t> </w:t>
      </w:r>
      <w:r>
        <w:rPr>
          <w:sz w:val="22"/>
        </w:rPr>
        <w:t>ongoing</w:t>
      </w:r>
      <w:r>
        <w:rPr>
          <w:spacing w:val="-1"/>
          <w:sz w:val="22"/>
        </w:rPr>
        <w:t> </w:t>
      </w:r>
      <w:r>
        <w:rPr>
          <w:spacing w:val="-2"/>
          <w:sz w:val="22"/>
        </w:rPr>
        <w:t>operations;</w:t>
      </w:r>
    </w:p>
    <w:p>
      <w:pPr>
        <w:pStyle w:val="ListParagraph"/>
        <w:numPr>
          <w:ilvl w:val="0"/>
          <w:numId w:val="4"/>
        </w:numPr>
        <w:tabs>
          <w:tab w:pos="1799" w:val="left" w:leader="none"/>
          <w:tab w:pos="1800" w:val="left" w:leader="none"/>
        </w:tabs>
        <w:spacing w:line="237" w:lineRule="auto" w:before="1" w:after="0"/>
        <w:ind w:left="1800" w:right="1435" w:hanging="360"/>
        <w:jc w:val="left"/>
        <w:rPr>
          <w:sz w:val="22"/>
        </w:rPr>
      </w:pPr>
      <w:r>
        <w:rPr>
          <w:sz w:val="22"/>
        </w:rPr>
        <w:t>Borrowings</w:t>
      </w:r>
      <w:r>
        <w:rPr>
          <w:spacing w:val="-11"/>
          <w:sz w:val="22"/>
        </w:rPr>
        <w:t> </w:t>
      </w:r>
      <w:r>
        <w:rPr>
          <w:sz w:val="22"/>
        </w:rPr>
        <w:t>are</w:t>
      </w:r>
      <w:r>
        <w:rPr>
          <w:spacing w:val="-14"/>
          <w:sz w:val="22"/>
        </w:rPr>
        <w:t> </w:t>
      </w:r>
      <w:r>
        <w:rPr>
          <w:sz w:val="22"/>
        </w:rPr>
        <w:t>appropriate</w:t>
      </w:r>
      <w:r>
        <w:rPr>
          <w:spacing w:val="-13"/>
          <w:sz w:val="22"/>
        </w:rPr>
        <w:t> </w:t>
      </w:r>
      <w:r>
        <w:rPr>
          <w:sz w:val="22"/>
        </w:rPr>
        <w:t>for</w:t>
      </w:r>
      <w:r>
        <w:rPr>
          <w:spacing w:val="-11"/>
          <w:sz w:val="22"/>
        </w:rPr>
        <w:t> </w:t>
      </w:r>
      <w:r>
        <w:rPr>
          <w:sz w:val="22"/>
        </w:rPr>
        <w:t>funding</w:t>
      </w:r>
      <w:r>
        <w:rPr>
          <w:spacing w:val="-11"/>
          <w:sz w:val="22"/>
        </w:rPr>
        <w:t> </w:t>
      </w:r>
      <w:r>
        <w:rPr>
          <w:sz w:val="22"/>
        </w:rPr>
        <w:t>large</w:t>
      </w:r>
      <w:r>
        <w:rPr>
          <w:spacing w:val="-14"/>
          <w:sz w:val="22"/>
        </w:rPr>
        <w:t> </w:t>
      </w:r>
      <w:r>
        <w:rPr>
          <w:sz w:val="22"/>
        </w:rPr>
        <w:t>capital</w:t>
      </w:r>
      <w:r>
        <w:rPr>
          <w:spacing w:val="-11"/>
          <w:sz w:val="22"/>
        </w:rPr>
        <w:t> </w:t>
      </w:r>
      <w:r>
        <w:rPr>
          <w:sz w:val="22"/>
        </w:rPr>
        <w:t>works</w:t>
      </w:r>
      <w:r>
        <w:rPr>
          <w:spacing w:val="-11"/>
          <w:sz w:val="22"/>
        </w:rPr>
        <w:t> </w:t>
      </w:r>
      <w:r>
        <w:rPr>
          <w:sz w:val="22"/>
        </w:rPr>
        <w:t>where</w:t>
      </w:r>
      <w:r>
        <w:rPr>
          <w:spacing w:val="-14"/>
          <w:sz w:val="22"/>
        </w:rPr>
        <w:t> </w:t>
      </w:r>
      <w:r>
        <w:rPr>
          <w:sz w:val="22"/>
        </w:rPr>
        <w:t>the</w:t>
      </w:r>
      <w:r>
        <w:rPr>
          <w:spacing w:val="-11"/>
          <w:sz w:val="22"/>
        </w:rPr>
        <w:t> </w:t>
      </w:r>
      <w:r>
        <w:rPr>
          <w:sz w:val="22"/>
        </w:rPr>
        <w:t>benefits</w:t>
      </w:r>
      <w:r>
        <w:rPr>
          <w:spacing w:val="-11"/>
          <w:sz w:val="22"/>
        </w:rPr>
        <w:t> </w:t>
      </w:r>
      <w:r>
        <w:rPr>
          <w:sz w:val="22"/>
        </w:rPr>
        <w:t>are</w:t>
      </w:r>
      <w:r>
        <w:rPr>
          <w:spacing w:val="-14"/>
          <w:sz w:val="22"/>
        </w:rPr>
        <w:t> </w:t>
      </w:r>
      <w:r>
        <w:rPr>
          <w:sz w:val="22"/>
        </w:rPr>
        <w:t>provided to future generations;</w:t>
      </w:r>
    </w:p>
    <w:p>
      <w:pPr>
        <w:pStyle w:val="ListParagraph"/>
        <w:numPr>
          <w:ilvl w:val="0"/>
          <w:numId w:val="4"/>
        </w:numPr>
        <w:tabs>
          <w:tab w:pos="1799" w:val="left" w:leader="none"/>
          <w:tab w:pos="1800" w:val="left" w:leader="none"/>
        </w:tabs>
        <w:spacing w:line="269" w:lineRule="exact" w:before="1" w:after="0"/>
        <w:ind w:left="1799" w:right="0" w:hanging="360"/>
        <w:jc w:val="left"/>
        <w:rPr>
          <w:sz w:val="22"/>
        </w:rPr>
      </w:pPr>
      <w:r>
        <w:rPr>
          <w:sz w:val="22"/>
        </w:rPr>
        <w:t>Borrowings</w:t>
      </w:r>
      <w:r>
        <w:rPr>
          <w:spacing w:val="-3"/>
          <w:sz w:val="22"/>
        </w:rPr>
        <w:t> </w:t>
      </w:r>
      <w:r>
        <w:rPr>
          <w:sz w:val="22"/>
        </w:rPr>
        <w:t>will</w:t>
      </w:r>
      <w:r>
        <w:rPr>
          <w:spacing w:val="-3"/>
          <w:sz w:val="22"/>
        </w:rPr>
        <w:t> </w:t>
      </w:r>
      <w:r>
        <w:rPr>
          <w:sz w:val="22"/>
        </w:rPr>
        <w:t>generate</w:t>
      </w:r>
      <w:r>
        <w:rPr>
          <w:spacing w:val="-6"/>
          <w:sz w:val="22"/>
        </w:rPr>
        <w:t> </w:t>
      </w:r>
      <w:r>
        <w:rPr>
          <w:sz w:val="22"/>
        </w:rPr>
        <w:t>some</w:t>
      </w:r>
      <w:r>
        <w:rPr>
          <w:spacing w:val="-7"/>
          <w:sz w:val="22"/>
        </w:rPr>
        <w:t> </w:t>
      </w:r>
      <w:r>
        <w:rPr>
          <w:sz w:val="22"/>
        </w:rPr>
        <w:t>form</w:t>
      </w:r>
      <w:r>
        <w:rPr>
          <w:spacing w:val="-3"/>
          <w:sz w:val="22"/>
        </w:rPr>
        <w:t> </w:t>
      </w:r>
      <w:r>
        <w:rPr>
          <w:sz w:val="22"/>
        </w:rPr>
        <w:t>of</w:t>
      </w:r>
      <w:r>
        <w:rPr>
          <w:spacing w:val="-4"/>
          <w:sz w:val="22"/>
        </w:rPr>
        <w:t> </w:t>
      </w:r>
      <w:r>
        <w:rPr>
          <w:sz w:val="22"/>
        </w:rPr>
        <w:t>return</w:t>
      </w:r>
      <w:r>
        <w:rPr>
          <w:spacing w:val="-5"/>
          <w:sz w:val="22"/>
        </w:rPr>
        <w:t> </w:t>
      </w:r>
      <w:r>
        <w:rPr>
          <w:sz w:val="22"/>
        </w:rPr>
        <w:t>on</w:t>
      </w:r>
      <w:r>
        <w:rPr>
          <w:spacing w:val="-4"/>
          <w:sz w:val="22"/>
        </w:rPr>
        <w:t> </w:t>
      </w:r>
      <w:r>
        <w:rPr>
          <w:sz w:val="22"/>
        </w:rPr>
        <w:t>investment</w:t>
      </w:r>
      <w:r>
        <w:rPr>
          <w:spacing w:val="-2"/>
          <w:sz w:val="22"/>
        </w:rPr>
        <w:t> </w:t>
      </w:r>
      <w:r>
        <w:rPr>
          <w:sz w:val="22"/>
        </w:rPr>
        <w:t>where</w:t>
      </w:r>
      <w:r>
        <w:rPr>
          <w:spacing w:val="-5"/>
          <w:sz w:val="22"/>
        </w:rPr>
        <w:t> </w:t>
      </w:r>
      <w:r>
        <w:rPr>
          <w:sz w:val="22"/>
        </w:rPr>
        <w:t>possible; </w:t>
      </w:r>
      <w:r>
        <w:rPr>
          <w:spacing w:val="-5"/>
          <w:sz w:val="22"/>
        </w:rPr>
        <w:t>and</w:t>
      </w:r>
    </w:p>
    <w:p>
      <w:pPr>
        <w:pStyle w:val="ListParagraph"/>
        <w:numPr>
          <w:ilvl w:val="0"/>
          <w:numId w:val="4"/>
        </w:numPr>
        <w:tabs>
          <w:tab w:pos="1799" w:val="left" w:leader="none"/>
          <w:tab w:pos="1800" w:val="left" w:leader="none"/>
        </w:tabs>
        <w:spacing w:line="268" w:lineRule="exact" w:before="0" w:after="0"/>
        <w:ind w:left="1799" w:right="0" w:hanging="360"/>
        <w:jc w:val="left"/>
        <w:rPr>
          <w:sz w:val="22"/>
        </w:rPr>
      </w:pPr>
      <w:r>
        <w:rPr>
          <w:sz w:val="22"/>
        </w:rPr>
        <w:t>Council</w:t>
      </w:r>
      <w:r>
        <w:rPr>
          <w:spacing w:val="-5"/>
          <w:sz w:val="22"/>
        </w:rPr>
        <w:t> </w:t>
      </w:r>
      <w:r>
        <w:rPr>
          <w:sz w:val="22"/>
        </w:rPr>
        <w:t>will</w:t>
      </w:r>
      <w:r>
        <w:rPr>
          <w:spacing w:val="-2"/>
          <w:sz w:val="22"/>
        </w:rPr>
        <w:t> </w:t>
      </w:r>
      <w:r>
        <w:rPr>
          <w:sz w:val="22"/>
        </w:rPr>
        <w:t>maintain</w:t>
      </w:r>
      <w:r>
        <w:rPr>
          <w:spacing w:val="-4"/>
          <w:sz w:val="22"/>
        </w:rPr>
        <w:t> </w:t>
      </w:r>
      <w:r>
        <w:rPr>
          <w:sz w:val="22"/>
        </w:rPr>
        <w:t>its</w:t>
      </w:r>
      <w:r>
        <w:rPr>
          <w:spacing w:val="-4"/>
          <w:sz w:val="22"/>
        </w:rPr>
        <w:t> </w:t>
      </w:r>
      <w:r>
        <w:rPr>
          <w:sz w:val="22"/>
        </w:rPr>
        <w:t>debt at</w:t>
      </w:r>
      <w:r>
        <w:rPr>
          <w:spacing w:val="-2"/>
          <w:sz w:val="22"/>
        </w:rPr>
        <w:t> </w:t>
      </w:r>
      <w:r>
        <w:rPr>
          <w:sz w:val="22"/>
        </w:rPr>
        <w:t>levels</w:t>
      </w:r>
      <w:r>
        <w:rPr>
          <w:spacing w:val="-2"/>
          <w:sz w:val="22"/>
        </w:rPr>
        <w:t> </w:t>
      </w:r>
      <w:r>
        <w:rPr>
          <w:sz w:val="22"/>
        </w:rPr>
        <w:t>which</w:t>
      </w:r>
      <w:r>
        <w:rPr>
          <w:spacing w:val="-5"/>
          <w:sz w:val="22"/>
        </w:rPr>
        <w:t> </w:t>
      </w:r>
      <w:r>
        <w:rPr>
          <w:sz w:val="22"/>
        </w:rPr>
        <w:t>are</w:t>
      </w:r>
      <w:r>
        <w:rPr>
          <w:spacing w:val="-8"/>
          <w:sz w:val="22"/>
        </w:rPr>
        <w:t> </w:t>
      </w:r>
      <w:r>
        <w:rPr>
          <w:sz w:val="22"/>
        </w:rPr>
        <w:t>sustainable, </w:t>
      </w:r>
      <w:r>
        <w:rPr>
          <w:spacing w:val="-2"/>
          <w:sz w:val="22"/>
        </w:rPr>
        <w:t>with:</w:t>
      </w:r>
    </w:p>
    <w:p>
      <w:pPr>
        <w:pStyle w:val="ListParagraph"/>
        <w:numPr>
          <w:ilvl w:val="0"/>
          <w:numId w:val="17"/>
        </w:numPr>
        <w:tabs>
          <w:tab w:pos="2520" w:val="left" w:leader="none"/>
        </w:tabs>
        <w:spacing w:line="261" w:lineRule="exact" w:before="0" w:after="0"/>
        <w:ind w:left="2519" w:right="0" w:hanging="360"/>
        <w:jc w:val="left"/>
        <w:rPr>
          <w:sz w:val="22"/>
        </w:rPr>
      </w:pPr>
      <w:r>
        <w:rPr>
          <w:sz w:val="22"/>
        </w:rPr>
        <w:t>indebtedness</w:t>
      </w:r>
      <w:r>
        <w:rPr>
          <w:spacing w:val="-5"/>
          <w:sz w:val="22"/>
        </w:rPr>
        <w:t> </w:t>
      </w:r>
      <w:r>
        <w:rPr>
          <w:sz w:val="22"/>
        </w:rPr>
        <w:t>&lt;60%</w:t>
      </w:r>
      <w:r>
        <w:rPr>
          <w:spacing w:val="-4"/>
          <w:sz w:val="22"/>
        </w:rPr>
        <w:t> </w:t>
      </w:r>
      <w:r>
        <w:rPr>
          <w:sz w:val="22"/>
        </w:rPr>
        <w:t>of</w:t>
      </w:r>
      <w:r>
        <w:rPr>
          <w:spacing w:val="-2"/>
          <w:sz w:val="22"/>
        </w:rPr>
        <w:t> </w:t>
      </w:r>
      <w:r>
        <w:rPr>
          <w:sz w:val="22"/>
        </w:rPr>
        <w:t>rate</w:t>
      </w:r>
      <w:r>
        <w:rPr>
          <w:spacing w:val="-5"/>
          <w:sz w:val="22"/>
        </w:rPr>
        <w:t> </w:t>
      </w:r>
      <w:r>
        <w:rPr>
          <w:sz w:val="22"/>
        </w:rPr>
        <w:t>and</w:t>
      </w:r>
      <w:r>
        <w:rPr>
          <w:spacing w:val="-4"/>
          <w:sz w:val="22"/>
        </w:rPr>
        <w:t> </w:t>
      </w:r>
      <w:r>
        <w:rPr>
          <w:sz w:val="22"/>
        </w:rPr>
        <w:t>charges</w:t>
      </w:r>
      <w:r>
        <w:rPr>
          <w:spacing w:val="-4"/>
          <w:sz w:val="22"/>
        </w:rPr>
        <w:t> </w:t>
      </w:r>
      <w:r>
        <w:rPr>
          <w:sz w:val="22"/>
        </w:rPr>
        <w:t>revenue,</w:t>
      </w:r>
      <w:r>
        <w:rPr>
          <w:spacing w:val="-6"/>
          <w:sz w:val="22"/>
        </w:rPr>
        <w:t> </w:t>
      </w:r>
      <w:r>
        <w:rPr>
          <w:spacing w:val="-5"/>
          <w:sz w:val="22"/>
        </w:rPr>
        <w:t>and</w:t>
      </w:r>
    </w:p>
    <w:p>
      <w:pPr>
        <w:pStyle w:val="ListParagraph"/>
        <w:numPr>
          <w:ilvl w:val="0"/>
          <w:numId w:val="17"/>
        </w:numPr>
        <w:tabs>
          <w:tab w:pos="2520" w:val="left" w:leader="none"/>
        </w:tabs>
        <w:spacing w:line="262" w:lineRule="exact" w:before="0" w:after="0"/>
        <w:ind w:left="2519" w:right="0" w:hanging="360"/>
        <w:jc w:val="left"/>
        <w:rPr>
          <w:sz w:val="22"/>
        </w:rPr>
      </w:pPr>
      <w:r>
        <w:rPr/>
        <w:drawing>
          <wp:anchor distT="0" distB="0" distL="0" distR="0" allowOverlap="1" layoutInCell="1" locked="0" behindDoc="0" simplePos="0" relativeHeight="15749632">
            <wp:simplePos x="0" y="0"/>
            <wp:positionH relativeFrom="page">
              <wp:posOffset>0</wp:posOffset>
            </wp:positionH>
            <wp:positionV relativeFrom="paragraph">
              <wp:posOffset>1424525</wp:posOffset>
            </wp:positionV>
            <wp:extent cx="7560564" cy="101981"/>
            <wp:effectExtent l="0" t="0" r="0" b="0"/>
            <wp:wrapNone/>
            <wp:docPr id="83" name="image2.png"/>
            <wp:cNvGraphicFramePr>
              <a:graphicFrameLocks noChangeAspect="1"/>
            </wp:cNvGraphicFramePr>
            <a:graphic>
              <a:graphicData uri="http://schemas.openxmlformats.org/drawingml/2006/picture">
                <pic:pic>
                  <pic:nvPicPr>
                    <pic:cNvPr id="84" name="image2.png"/>
                    <pic:cNvPicPr/>
                  </pic:nvPicPr>
                  <pic:blipFill>
                    <a:blip r:embed="rId7" cstate="print"/>
                    <a:stretch>
                      <a:fillRect/>
                    </a:stretch>
                  </pic:blipFill>
                  <pic:spPr>
                    <a:xfrm>
                      <a:off x="0" y="0"/>
                      <a:ext cx="7560564" cy="101981"/>
                    </a:xfrm>
                    <a:prstGeom prst="rect">
                      <a:avLst/>
                    </a:prstGeom>
                  </pic:spPr>
                </pic:pic>
              </a:graphicData>
            </a:graphic>
          </wp:anchor>
        </w:drawing>
      </w:r>
      <w:r>
        <w:rPr>
          <w:sz w:val="22"/>
        </w:rPr>
        <w:t>debt</w:t>
      </w:r>
      <w:r>
        <w:rPr>
          <w:spacing w:val="-4"/>
          <w:sz w:val="22"/>
        </w:rPr>
        <w:t> </w:t>
      </w:r>
      <w:r>
        <w:rPr>
          <w:sz w:val="22"/>
        </w:rPr>
        <w:t>servicing</w:t>
      </w:r>
      <w:r>
        <w:rPr>
          <w:spacing w:val="-3"/>
          <w:sz w:val="22"/>
        </w:rPr>
        <w:t> </w:t>
      </w:r>
      <w:r>
        <w:rPr>
          <w:sz w:val="22"/>
        </w:rPr>
        <w:t>cost</w:t>
      </w:r>
      <w:r>
        <w:rPr>
          <w:spacing w:val="-3"/>
          <w:sz w:val="22"/>
        </w:rPr>
        <w:t> </w:t>
      </w:r>
      <w:r>
        <w:rPr>
          <w:sz w:val="22"/>
        </w:rPr>
        <w:t>&lt;5%</w:t>
      </w:r>
      <w:r>
        <w:rPr>
          <w:spacing w:val="-7"/>
          <w:sz w:val="22"/>
        </w:rPr>
        <w:t> </w:t>
      </w:r>
      <w:r>
        <w:rPr>
          <w:sz w:val="22"/>
        </w:rPr>
        <w:t>of</w:t>
      </w:r>
      <w:r>
        <w:rPr>
          <w:spacing w:val="-2"/>
          <w:sz w:val="22"/>
        </w:rPr>
        <w:t> </w:t>
      </w:r>
      <w:r>
        <w:rPr>
          <w:sz w:val="22"/>
        </w:rPr>
        <w:t>total</w:t>
      </w:r>
      <w:r>
        <w:rPr>
          <w:spacing w:val="-5"/>
          <w:sz w:val="22"/>
        </w:rPr>
        <w:t> </w:t>
      </w:r>
      <w:r>
        <w:rPr>
          <w:sz w:val="22"/>
        </w:rPr>
        <w:t>revenue</w:t>
      </w:r>
      <w:r>
        <w:rPr>
          <w:spacing w:val="-4"/>
          <w:sz w:val="22"/>
        </w:rPr>
        <w:t> </w:t>
      </w:r>
      <w:r>
        <w:rPr>
          <w:sz w:val="22"/>
        </w:rPr>
        <w:t>(excluding</w:t>
      </w:r>
      <w:r>
        <w:rPr>
          <w:spacing w:val="-3"/>
          <w:sz w:val="22"/>
        </w:rPr>
        <w:t> </w:t>
      </w:r>
      <w:r>
        <w:rPr>
          <w:sz w:val="22"/>
        </w:rPr>
        <w:t>capital</w:t>
      </w:r>
      <w:r>
        <w:rPr>
          <w:spacing w:val="-4"/>
          <w:sz w:val="22"/>
        </w:rPr>
        <w:t> </w:t>
      </w:r>
      <w:r>
        <w:rPr>
          <w:spacing w:val="-2"/>
          <w:sz w:val="22"/>
        </w:rPr>
        <w:t>revenue).</w:t>
      </w:r>
    </w:p>
    <w:p>
      <w:pPr>
        <w:spacing w:after="0" w:line="262" w:lineRule="exact"/>
        <w:jc w:val="left"/>
        <w:rPr>
          <w:sz w:val="22"/>
        </w:rPr>
        <w:sectPr>
          <w:footerReference w:type="default" r:id="rId18"/>
          <w:pgSz w:w="11910" w:h="16840"/>
          <w:pgMar w:footer="662" w:header="0" w:top="580" w:bottom="860" w:left="0" w:right="0"/>
        </w:sectPr>
      </w:pPr>
    </w:p>
    <w:p>
      <w:pPr>
        <w:pStyle w:val="Heading1"/>
        <w:numPr>
          <w:ilvl w:val="0"/>
          <w:numId w:val="13"/>
        </w:numPr>
        <w:tabs>
          <w:tab w:pos="2160" w:val="left" w:leader="none"/>
        </w:tabs>
        <w:spacing w:line="240" w:lineRule="auto" w:before="62" w:after="0"/>
        <w:ind w:left="2160" w:right="0" w:hanging="720"/>
        <w:jc w:val="left"/>
        <w:rPr>
          <w:color w:val="134295"/>
        </w:rPr>
      </w:pPr>
      <w:bookmarkStart w:name="_TOC_250002" w:id="20"/>
      <w:r>
        <w:rPr>
          <w:color w:val="134295"/>
        </w:rPr>
        <w:t>Financial</w:t>
      </w:r>
      <w:r>
        <w:rPr>
          <w:color w:val="134295"/>
          <w:spacing w:val="2"/>
        </w:rPr>
        <w:t> </w:t>
      </w:r>
      <w:bookmarkEnd w:id="20"/>
      <w:r>
        <w:rPr>
          <w:color w:val="134295"/>
          <w:spacing w:val="-2"/>
        </w:rPr>
        <w:t>Sustainability</w:t>
      </w:r>
    </w:p>
    <w:p>
      <w:pPr>
        <w:pStyle w:val="BodyText"/>
        <w:spacing w:before="311"/>
        <w:ind w:left="1440" w:right="1432"/>
        <w:jc w:val="both"/>
      </w:pPr>
      <w:r>
        <w:rPr/>
        <w:t>This Revenue and Rating Plan is designed to ensure a balanced budget and sustainable service</w:t>
      </w:r>
      <w:r>
        <w:rPr>
          <w:spacing w:val="-4"/>
        </w:rPr>
        <w:t> </w:t>
      </w:r>
      <w:r>
        <w:rPr/>
        <w:t>delivery. By</w:t>
      </w:r>
      <w:r>
        <w:rPr>
          <w:spacing w:val="-2"/>
        </w:rPr>
        <w:t> </w:t>
      </w:r>
      <w:r>
        <w:rPr/>
        <w:t>implementing</w:t>
      </w:r>
      <w:r>
        <w:rPr>
          <w:spacing w:val="-1"/>
        </w:rPr>
        <w:t> </w:t>
      </w:r>
      <w:r>
        <w:rPr/>
        <w:t>this</w:t>
      </w:r>
      <w:r>
        <w:rPr>
          <w:spacing w:val="-2"/>
        </w:rPr>
        <w:t> </w:t>
      </w:r>
      <w:r>
        <w:rPr/>
        <w:t>plan, Council</w:t>
      </w:r>
      <w:r>
        <w:rPr>
          <w:spacing w:val="-2"/>
        </w:rPr>
        <w:t> </w:t>
      </w:r>
      <w:r>
        <w:rPr/>
        <w:t>aims</w:t>
      </w:r>
      <w:r>
        <w:rPr>
          <w:spacing w:val="-2"/>
        </w:rPr>
        <w:t> </w:t>
      </w:r>
      <w:r>
        <w:rPr/>
        <w:t>to address</w:t>
      </w:r>
      <w:r>
        <w:rPr>
          <w:spacing w:val="-2"/>
        </w:rPr>
        <w:t> </w:t>
      </w:r>
      <w:r>
        <w:rPr/>
        <w:t>future</w:t>
      </w:r>
      <w:r>
        <w:rPr>
          <w:spacing w:val="-6"/>
        </w:rPr>
        <w:t> </w:t>
      </w:r>
      <w:r>
        <w:rPr/>
        <w:t>infrastructure</w:t>
      </w:r>
      <w:r>
        <w:rPr>
          <w:spacing w:val="-2"/>
        </w:rPr>
        <w:t> </w:t>
      </w:r>
      <w:r>
        <w:rPr/>
        <w:t>and operational needs, thereby securing the long-term financial sustainability of the council.</w:t>
      </w:r>
    </w:p>
    <w:p>
      <w:pPr>
        <w:pStyle w:val="BodyText"/>
        <w:rPr>
          <w:sz w:val="24"/>
        </w:rPr>
      </w:pPr>
    </w:p>
    <w:p>
      <w:pPr>
        <w:pStyle w:val="Heading2"/>
        <w:numPr>
          <w:ilvl w:val="1"/>
          <w:numId w:val="13"/>
        </w:numPr>
        <w:tabs>
          <w:tab w:pos="2161" w:val="left" w:leader="none"/>
          <w:tab w:pos="2162" w:val="left" w:leader="none"/>
        </w:tabs>
        <w:spacing w:line="240" w:lineRule="auto" w:before="180" w:after="0"/>
        <w:ind w:left="2161" w:right="0" w:hanging="722"/>
        <w:jc w:val="left"/>
      </w:pPr>
      <w:bookmarkStart w:name="_TOC_250001" w:id="21"/>
      <w:r>
        <w:rPr>
          <w:color w:val="134295"/>
        </w:rPr>
        <w:t>Consideration</w:t>
      </w:r>
      <w:r>
        <w:rPr>
          <w:color w:val="134295"/>
          <w:spacing w:val="-8"/>
        </w:rPr>
        <w:t> </w:t>
      </w:r>
      <w:r>
        <w:rPr>
          <w:color w:val="134295"/>
        </w:rPr>
        <w:t>of</w:t>
      </w:r>
      <w:r>
        <w:rPr>
          <w:color w:val="134295"/>
          <w:spacing w:val="-12"/>
        </w:rPr>
        <w:t> </w:t>
      </w:r>
      <w:r>
        <w:rPr>
          <w:color w:val="134295"/>
        </w:rPr>
        <w:t>Risk</w:t>
      </w:r>
      <w:r>
        <w:rPr>
          <w:color w:val="134295"/>
          <w:spacing w:val="-11"/>
        </w:rPr>
        <w:t> </w:t>
      </w:r>
      <w:r>
        <w:rPr>
          <w:color w:val="134295"/>
        </w:rPr>
        <w:t>Management</w:t>
      </w:r>
      <w:r>
        <w:rPr>
          <w:color w:val="134295"/>
          <w:spacing w:val="-12"/>
        </w:rPr>
        <w:t> </w:t>
      </w:r>
      <w:r>
        <w:rPr>
          <w:color w:val="134295"/>
        </w:rPr>
        <w:t>and</w:t>
      </w:r>
      <w:r>
        <w:rPr>
          <w:color w:val="134295"/>
          <w:spacing w:val="-14"/>
        </w:rPr>
        <w:t> </w:t>
      </w:r>
      <w:bookmarkEnd w:id="21"/>
      <w:r>
        <w:rPr>
          <w:color w:val="134295"/>
          <w:spacing w:val="-2"/>
        </w:rPr>
        <w:t>Assumptions</w:t>
      </w:r>
    </w:p>
    <w:p>
      <w:pPr>
        <w:pStyle w:val="BodyText"/>
        <w:spacing w:before="251"/>
        <w:ind w:left="1440" w:right="1433"/>
        <w:jc w:val="both"/>
      </w:pPr>
      <w:r>
        <w:rPr/>
        <w:t>The plan takes into consideration key risks that Council may face to its revenue streams including</w:t>
      </w:r>
      <w:r>
        <w:rPr>
          <w:spacing w:val="-9"/>
        </w:rPr>
        <w:t> </w:t>
      </w:r>
      <w:r>
        <w:rPr/>
        <w:t>changes</w:t>
      </w:r>
      <w:r>
        <w:rPr>
          <w:spacing w:val="-9"/>
        </w:rPr>
        <w:t> </w:t>
      </w:r>
      <w:r>
        <w:rPr/>
        <w:t>in</w:t>
      </w:r>
      <w:r>
        <w:rPr>
          <w:spacing w:val="-13"/>
        </w:rPr>
        <w:t> </w:t>
      </w:r>
      <w:r>
        <w:rPr/>
        <w:t>grant</w:t>
      </w:r>
      <w:r>
        <w:rPr>
          <w:spacing w:val="-12"/>
        </w:rPr>
        <w:t> </w:t>
      </w:r>
      <w:r>
        <w:rPr/>
        <w:t>funding</w:t>
      </w:r>
      <w:r>
        <w:rPr>
          <w:spacing w:val="-9"/>
        </w:rPr>
        <w:t> </w:t>
      </w:r>
      <w:r>
        <w:rPr/>
        <w:t>and</w:t>
      </w:r>
      <w:r>
        <w:rPr>
          <w:spacing w:val="-11"/>
        </w:rPr>
        <w:t> </w:t>
      </w:r>
      <w:r>
        <w:rPr/>
        <w:t>economic</w:t>
      </w:r>
      <w:r>
        <w:rPr>
          <w:spacing w:val="-16"/>
        </w:rPr>
        <w:t> </w:t>
      </w:r>
      <w:r>
        <w:rPr/>
        <w:t>conditions,</w:t>
      </w:r>
      <w:r>
        <w:rPr>
          <w:spacing w:val="-10"/>
        </w:rPr>
        <w:t> </w:t>
      </w:r>
      <w:r>
        <w:rPr/>
        <w:t>consideration</w:t>
      </w:r>
      <w:r>
        <w:rPr>
          <w:spacing w:val="-9"/>
        </w:rPr>
        <w:t> </w:t>
      </w:r>
      <w:r>
        <w:rPr/>
        <w:t>of</w:t>
      </w:r>
      <w:r>
        <w:rPr>
          <w:spacing w:val="-11"/>
        </w:rPr>
        <w:t> </w:t>
      </w:r>
      <w:r>
        <w:rPr/>
        <w:t>potential</w:t>
      </w:r>
      <w:r>
        <w:rPr>
          <w:spacing w:val="-9"/>
        </w:rPr>
        <w:t> </w:t>
      </w:r>
      <w:r>
        <w:rPr/>
        <w:t>growth and inflation, as well as the costs associated with administrating Council operations.</w:t>
      </w:r>
    </w:p>
    <w:p>
      <w:pPr>
        <w:pStyle w:val="BodyText"/>
        <w:spacing w:before="1"/>
      </w:pPr>
    </w:p>
    <w:p>
      <w:pPr>
        <w:pStyle w:val="BodyText"/>
        <w:ind w:left="1440" w:right="1434"/>
        <w:jc w:val="both"/>
      </w:pPr>
      <w:r>
        <w:rPr/>
        <w:t>By acknowledging these risks and making appropriate assumptions, the plan can effectively mitigate potential financial challenges.</w:t>
      </w:r>
    </w:p>
    <w:p>
      <w:pPr>
        <w:pStyle w:val="BodyText"/>
        <w:rPr>
          <w:sz w:val="24"/>
        </w:rPr>
      </w:pPr>
    </w:p>
    <w:p>
      <w:pPr>
        <w:pStyle w:val="Heading2"/>
        <w:numPr>
          <w:ilvl w:val="1"/>
          <w:numId w:val="13"/>
        </w:numPr>
        <w:tabs>
          <w:tab w:pos="2161" w:val="left" w:leader="none"/>
          <w:tab w:pos="2162" w:val="left" w:leader="none"/>
        </w:tabs>
        <w:spacing w:line="240" w:lineRule="auto" w:before="178" w:after="0"/>
        <w:ind w:left="2161" w:right="0" w:hanging="722"/>
        <w:jc w:val="left"/>
      </w:pPr>
      <w:bookmarkStart w:name="_TOC_250000" w:id="22"/>
      <w:r>
        <w:rPr>
          <w:color w:val="134295"/>
        </w:rPr>
        <w:t>Performance</w:t>
      </w:r>
      <w:r>
        <w:rPr>
          <w:color w:val="134295"/>
          <w:spacing w:val="-15"/>
        </w:rPr>
        <w:t> </w:t>
      </w:r>
      <w:r>
        <w:rPr>
          <w:color w:val="134295"/>
        </w:rPr>
        <w:t>and</w:t>
      </w:r>
      <w:r>
        <w:rPr>
          <w:color w:val="134295"/>
          <w:spacing w:val="-14"/>
        </w:rPr>
        <w:t> </w:t>
      </w:r>
      <w:r>
        <w:rPr>
          <w:color w:val="134295"/>
        </w:rPr>
        <w:t>Performance</w:t>
      </w:r>
      <w:r>
        <w:rPr>
          <w:color w:val="134295"/>
          <w:spacing w:val="-10"/>
        </w:rPr>
        <w:t> </w:t>
      </w:r>
      <w:bookmarkEnd w:id="22"/>
      <w:r>
        <w:rPr>
          <w:color w:val="134295"/>
          <w:spacing w:val="-2"/>
        </w:rPr>
        <w:t>Metrics</w:t>
      </w:r>
    </w:p>
    <w:p>
      <w:pPr>
        <w:pStyle w:val="BodyText"/>
        <w:spacing w:before="251"/>
        <w:ind w:left="1440" w:right="1435"/>
        <w:jc w:val="both"/>
      </w:pPr>
      <w:r>
        <w:rPr/>
        <w:t>To</w:t>
      </w:r>
      <w:r>
        <w:rPr>
          <w:spacing w:val="-5"/>
        </w:rPr>
        <w:t> </w:t>
      </w:r>
      <w:r>
        <w:rPr/>
        <w:t>track</w:t>
      </w:r>
      <w:r>
        <w:rPr>
          <w:spacing w:val="-6"/>
        </w:rPr>
        <w:t> </w:t>
      </w:r>
      <w:r>
        <w:rPr/>
        <w:t>the</w:t>
      </w:r>
      <w:r>
        <w:rPr>
          <w:spacing w:val="-5"/>
        </w:rPr>
        <w:t> </w:t>
      </w:r>
      <w:r>
        <w:rPr/>
        <w:t>effectiveness</w:t>
      </w:r>
      <w:r>
        <w:rPr>
          <w:spacing w:val="-4"/>
        </w:rPr>
        <w:t> </w:t>
      </w:r>
      <w:r>
        <w:rPr/>
        <w:t>of</w:t>
      </w:r>
      <w:r>
        <w:rPr>
          <w:spacing w:val="-6"/>
        </w:rPr>
        <w:t> </w:t>
      </w:r>
      <w:r>
        <w:rPr/>
        <w:t>the</w:t>
      </w:r>
      <w:r>
        <w:rPr>
          <w:spacing w:val="-6"/>
        </w:rPr>
        <w:t> </w:t>
      </w:r>
      <w:r>
        <w:rPr/>
        <w:t>plan</w:t>
      </w:r>
      <w:r>
        <w:rPr>
          <w:spacing w:val="-4"/>
        </w:rPr>
        <w:t> </w:t>
      </w:r>
      <w:r>
        <w:rPr/>
        <w:t>and</w:t>
      </w:r>
      <w:r>
        <w:rPr>
          <w:spacing w:val="-5"/>
        </w:rPr>
        <w:t> </w:t>
      </w:r>
      <w:r>
        <w:rPr/>
        <w:t>its</w:t>
      </w:r>
      <w:r>
        <w:rPr>
          <w:spacing w:val="-6"/>
        </w:rPr>
        <w:t> </w:t>
      </w:r>
      <w:r>
        <w:rPr/>
        <w:t>impact</w:t>
      </w:r>
      <w:r>
        <w:rPr>
          <w:spacing w:val="-4"/>
        </w:rPr>
        <w:t> </w:t>
      </w:r>
      <w:r>
        <w:rPr/>
        <w:t>on</w:t>
      </w:r>
      <w:r>
        <w:rPr>
          <w:spacing w:val="-5"/>
        </w:rPr>
        <w:t> </w:t>
      </w:r>
      <w:r>
        <w:rPr/>
        <w:t>revenue</w:t>
      </w:r>
      <w:r>
        <w:rPr>
          <w:spacing w:val="-4"/>
        </w:rPr>
        <w:t> </w:t>
      </w:r>
      <w:r>
        <w:rPr/>
        <w:t>performance,</w:t>
      </w:r>
      <w:r>
        <w:rPr>
          <w:spacing w:val="-2"/>
        </w:rPr>
        <w:t> </w:t>
      </w:r>
      <w:r>
        <w:rPr/>
        <w:t>Council</w:t>
      </w:r>
      <w:r>
        <w:rPr>
          <w:spacing w:val="-6"/>
        </w:rPr>
        <w:t> </w:t>
      </w:r>
      <w:r>
        <w:rPr/>
        <w:t>utilises key performance indicators.</w:t>
      </w:r>
    </w:p>
    <w:p>
      <w:pPr>
        <w:pStyle w:val="BodyText"/>
      </w:pPr>
    </w:p>
    <w:p>
      <w:pPr>
        <w:pStyle w:val="BodyText"/>
        <w:ind w:left="1440" w:right="1439"/>
        <w:jc w:val="both"/>
      </w:pPr>
      <w:r>
        <w:rPr/>
        <w:t>These indicators help assess the plan's contribution to delivering services to the community. Some of the key performance metrics include:</w:t>
      </w:r>
    </w:p>
    <w:p>
      <w:pPr>
        <w:pStyle w:val="BodyText"/>
        <w:rPr>
          <w:sz w:val="24"/>
        </w:rPr>
      </w:pPr>
    </w:p>
    <w:p>
      <w:pPr>
        <w:pStyle w:val="BodyText"/>
        <w:rPr>
          <w:sz w:val="24"/>
        </w:rPr>
      </w:pPr>
    </w:p>
    <w:p>
      <w:pPr>
        <w:pStyle w:val="BodyText"/>
        <w:spacing w:before="8"/>
        <w:rPr>
          <w:sz w:val="27"/>
        </w:rPr>
      </w:pPr>
    </w:p>
    <w:p>
      <w:pPr>
        <w:pStyle w:val="Heading4"/>
        <w:spacing w:line="306" w:lineRule="exact"/>
        <w:ind w:left="0" w:right="8462"/>
        <w:jc w:val="right"/>
      </w:pPr>
      <w:r>
        <w:rPr/>
        <w:drawing>
          <wp:anchor distT="0" distB="0" distL="0" distR="0" allowOverlap="1" layoutInCell="1" locked="0" behindDoc="0" simplePos="0" relativeHeight="15750656">
            <wp:simplePos x="0" y="0"/>
            <wp:positionH relativeFrom="page">
              <wp:posOffset>2267711</wp:posOffset>
            </wp:positionH>
            <wp:positionV relativeFrom="paragraph">
              <wp:posOffset>-182230</wp:posOffset>
            </wp:positionV>
            <wp:extent cx="295655" cy="771143"/>
            <wp:effectExtent l="0" t="0" r="0" b="0"/>
            <wp:wrapNone/>
            <wp:docPr id="85" name="image7.jpeg"/>
            <wp:cNvGraphicFramePr>
              <a:graphicFrameLocks noChangeAspect="1"/>
            </wp:cNvGraphicFramePr>
            <a:graphic>
              <a:graphicData uri="http://schemas.openxmlformats.org/drawingml/2006/picture">
                <pic:pic>
                  <pic:nvPicPr>
                    <pic:cNvPr id="86" name="image7.jpeg"/>
                    <pic:cNvPicPr/>
                  </pic:nvPicPr>
                  <pic:blipFill>
                    <a:blip r:embed="rId20" cstate="print"/>
                    <a:stretch>
                      <a:fillRect/>
                    </a:stretch>
                  </pic:blipFill>
                  <pic:spPr>
                    <a:xfrm>
                      <a:off x="0" y="0"/>
                      <a:ext cx="295655" cy="771143"/>
                    </a:xfrm>
                    <a:prstGeom prst="rect">
                      <a:avLst/>
                    </a:prstGeom>
                  </pic:spPr>
                </pic:pic>
              </a:graphicData>
            </a:graphic>
          </wp:anchor>
        </w:drawing>
      </w:r>
      <w:r>
        <w:rPr/>
        <w:pict>
          <v:group style="position:absolute;margin-left:206.880005pt;margin-top:-14.588898pt;width:300pt;height:63.4pt;mso-position-horizontal-relative:page;mso-position-vertical-relative:paragraph;z-index:15751168" id="docshapegroup22" coordorigin="4138,-292" coordsize="6000,1268">
            <v:shape style="position:absolute;left:4137;top:-292;width:6000;height:1268" type="#_x0000_t75" id="docshape23" stroked="false">
              <v:imagedata r:id="rId21" o:title=""/>
            </v:shape>
            <v:shape style="position:absolute;left:4137;top:-292;width:6000;height:1268" type="#_x0000_t202" id="docshape24" filled="false" stroked="false">
              <v:textbox inset="0,0,0,0">
                <w:txbxContent>
                  <w:p>
                    <w:pPr>
                      <w:spacing w:line="240" w:lineRule="auto" w:before="4"/>
                      <w:rPr>
                        <w:sz w:val="28"/>
                      </w:rPr>
                    </w:pPr>
                  </w:p>
                  <w:p>
                    <w:pPr>
                      <w:numPr>
                        <w:ilvl w:val="0"/>
                        <w:numId w:val="18"/>
                      </w:numPr>
                      <w:tabs>
                        <w:tab w:pos="237" w:val="left" w:leader="none"/>
                      </w:tabs>
                      <w:spacing w:line="268" w:lineRule="exact" w:before="0"/>
                      <w:ind w:left="236" w:right="0" w:hanging="103"/>
                      <w:jc w:val="left"/>
                      <w:rPr>
                        <w:b/>
                        <w:sz w:val="22"/>
                      </w:rPr>
                    </w:pPr>
                    <w:r>
                      <w:rPr>
                        <w:b/>
                        <w:color w:val="FFFFFF"/>
                        <w:sz w:val="22"/>
                      </w:rPr>
                      <w:t>Percentage</w:t>
                    </w:r>
                    <w:r>
                      <w:rPr>
                        <w:b/>
                        <w:color w:val="FFFFFF"/>
                        <w:spacing w:val="-8"/>
                        <w:sz w:val="22"/>
                      </w:rPr>
                      <w:t> </w:t>
                    </w:r>
                    <w:r>
                      <w:rPr>
                        <w:b/>
                        <w:color w:val="FFFFFF"/>
                        <w:sz w:val="22"/>
                      </w:rPr>
                      <w:t>of</w:t>
                    </w:r>
                    <w:r>
                      <w:rPr>
                        <w:b/>
                        <w:color w:val="FFFFFF"/>
                        <w:spacing w:val="-4"/>
                        <w:sz w:val="22"/>
                      </w:rPr>
                      <w:t> </w:t>
                    </w:r>
                    <w:r>
                      <w:rPr>
                        <w:b/>
                        <w:color w:val="FFFFFF"/>
                        <w:sz w:val="22"/>
                      </w:rPr>
                      <w:t>own-source</w:t>
                    </w:r>
                    <w:r>
                      <w:rPr>
                        <w:b/>
                        <w:color w:val="FFFFFF"/>
                        <w:spacing w:val="-11"/>
                        <w:sz w:val="22"/>
                      </w:rPr>
                      <w:t> </w:t>
                    </w:r>
                    <w:r>
                      <w:rPr>
                        <w:b/>
                        <w:color w:val="FFFFFF"/>
                        <w:spacing w:val="-2"/>
                        <w:sz w:val="22"/>
                      </w:rPr>
                      <w:t>revenue</w:t>
                    </w:r>
                  </w:p>
                  <w:p>
                    <w:pPr>
                      <w:numPr>
                        <w:ilvl w:val="0"/>
                        <w:numId w:val="18"/>
                      </w:numPr>
                      <w:tabs>
                        <w:tab w:pos="237" w:val="left" w:leader="none"/>
                      </w:tabs>
                      <w:spacing w:line="268" w:lineRule="exact" w:before="0"/>
                      <w:ind w:left="236" w:right="0" w:hanging="103"/>
                      <w:jc w:val="left"/>
                      <w:rPr>
                        <w:b/>
                        <w:sz w:val="22"/>
                      </w:rPr>
                    </w:pPr>
                    <w:r>
                      <w:rPr>
                        <w:b/>
                        <w:color w:val="FFFFFF"/>
                        <w:sz w:val="22"/>
                      </w:rPr>
                      <w:t>Growth</w:t>
                    </w:r>
                    <w:r>
                      <w:rPr>
                        <w:b/>
                        <w:color w:val="FFFFFF"/>
                        <w:spacing w:val="-13"/>
                        <w:sz w:val="22"/>
                      </w:rPr>
                      <w:t> </w:t>
                    </w:r>
                    <w:r>
                      <w:rPr>
                        <w:b/>
                        <w:color w:val="FFFFFF"/>
                        <w:sz w:val="22"/>
                      </w:rPr>
                      <w:t>in</w:t>
                    </w:r>
                    <w:r>
                      <w:rPr>
                        <w:b/>
                        <w:color w:val="FFFFFF"/>
                        <w:spacing w:val="-5"/>
                        <w:sz w:val="22"/>
                      </w:rPr>
                      <w:t> </w:t>
                    </w:r>
                    <w:r>
                      <w:rPr>
                        <w:b/>
                        <w:color w:val="FFFFFF"/>
                        <w:sz w:val="22"/>
                      </w:rPr>
                      <w:t>non-rate</w:t>
                    </w:r>
                    <w:r>
                      <w:rPr>
                        <w:b/>
                        <w:color w:val="FFFFFF"/>
                        <w:spacing w:val="-7"/>
                        <w:sz w:val="22"/>
                      </w:rPr>
                      <w:t> </w:t>
                    </w:r>
                    <w:r>
                      <w:rPr>
                        <w:b/>
                        <w:color w:val="FFFFFF"/>
                        <w:sz w:val="22"/>
                      </w:rPr>
                      <w:t>revenue</w:t>
                    </w:r>
                    <w:r>
                      <w:rPr>
                        <w:b/>
                        <w:color w:val="FFFFFF"/>
                        <w:spacing w:val="-3"/>
                        <w:sz w:val="22"/>
                      </w:rPr>
                      <w:t> </w:t>
                    </w:r>
                    <w:r>
                      <w:rPr>
                        <w:b/>
                        <w:color w:val="FFFFFF"/>
                        <w:sz w:val="22"/>
                      </w:rPr>
                      <w:t>streams</w:t>
                    </w:r>
                    <w:r>
                      <w:rPr>
                        <w:b/>
                        <w:color w:val="FFFFFF"/>
                        <w:spacing w:val="-9"/>
                        <w:sz w:val="22"/>
                      </w:rPr>
                      <w:t> </w:t>
                    </w:r>
                    <w:r>
                      <w:rPr>
                        <w:b/>
                        <w:color w:val="FFFFFF"/>
                        <w:sz w:val="22"/>
                      </w:rPr>
                      <w:t>year-on-</w:t>
                    </w:r>
                    <w:r>
                      <w:rPr>
                        <w:b/>
                        <w:color w:val="FFFFFF"/>
                        <w:spacing w:val="-4"/>
                        <w:sz w:val="22"/>
                      </w:rPr>
                      <w:t>year</w:t>
                    </w:r>
                  </w:p>
                </w:txbxContent>
              </v:textbox>
              <w10:wrap type="none"/>
            </v:shape>
            <w10:wrap type="none"/>
          </v:group>
        </w:pict>
      </w:r>
      <w:r>
        <w:rPr>
          <w:spacing w:val="-2"/>
        </w:rPr>
        <w:t>Own-source</w:t>
      </w:r>
    </w:p>
    <w:p>
      <w:pPr>
        <w:pStyle w:val="Heading4"/>
        <w:spacing w:line="306" w:lineRule="exact"/>
        <w:ind w:left="0" w:right="8463"/>
        <w:jc w:val="right"/>
      </w:pPr>
      <w:r>
        <w:rPr>
          <w:spacing w:val="-2"/>
        </w:rPr>
        <w:t>revenue</w:t>
      </w:r>
    </w:p>
    <w:p>
      <w:pPr>
        <w:pStyle w:val="BodyText"/>
        <w:rPr>
          <w:sz w:val="30"/>
        </w:rPr>
      </w:pPr>
    </w:p>
    <w:p>
      <w:pPr>
        <w:pStyle w:val="BodyText"/>
        <w:spacing w:before="6"/>
        <w:rPr>
          <w:sz w:val="42"/>
        </w:rPr>
      </w:pPr>
    </w:p>
    <w:p>
      <w:pPr>
        <w:pStyle w:val="Heading4"/>
        <w:spacing w:line="216" w:lineRule="auto" w:before="1"/>
        <w:ind w:left="1876" w:right="8419" w:firstLine="484"/>
        <w:jc w:val="right"/>
      </w:pPr>
      <w:r>
        <w:rPr/>
        <w:drawing>
          <wp:anchor distT="0" distB="0" distL="0" distR="0" allowOverlap="1" layoutInCell="1" locked="0" behindDoc="0" simplePos="0" relativeHeight="15751680">
            <wp:simplePos x="0" y="0"/>
            <wp:positionH relativeFrom="page">
              <wp:posOffset>2264663</wp:posOffset>
            </wp:positionH>
            <wp:positionV relativeFrom="paragraph">
              <wp:posOffset>-253136</wp:posOffset>
            </wp:positionV>
            <wp:extent cx="280415" cy="771143"/>
            <wp:effectExtent l="0" t="0" r="0" b="0"/>
            <wp:wrapNone/>
            <wp:docPr id="87" name="image9.jpeg"/>
            <wp:cNvGraphicFramePr>
              <a:graphicFrameLocks noChangeAspect="1"/>
            </wp:cNvGraphicFramePr>
            <a:graphic>
              <a:graphicData uri="http://schemas.openxmlformats.org/drawingml/2006/picture">
                <pic:pic>
                  <pic:nvPicPr>
                    <pic:cNvPr id="88" name="image9.jpeg"/>
                    <pic:cNvPicPr/>
                  </pic:nvPicPr>
                  <pic:blipFill>
                    <a:blip r:embed="rId22" cstate="print"/>
                    <a:stretch>
                      <a:fillRect/>
                    </a:stretch>
                  </pic:blipFill>
                  <pic:spPr>
                    <a:xfrm>
                      <a:off x="0" y="0"/>
                      <a:ext cx="280415" cy="771143"/>
                    </a:xfrm>
                    <a:prstGeom prst="rect">
                      <a:avLst/>
                    </a:prstGeom>
                  </pic:spPr>
                </pic:pic>
              </a:graphicData>
            </a:graphic>
          </wp:anchor>
        </w:drawing>
      </w:r>
      <w:r>
        <w:rPr/>
        <w:pict>
          <v:group style="position:absolute;margin-left:207.600006pt;margin-top:-18.731964pt;width:300pt;height:63.4pt;mso-position-horizontal-relative:page;mso-position-vertical-relative:paragraph;z-index:15752192" id="docshapegroup25" coordorigin="4152,-375" coordsize="6000,1268">
            <v:shape style="position:absolute;left:4152;top:-375;width:6000;height:1268" type="#_x0000_t75" id="docshape26" stroked="false">
              <v:imagedata r:id="rId23" o:title=""/>
            </v:shape>
            <v:shape style="position:absolute;left:4152;top:-375;width:6000;height:1268" type="#_x0000_t202" id="docshape27" filled="false" stroked="false">
              <v:textbox inset="0,0,0,0">
                <w:txbxContent>
                  <w:p>
                    <w:pPr>
                      <w:numPr>
                        <w:ilvl w:val="0"/>
                        <w:numId w:val="19"/>
                      </w:numPr>
                      <w:tabs>
                        <w:tab w:pos="217" w:val="left" w:leader="none"/>
                      </w:tabs>
                      <w:spacing w:before="209"/>
                      <w:ind w:left="216" w:right="0" w:hanging="93"/>
                      <w:jc w:val="left"/>
                      <w:rPr>
                        <w:b/>
                        <w:sz w:val="22"/>
                      </w:rPr>
                    </w:pPr>
                    <w:r>
                      <w:rPr>
                        <w:b/>
                        <w:color w:val="FFFFFF"/>
                        <w:sz w:val="22"/>
                      </w:rPr>
                      <w:t>Target</w:t>
                    </w:r>
                    <w:r>
                      <w:rPr>
                        <w:b/>
                        <w:color w:val="FFFFFF"/>
                        <w:spacing w:val="-4"/>
                        <w:sz w:val="22"/>
                      </w:rPr>
                      <w:t> </w:t>
                    </w:r>
                    <w:r>
                      <w:rPr>
                        <w:b/>
                        <w:color w:val="FFFFFF"/>
                        <w:spacing w:val="-2"/>
                        <w:sz w:val="22"/>
                      </w:rPr>
                      <w:t>surplus</w:t>
                    </w:r>
                  </w:p>
                  <w:p>
                    <w:pPr>
                      <w:numPr>
                        <w:ilvl w:val="0"/>
                        <w:numId w:val="19"/>
                      </w:numPr>
                      <w:tabs>
                        <w:tab w:pos="217" w:val="left" w:leader="none"/>
                      </w:tabs>
                      <w:spacing w:before="13"/>
                      <w:ind w:left="216" w:right="0" w:hanging="93"/>
                      <w:jc w:val="left"/>
                      <w:rPr>
                        <w:b/>
                        <w:sz w:val="22"/>
                      </w:rPr>
                    </w:pPr>
                    <w:r>
                      <w:rPr>
                        <w:b/>
                        <w:color w:val="FFFFFF"/>
                        <w:sz w:val="22"/>
                      </w:rPr>
                      <w:t>Asset</w:t>
                    </w:r>
                    <w:r>
                      <w:rPr>
                        <w:b/>
                        <w:color w:val="FFFFFF"/>
                        <w:spacing w:val="-6"/>
                        <w:sz w:val="22"/>
                      </w:rPr>
                      <w:t> </w:t>
                    </w:r>
                    <w:r>
                      <w:rPr>
                        <w:b/>
                        <w:color w:val="FFFFFF"/>
                        <w:spacing w:val="-2"/>
                        <w:sz w:val="22"/>
                      </w:rPr>
                      <w:t>optimisation</w:t>
                    </w:r>
                  </w:p>
                </w:txbxContent>
              </v:textbox>
              <w10:wrap type="none"/>
            </v:shape>
            <w10:wrap type="none"/>
          </v:group>
        </w:pict>
      </w:r>
      <w:r>
        <w:rPr>
          <w:spacing w:val="-2"/>
        </w:rPr>
        <w:t>Financial Performance</w:t>
      </w:r>
    </w:p>
    <w:p>
      <w:pPr>
        <w:pStyle w:val="BodyText"/>
        <w:rPr>
          <w:sz w:val="30"/>
        </w:rPr>
      </w:pPr>
    </w:p>
    <w:p>
      <w:pPr>
        <w:pStyle w:val="BodyText"/>
        <w:spacing w:before="1"/>
        <w:rPr>
          <w:sz w:val="33"/>
        </w:rPr>
      </w:pPr>
    </w:p>
    <w:p>
      <w:pPr>
        <w:pStyle w:val="Heading4"/>
        <w:spacing w:line="216" w:lineRule="auto"/>
        <w:ind w:left="2097" w:right="8463" w:firstLine="751"/>
        <w:jc w:val="right"/>
      </w:pPr>
      <w:r>
        <w:rPr/>
        <w:drawing>
          <wp:anchor distT="0" distB="0" distL="0" distR="0" allowOverlap="1" layoutInCell="1" locked="0" behindDoc="0" simplePos="0" relativeHeight="15752704">
            <wp:simplePos x="0" y="0"/>
            <wp:positionH relativeFrom="page">
              <wp:posOffset>2267711</wp:posOffset>
            </wp:positionH>
            <wp:positionV relativeFrom="paragraph">
              <wp:posOffset>-195875</wp:posOffset>
            </wp:positionV>
            <wp:extent cx="295655" cy="768095"/>
            <wp:effectExtent l="0" t="0" r="0" b="0"/>
            <wp:wrapNone/>
            <wp:docPr id="89" name="image11.jpeg"/>
            <wp:cNvGraphicFramePr>
              <a:graphicFrameLocks noChangeAspect="1"/>
            </wp:cNvGraphicFramePr>
            <a:graphic>
              <a:graphicData uri="http://schemas.openxmlformats.org/drawingml/2006/picture">
                <pic:pic>
                  <pic:nvPicPr>
                    <pic:cNvPr id="90" name="image11.jpeg"/>
                    <pic:cNvPicPr/>
                  </pic:nvPicPr>
                  <pic:blipFill>
                    <a:blip r:embed="rId24" cstate="print"/>
                    <a:stretch>
                      <a:fillRect/>
                    </a:stretch>
                  </pic:blipFill>
                  <pic:spPr>
                    <a:xfrm>
                      <a:off x="0" y="0"/>
                      <a:ext cx="295655" cy="768095"/>
                    </a:xfrm>
                    <a:prstGeom prst="rect">
                      <a:avLst/>
                    </a:prstGeom>
                  </pic:spPr>
                </pic:pic>
              </a:graphicData>
            </a:graphic>
          </wp:anchor>
        </w:drawing>
      </w:r>
      <w:r>
        <w:rPr/>
        <w:pict>
          <v:group style="position:absolute;margin-left:207.12001pt;margin-top:-15.903256pt;width:299.8pt;height:63.4pt;mso-position-horizontal-relative:page;mso-position-vertical-relative:paragraph;z-index:15753216" id="docshapegroup28" coordorigin="4142,-318" coordsize="5996,1268">
            <v:shape style="position:absolute;left:4142;top:-319;width:5996;height:1268" type="#_x0000_t75" id="docshape29" stroked="false">
              <v:imagedata r:id="rId25" o:title=""/>
            </v:shape>
            <v:shape style="position:absolute;left:4142;top:-319;width:5996;height:1268" type="#_x0000_t202" id="docshape30" filled="false" stroked="false">
              <v:textbox inset="0,0,0,0">
                <w:txbxContent>
                  <w:p>
                    <w:pPr>
                      <w:spacing w:line="240" w:lineRule="auto" w:before="7"/>
                      <w:rPr>
                        <w:sz w:val="29"/>
                      </w:rPr>
                    </w:pPr>
                  </w:p>
                  <w:p>
                    <w:pPr>
                      <w:numPr>
                        <w:ilvl w:val="0"/>
                        <w:numId w:val="20"/>
                      </w:numPr>
                      <w:tabs>
                        <w:tab w:pos="221" w:val="left" w:leader="none"/>
                      </w:tabs>
                      <w:spacing w:line="252" w:lineRule="exact" w:before="0"/>
                      <w:ind w:left="220" w:right="0" w:hanging="92"/>
                      <w:jc w:val="left"/>
                      <w:rPr>
                        <w:b/>
                        <w:sz w:val="22"/>
                      </w:rPr>
                    </w:pPr>
                    <w:r>
                      <w:rPr>
                        <w:b/>
                        <w:color w:val="FFFFFF"/>
                        <w:sz w:val="22"/>
                      </w:rPr>
                      <w:t>Debt</w:t>
                    </w:r>
                    <w:r>
                      <w:rPr>
                        <w:b/>
                        <w:color w:val="FFFFFF"/>
                        <w:spacing w:val="-8"/>
                        <w:sz w:val="22"/>
                      </w:rPr>
                      <w:t> </w:t>
                    </w:r>
                    <w:r>
                      <w:rPr>
                        <w:b/>
                        <w:color w:val="FFFFFF"/>
                        <w:sz w:val="22"/>
                      </w:rPr>
                      <w:t>servicing</w:t>
                    </w:r>
                    <w:r>
                      <w:rPr>
                        <w:b/>
                        <w:color w:val="FFFFFF"/>
                        <w:spacing w:val="-7"/>
                        <w:sz w:val="22"/>
                      </w:rPr>
                      <w:t> </w:t>
                    </w:r>
                    <w:r>
                      <w:rPr>
                        <w:b/>
                        <w:color w:val="FFFFFF"/>
                        <w:spacing w:val="-4"/>
                        <w:sz w:val="22"/>
                      </w:rPr>
                      <w:t>ratio</w:t>
                    </w:r>
                  </w:p>
                  <w:p>
                    <w:pPr>
                      <w:numPr>
                        <w:ilvl w:val="0"/>
                        <w:numId w:val="21"/>
                      </w:numPr>
                      <w:tabs>
                        <w:tab w:pos="233" w:val="left" w:leader="none"/>
                      </w:tabs>
                      <w:spacing w:line="269" w:lineRule="exact" w:before="0"/>
                      <w:ind w:left="232" w:right="0" w:hanging="104"/>
                      <w:jc w:val="left"/>
                      <w:rPr>
                        <w:b/>
                        <w:sz w:val="22"/>
                      </w:rPr>
                    </w:pPr>
                    <w:r>
                      <w:rPr>
                        <w:b/>
                        <w:color w:val="FFFFFF"/>
                        <w:sz w:val="22"/>
                      </w:rPr>
                      <w:t>Debt</w:t>
                    </w:r>
                    <w:r>
                      <w:rPr>
                        <w:b/>
                        <w:color w:val="FFFFFF"/>
                        <w:spacing w:val="-4"/>
                        <w:sz w:val="22"/>
                      </w:rPr>
                      <w:t> </w:t>
                    </w:r>
                    <w:r>
                      <w:rPr>
                        <w:b/>
                        <w:color w:val="FFFFFF"/>
                        <w:sz w:val="22"/>
                      </w:rPr>
                      <w:t>per</w:t>
                    </w:r>
                    <w:r>
                      <w:rPr>
                        <w:b/>
                        <w:color w:val="FFFFFF"/>
                        <w:spacing w:val="-3"/>
                        <w:sz w:val="22"/>
                      </w:rPr>
                      <w:t> </w:t>
                    </w:r>
                    <w:r>
                      <w:rPr>
                        <w:b/>
                        <w:color w:val="FFFFFF"/>
                        <w:spacing w:val="-2"/>
                        <w:sz w:val="22"/>
                      </w:rPr>
                      <w:t>capita</w:t>
                    </w:r>
                  </w:p>
                </w:txbxContent>
              </v:textbox>
              <w10:wrap type="none"/>
            </v:shape>
            <w10:wrap type="none"/>
          </v:group>
        </w:pict>
      </w:r>
      <w:r>
        <w:rPr>
          <w:spacing w:val="-4"/>
        </w:rPr>
        <w:t>Debt </w:t>
      </w:r>
      <w:r>
        <w:rPr>
          <w:spacing w:val="-2"/>
        </w:rPr>
        <w:t>obligations</w:t>
      </w:r>
    </w:p>
    <w:p>
      <w:pPr>
        <w:pStyle w:val="BodyText"/>
        <w:rPr>
          <w:sz w:val="30"/>
        </w:rPr>
      </w:pPr>
    </w:p>
    <w:p>
      <w:pPr>
        <w:pStyle w:val="BodyText"/>
        <w:rPr>
          <w:sz w:val="30"/>
        </w:rPr>
      </w:pPr>
    </w:p>
    <w:p>
      <w:pPr>
        <w:pStyle w:val="Heading4"/>
        <w:spacing w:before="214"/>
        <w:ind w:left="2066"/>
      </w:pPr>
      <w:r>
        <w:rPr/>
        <w:drawing>
          <wp:anchor distT="0" distB="0" distL="0" distR="0" allowOverlap="1" layoutInCell="1" locked="0" behindDoc="0" simplePos="0" relativeHeight="15753728">
            <wp:simplePos x="0" y="0"/>
            <wp:positionH relativeFrom="page">
              <wp:posOffset>2267711</wp:posOffset>
            </wp:positionH>
            <wp:positionV relativeFrom="paragraph">
              <wp:posOffset>-136257</wp:posOffset>
            </wp:positionV>
            <wp:extent cx="295655" cy="768095"/>
            <wp:effectExtent l="0" t="0" r="0" b="0"/>
            <wp:wrapNone/>
            <wp:docPr id="91" name="image13.jpeg"/>
            <wp:cNvGraphicFramePr>
              <a:graphicFrameLocks noChangeAspect="1"/>
            </wp:cNvGraphicFramePr>
            <a:graphic>
              <a:graphicData uri="http://schemas.openxmlformats.org/drawingml/2006/picture">
                <pic:pic>
                  <pic:nvPicPr>
                    <pic:cNvPr id="92" name="image13.jpeg"/>
                    <pic:cNvPicPr/>
                  </pic:nvPicPr>
                  <pic:blipFill>
                    <a:blip r:embed="rId26" cstate="print"/>
                    <a:stretch>
                      <a:fillRect/>
                    </a:stretch>
                  </pic:blipFill>
                  <pic:spPr>
                    <a:xfrm>
                      <a:off x="0" y="0"/>
                      <a:ext cx="295655" cy="768095"/>
                    </a:xfrm>
                    <a:prstGeom prst="rect">
                      <a:avLst/>
                    </a:prstGeom>
                  </pic:spPr>
                </pic:pic>
              </a:graphicData>
            </a:graphic>
          </wp:anchor>
        </w:drawing>
      </w:r>
      <w:r>
        <w:rPr/>
        <w:pict>
          <v:group style="position:absolute;margin-left:207.12001pt;margin-top:-11.208959pt;width:299.8pt;height:63.4pt;mso-position-horizontal-relative:page;mso-position-vertical-relative:paragraph;z-index:15754240" id="docshapegroup31" coordorigin="4142,-224" coordsize="5996,1268">
            <v:shape style="position:absolute;left:4142;top:-225;width:5996;height:1268" type="#_x0000_t75" id="docshape32" stroked="false">
              <v:imagedata r:id="rId27" o:title=""/>
            </v:shape>
            <v:shape style="position:absolute;left:4142;top:-225;width:5996;height:1268" type="#_x0000_t202" id="docshape33" filled="false" stroked="false">
              <v:textbox inset="0,0,0,0">
                <w:txbxContent>
                  <w:p>
                    <w:pPr>
                      <w:spacing w:line="240" w:lineRule="auto" w:before="4"/>
                      <w:rPr>
                        <w:sz w:val="28"/>
                      </w:rPr>
                    </w:pPr>
                  </w:p>
                  <w:p>
                    <w:pPr>
                      <w:numPr>
                        <w:ilvl w:val="0"/>
                        <w:numId w:val="22"/>
                      </w:numPr>
                      <w:tabs>
                        <w:tab w:pos="233" w:val="left" w:leader="none"/>
                      </w:tabs>
                      <w:spacing w:line="268" w:lineRule="exact" w:before="0"/>
                      <w:ind w:left="232" w:right="0" w:hanging="104"/>
                      <w:jc w:val="left"/>
                      <w:rPr>
                        <w:b/>
                        <w:sz w:val="22"/>
                      </w:rPr>
                    </w:pPr>
                    <w:r>
                      <w:rPr>
                        <w:b/>
                        <w:color w:val="FFFFFF"/>
                        <w:sz w:val="22"/>
                      </w:rPr>
                      <w:t>Rates</w:t>
                    </w:r>
                    <w:r>
                      <w:rPr>
                        <w:b/>
                        <w:color w:val="FFFFFF"/>
                        <w:spacing w:val="-4"/>
                        <w:sz w:val="22"/>
                      </w:rPr>
                      <w:t> </w:t>
                    </w:r>
                    <w:r>
                      <w:rPr>
                        <w:b/>
                        <w:color w:val="FFFFFF"/>
                        <w:sz w:val="22"/>
                      </w:rPr>
                      <w:t>collected</w:t>
                    </w:r>
                    <w:r>
                      <w:rPr>
                        <w:b/>
                        <w:color w:val="FFFFFF"/>
                        <w:spacing w:val="-7"/>
                        <w:sz w:val="22"/>
                      </w:rPr>
                      <w:t> </w:t>
                    </w:r>
                    <w:r>
                      <w:rPr>
                        <w:b/>
                        <w:color w:val="FFFFFF"/>
                        <w:sz w:val="22"/>
                      </w:rPr>
                      <w:t>by</w:t>
                    </w:r>
                    <w:r>
                      <w:rPr>
                        <w:b/>
                        <w:color w:val="FFFFFF"/>
                        <w:spacing w:val="-4"/>
                        <w:sz w:val="22"/>
                      </w:rPr>
                      <w:t> </w:t>
                    </w:r>
                    <w:r>
                      <w:rPr>
                        <w:b/>
                        <w:color w:val="FFFFFF"/>
                        <w:sz w:val="22"/>
                      </w:rPr>
                      <w:t>due</w:t>
                    </w:r>
                    <w:r>
                      <w:rPr>
                        <w:b/>
                        <w:color w:val="FFFFFF"/>
                        <w:spacing w:val="-3"/>
                        <w:sz w:val="22"/>
                      </w:rPr>
                      <w:t> </w:t>
                    </w:r>
                    <w:r>
                      <w:rPr>
                        <w:b/>
                        <w:color w:val="FFFFFF"/>
                        <w:spacing w:val="-4"/>
                        <w:sz w:val="22"/>
                      </w:rPr>
                      <w:t>date</w:t>
                    </w:r>
                  </w:p>
                  <w:p>
                    <w:pPr>
                      <w:numPr>
                        <w:ilvl w:val="0"/>
                        <w:numId w:val="22"/>
                      </w:numPr>
                      <w:tabs>
                        <w:tab w:pos="233" w:val="left" w:leader="none"/>
                      </w:tabs>
                      <w:spacing w:line="268" w:lineRule="exact" w:before="0"/>
                      <w:ind w:left="232" w:right="0" w:hanging="104"/>
                      <w:jc w:val="left"/>
                      <w:rPr>
                        <w:b/>
                        <w:sz w:val="22"/>
                      </w:rPr>
                    </w:pPr>
                    <w:r>
                      <w:rPr>
                        <w:b/>
                        <w:color w:val="FFFFFF"/>
                        <w:sz w:val="22"/>
                      </w:rPr>
                      <w:t>Arrears</w:t>
                    </w:r>
                    <w:r>
                      <w:rPr>
                        <w:b/>
                        <w:color w:val="FFFFFF"/>
                        <w:spacing w:val="-7"/>
                        <w:sz w:val="22"/>
                      </w:rPr>
                      <w:t> </w:t>
                    </w:r>
                    <w:r>
                      <w:rPr>
                        <w:b/>
                        <w:color w:val="FFFFFF"/>
                        <w:spacing w:val="-4"/>
                        <w:sz w:val="22"/>
                      </w:rPr>
                      <w:t>rate</w:t>
                    </w:r>
                  </w:p>
                </w:txbxContent>
              </v:textbox>
              <w10:wrap type="none"/>
            </v:shape>
            <w10:wrap type="none"/>
          </v:group>
        </w:pict>
      </w:r>
      <w:r>
        <w:rPr>
          <w:spacing w:val="-2"/>
        </w:rPr>
        <w:t>Collections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drawing>
          <wp:anchor distT="0" distB="0" distL="0" distR="0" allowOverlap="1" layoutInCell="1" locked="0" behindDoc="0" simplePos="0" relativeHeight="42">
            <wp:simplePos x="0" y="0"/>
            <wp:positionH relativeFrom="page">
              <wp:posOffset>27432</wp:posOffset>
            </wp:positionH>
            <wp:positionV relativeFrom="paragraph">
              <wp:posOffset>138438</wp:posOffset>
            </wp:positionV>
            <wp:extent cx="7378567" cy="97440"/>
            <wp:effectExtent l="0" t="0" r="0" b="0"/>
            <wp:wrapTopAndBottom/>
            <wp:docPr id="93" name="image4.png"/>
            <wp:cNvGraphicFramePr>
              <a:graphicFrameLocks noChangeAspect="1"/>
            </wp:cNvGraphicFramePr>
            <a:graphic>
              <a:graphicData uri="http://schemas.openxmlformats.org/drawingml/2006/picture">
                <pic:pic>
                  <pic:nvPicPr>
                    <pic:cNvPr id="94" name="image4.png"/>
                    <pic:cNvPicPr/>
                  </pic:nvPicPr>
                  <pic:blipFill>
                    <a:blip r:embed="rId13" cstate="print"/>
                    <a:stretch>
                      <a:fillRect/>
                    </a:stretch>
                  </pic:blipFill>
                  <pic:spPr>
                    <a:xfrm>
                      <a:off x="0" y="0"/>
                      <a:ext cx="7378567" cy="97440"/>
                    </a:xfrm>
                    <a:prstGeom prst="rect">
                      <a:avLst/>
                    </a:prstGeom>
                  </pic:spPr>
                </pic:pic>
              </a:graphicData>
            </a:graphic>
          </wp:anchor>
        </w:drawing>
      </w:r>
    </w:p>
    <w:p>
      <w:pPr>
        <w:spacing w:after="0"/>
        <w:rPr>
          <w:sz w:val="16"/>
        </w:rPr>
        <w:sectPr>
          <w:footerReference w:type="default" r:id="rId19"/>
          <w:pgSz w:w="11910" w:h="16840"/>
          <w:pgMar w:footer="662" w:header="0" w:top="1360" w:bottom="860" w:left="0" w:right="0"/>
          <w:pgNumType w:start="1"/>
        </w:sectPr>
      </w:pPr>
    </w:p>
    <w:p>
      <w:pPr>
        <w:pStyle w:val="BodyText"/>
        <w:rPr>
          <w:sz w:val="20"/>
        </w:rPr>
      </w:pPr>
      <w:r>
        <w:rPr/>
        <w:drawing>
          <wp:anchor distT="0" distB="0" distL="0" distR="0" allowOverlap="1" layoutInCell="1" locked="0" behindDoc="0" simplePos="0" relativeHeight="15755264">
            <wp:simplePos x="0" y="0"/>
            <wp:positionH relativeFrom="page">
              <wp:posOffset>0</wp:posOffset>
            </wp:positionH>
            <wp:positionV relativeFrom="page">
              <wp:posOffset>9829800</wp:posOffset>
            </wp:positionV>
            <wp:extent cx="7560564" cy="101981"/>
            <wp:effectExtent l="0" t="0" r="0" b="0"/>
            <wp:wrapNone/>
            <wp:docPr id="95" name="image2.png"/>
            <wp:cNvGraphicFramePr>
              <a:graphicFrameLocks noChangeAspect="1"/>
            </wp:cNvGraphicFramePr>
            <a:graphic>
              <a:graphicData uri="http://schemas.openxmlformats.org/drawingml/2006/picture">
                <pic:pic>
                  <pic:nvPicPr>
                    <pic:cNvPr id="96" name="image2.png"/>
                    <pic:cNvPicPr/>
                  </pic:nvPicPr>
                  <pic:blipFill>
                    <a:blip r:embed="rId7" cstate="print"/>
                    <a:stretch>
                      <a:fillRect/>
                    </a:stretch>
                  </pic:blipFill>
                  <pic:spPr>
                    <a:xfrm>
                      <a:off x="0" y="0"/>
                      <a:ext cx="7560564" cy="101981"/>
                    </a:xfrm>
                    <a:prstGeom prst="rect">
                      <a:avLst/>
                    </a:prstGeom>
                  </pic:spPr>
                </pic:pic>
              </a:graphicData>
            </a:graphic>
          </wp:anchor>
        </w:drawing>
      </w:r>
    </w:p>
    <w:p>
      <w:pPr>
        <w:pStyle w:val="BodyText"/>
        <w:rPr>
          <w:sz w:val="20"/>
        </w:rPr>
      </w:pPr>
    </w:p>
    <w:p>
      <w:pPr>
        <w:pStyle w:val="BodyText"/>
        <w:rPr>
          <w:sz w:val="25"/>
        </w:rPr>
      </w:pPr>
    </w:p>
    <w:p>
      <w:pPr>
        <w:spacing w:before="94"/>
        <w:ind w:left="1440" w:right="1436" w:firstLine="0"/>
        <w:jc w:val="both"/>
        <w:rPr>
          <w:sz w:val="22"/>
        </w:rPr>
      </w:pPr>
      <w:r>
        <w:rPr/>
        <w:drawing>
          <wp:anchor distT="0" distB="0" distL="0" distR="0" allowOverlap="1" layoutInCell="1" locked="0" behindDoc="1" simplePos="0" relativeHeight="486874624">
            <wp:simplePos x="0" y="0"/>
            <wp:positionH relativeFrom="page">
              <wp:posOffset>6461760</wp:posOffset>
            </wp:positionH>
            <wp:positionV relativeFrom="paragraph">
              <wp:posOffset>-479833</wp:posOffset>
            </wp:positionV>
            <wp:extent cx="545591" cy="637031"/>
            <wp:effectExtent l="0" t="0" r="0" b="0"/>
            <wp:wrapNone/>
            <wp:docPr id="97" name="image3.png"/>
            <wp:cNvGraphicFramePr>
              <a:graphicFrameLocks noChangeAspect="1"/>
            </wp:cNvGraphicFramePr>
            <a:graphic>
              <a:graphicData uri="http://schemas.openxmlformats.org/drawingml/2006/picture">
                <pic:pic>
                  <pic:nvPicPr>
                    <pic:cNvPr id="98" name="image3.png"/>
                    <pic:cNvPicPr/>
                  </pic:nvPicPr>
                  <pic:blipFill>
                    <a:blip r:embed="rId8" cstate="print"/>
                    <a:stretch>
                      <a:fillRect/>
                    </a:stretch>
                  </pic:blipFill>
                  <pic:spPr>
                    <a:xfrm>
                      <a:off x="0" y="0"/>
                      <a:ext cx="545591" cy="637031"/>
                    </a:xfrm>
                    <a:prstGeom prst="rect">
                      <a:avLst/>
                    </a:prstGeom>
                  </pic:spPr>
                </pic:pic>
              </a:graphicData>
            </a:graphic>
          </wp:anchor>
        </w:drawing>
      </w:r>
      <w:r>
        <w:rPr>
          <w:b/>
          <w:sz w:val="22"/>
        </w:rPr>
        <w:t>Percentage of own-source revenue to total revenue - </w:t>
      </w:r>
      <w:r>
        <w:rPr>
          <w:sz w:val="22"/>
        </w:rPr>
        <w:t>This measure assesses the proportion of revenue generated internally by Council compared to total revenue from all sources, indicating its self-sufficiency.</w:t>
      </w:r>
    </w:p>
    <w:p>
      <w:pPr>
        <w:pStyle w:val="BodyText"/>
        <w:spacing w:before="1"/>
      </w:pPr>
    </w:p>
    <w:p>
      <w:pPr>
        <w:spacing w:before="0"/>
        <w:ind w:left="1440" w:right="1435" w:firstLine="0"/>
        <w:jc w:val="both"/>
        <w:rPr>
          <w:sz w:val="22"/>
        </w:rPr>
      </w:pPr>
      <w:r>
        <w:rPr>
          <w:b/>
          <w:sz w:val="22"/>
        </w:rPr>
        <w:t>Growth in non-rate revenue streams year-on-year (e.g. parking, grants, rent) - </w:t>
      </w:r>
      <w:r>
        <w:rPr>
          <w:sz w:val="22"/>
        </w:rPr>
        <w:t>This measure evaluates Council's ability to diversify its revenue sources and reduce reliance on </w:t>
      </w:r>
      <w:r>
        <w:rPr>
          <w:spacing w:val="-2"/>
          <w:sz w:val="22"/>
        </w:rPr>
        <w:t>rates.</w:t>
      </w:r>
    </w:p>
    <w:p>
      <w:pPr>
        <w:pStyle w:val="BodyText"/>
        <w:spacing w:before="10"/>
        <w:rPr>
          <w:sz w:val="21"/>
        </w:rPr>
      </w:pPr>
    </w:p>
    <w:p>
      <w:pPr>
        <w:spacing w:before="0"/>
        <w:ind w:left="1440" w:right="1435" w:firstLine="0"/>
        <w:jc w:val="both"/>
        <w:rPr>
          <w:sz w:val="22"/>
        </w:rPr>
      </w:pPr>
      <w:r>
        <w:rPr>
          <w:b/>
          <w:sz w:val="22"/>
        </w:rPr>
        <w:t>Target surplus levels</w:t>
      </w:r>
      <w:r>
        <w:rPr>
          <w:b/>
          <w:spacing w:val="-1"/>
          <w:sz w:val="22"/>
        </w:rPr>
        <w:t> </w:t>
      </w:r>
      <w:r>
        <w:rPr>
          <w:b/>
          <w:sz w:val="22"/>
        </w:rPr>
        <w:t>as a percentage of total revenue -</w:t>
      </w:r>
      <w:r>
        <w:rPr>
          <w:sz w:val="22"/>
        </w:rPr>
        <w:t>This financial performance target sets</w:t>
      </w:r>
      <w:r>
        <w:rPr>
          <w:spacing w:val="-11"/>
          <w:sz w:val="22"/>
        </w:rPr>
        <w:t> </w:t>
      </w:r>
      <w:r>
        <w:rPr>
          <w:sz w:val="22"/>
        </w:rPr>
        <w:t>a</w:t>
      </w:r>
      <w:r>
        <w:rPr>
          <w:spacing w:val="-13"/>
          <w:sz w:val="22"/>
        </w:rPr>
        <w:t> </w:t>
      </w:r>
      <w:r>
        <w:rPr>
          <w:sz w:val="22"/>
        </w:rPr>
        <w:t>benchmark</w:t>
      </w:r>
      <w:r>
        <w:rPr>
          <w:spacing w:val="-12"/>
          <w:sz w:val="22"/>
        </w:rPr>
        <w:t> </w:t>
      </w:r>
      <w:r>
        <w:rPr>
          <w:sz w:val="22"/>
        </w:rPr>
        <w:t>for</w:t>
      </w:r>
      <w:r>
        <w:rPr>
          <w:spacing w:val="-9"/>
          <w:sz w:val="22"/>
        </w:rPr>
        <w:t> </w:t>
      </w:r>
      <w:r>
        <w:rPr>
          <w:sz w:val="22"/>
        </w:rPr>
        <w:t>Council's</w:t>
      </w:r>
      <w:r>
        <w:rPr>
          <w:spacing w:val="-9"/>
          <w:sz w:val="22"/>
        </w:rPr>
        <w:t> </w:t>
      </w:r>
      <w:r>
        <w:rPr>
          <w:sz w:val="22"/>
        </w:rPr>
        <w:t>financial</w:t>
      </w:r>
      <w:r>
        <w:rPr>
          <w:spacing w:val="-9"/>
          <w:sz w:val="22"/>
        </w:rPr>
        <w:t> </w:t>
      </w:r>
      <w:r>
        <w:rPr>
          <w:sz w:val="22"/>
        </w:rPr>
        <w:t>result</w:t>
      </w:r>
      <w:r>
        <w:rPr>
          <w:spacing w:val="-11"/>
          <w:sz w:val="22"/>
        </w:rPr>
        <w:t> </w:t>
      </w:r>
      <w:r>
        <w:rPr>
          <w:sz w:val="22"/>
        </w:rPr>
        <w:t>and</w:t>
      </w:r>
      <w:r>
        <w:rPr>
          <w:spacing w:val="-9"/>
          <w:sz w:val="22"/>
        </w:rPr>
        <w:t> </w:t>
      </w:r>
      <w:r>
        <w:rPr>
          <w:sz w:val="22"/>
        </w:rPr>
        <w:t>its</w:t>
      </w:r>
      <w:r>
        <w:rPr>
          <w:spacing w:val="-9"/>
          <w:sz w:val="22"/>
        </w:rPr>
        <w:t> </w:t>
      </w:r>
      <w:r>
        <w:rPr>
          <w:sz w:val="22"/>
        </w:rPr>
        <w:t>ability</w:t>
      </w:r>
      <w:r>
        <w:rPr>
          <w:spacing w:val="-9"/>
          <w:sz w:val="22"/>
        </w:rPr>
        <w:t> </w:t>
      </w:r>
      <w:r>
        <w:rPr>
          <w:sz w:val="22"/>
        </w:rPr>
        <w:t>to</w:t>
      </w:r>
      <w:r>
        <w:rPr>
          <w:spacing w:val="-11"/>
          <w:sz w:val="22"/>
        </w:rPr>
        <w:t> </w:t>
      </w:r>
      <w:r>
        <w:rPr>
          <w:sz w:val="22"/>
        </w:rPr>
        <w:t>allocate</w:t>
      </w:r>
      <w:r>
        <w:rPr>
          <w:spacing w:val="-12"/>
          <w:sz w:val="22"/>
        </w:rPr>
        <w:t> </w:t>
      </w:r>
      <w:r>
        <w:rPr>
          <w:sz w:val="22"/>
        </w:rPr>
        <w:t>funds</w:t>
      </w:r>
      <w:r>
        <w:rPr>
          <w:spacing w:val="-9"/>
          <w:sz w:val="22"/>
        </w:rPr>
        <w:t> </w:t>
      </w:r>
      <w:r>
        <w:rPr>
          <w:sz w:val="22"/>
        </w:rPr>
        <w:t>for</w:t>
      </w:r>
      <w:r>
        <w:rPr>
          <w:spacing w:val="-8"/>
          <w:sz w:val="22"/>
        </w:rPr>
        <w:t> </w:t>
      </w:r>
      <w:r>
        <w:rPr>
          <w:sz w:val="22"/>
        </w:rPr>
        <w:t>future</w:t>
      </w:r>
      <w:r>
        <w:rPr>
          <w:spacing w:val="-12"/>
          <w:sz w:val="22"/>
        </w:rPr>
        <w:t> </w:t>
      </w:r>
      <w:r>
        <w:rPr>
          <w:spacing w:val="-2"/>
          <w:sz w:val="22"/>
        </w:rPr>
        <w:t>needs.</w:t>
      </w:r>
    </w:p>
    <w:p>
      <w:pPr>
        <w:pStyle w:val="BodyText"/>
        <w:spacing w:before="11"/>
        <w:rPr>
          <w:sz w:val="21"/>
        </w:rPr>
      </w:pPr>
    </w:p>
    <w:p>
      <w:pPr>
        <w:pStyle w:val="BodyText"/>
        <w:ind w:left="1440" w:right="1435"/>
        <w:jc w:val="both"/>
      </w:pPr>
      <w:r>
        <w:rPr>
          <w:b/>
        </w:rPr>
        <w:t>Asset optimisation - </w:t>
      </w:r>
      <w:r>
        <w:rPr/>
        <w:t>This measure assesses the income generated from Council-owned assets, such as rental properties and partnerships.</w:t>
      </w:r>
    </w:p>
    <w:p>
      <w:pPr>
        <w:pStyle w:val="BodyText"/>
        <w:spacing w:before="1"/>
      </w:pPr>
    </w:p>
    <w:p>
      <w:pPr>
        <w:spacing w:before="1"/>
        <w:ind w:left="1440" w:right="1435" w:firstLine="0"/>
        <w:jc w:val="both"/>
        <w:rPr>
          <w:sz w:val="22"/>
        </w:rPr>
      </w:pPr>
      <w:r>
        <w:rPr>
          <w:b/>
          <w:sz w:val="22"/>
        </w:rPr>
        <w:t>Debt</w:t>
      </w:r>
      <w:r>
        <w:rPr>
          <w:b/>
          <w:spacing w:val="-6"/>
          <w:sz w:val="22"/>
        </w:rPr>
        <w:t> </w:t>
      </w:r>
      <w:r>
        <w:rPr>
          <w:b/>
          <w:sz w:val="22"/>
        </w:rPr>
        <w:t>servicing</w:t>
      </w:r>
      <w:r>
        <w:rPr>
          <w:b/>
          <w:spacing w:val="-9"/>
          <w:sz w:val="22"/>
        </w:rPr>
        <w:t> </w:t>
      </w:r>
      <w:r>
        <w:rPr>
          <w:b/>
          <w:sz w:val="22"/>
        </w:rPr>
        <w:t>ratio</w:t>
      </w:r>
      <w:r>
        <w:rPr>
          <w:b/>
          <w:spacing w:val="-8"/>
          <w:sz w:val="22"/>
        </w:rPr>
        <w:t> </w:t>
      </w:r>
      <w:r>
        <w:rPr>
          <w:b/>
          <w:sz w:val="22"/>
        </w:rPr>
        <w:t>-</w:t>
      </w:r>
      <w:r>
        <w:rPr>
          <w:b/>
          <w:spacing w:val="-5"/>
          <w:sz w:val="22"/>
        </w:rPr>
        <w:t> </w:t>
      </w:r>
      <w:r>
        <w:rPr>
          <w:b/>
          <w:sz w:val="22"/>
        </w:rPr>
        <w:t>as</w:t>
      </w:r>
      <w:r>
        <w:rPr>
          <w:b/>
          <w:spacing w:val="-8"/>
          <w:sz w:val="22"/>
        </w:rPr>
        <w:t> </w:t>
      </w:r>
      <w:r>
        <w:rPr>
          <w:b/>
          <w:sz w:val="22"/>
        </w:rPr>
        <w:t>a</w:t>
      </w:r>
      <w:r>
        <w:rPr>
          <w:b/>
          <w:spacing w:val="-6"/>
          <w:sz w:val="22"/>
        </w:rPr>
        <w:t> </w:t>
      </w:r>
      <w:r>
        <w:rPr>
          <w:b/>
          <w:sz w:val="22"/>
        </w:rPr>
        <w:t>percentage</w:t>
      </w:r>
      <w:r>
        <w:rPr>
          <w:b/>
          <w:spacing w:val="-6"/>
          <w:sz w:val="22"/>
        </w:rPr>
        <w:t> </w:t>
      </w:r>
      <w:r>
        <w:rPr>
          <w:b/>
          <w:sz w:val="22"/>
        </w:rPr>
        <w:t>of</w:t>
      </w:r>
      <w:r>
        <w:rPr>
          <w:b/>
          <w:spacing w:val="-7"/>
          <w:sz w:val="22"/>
        </w:rPr>
        <w:t> </w:t>
      </w:r>
      <w:r>
        <w:rPr>
          <w:b/>
          <w:sz w:val="22"/>
        </w:rPr>
        <w:t>total</w:t>
      </w:r>
      <w:r>
        <w:rPr>
          <w:b/>
          <w:spacing w:val="-6"/>
          <w:sz w:val="22"/>
        </w:rPr>
        <w:t> </w:t>
      </w:r>
      <w:r>
        <w:rPr>
          <w:b/>
          <w:sz w:val="22"/>
        </w:rPr>
        <w:t>revenue</w:t>
      </w:r>
      <w:r>
        <w:rPr>
          <w:b/>
          <w:spacing w:val="-8"/>
          <w:sz w:val="22"/>
        </w:rPr>
        <w:t> </w:t>
      </w:r>
      <w:r>
        <w:rPr>
          <w:sz w:val="22"/>
        </w:rPr>
        <w:t>-</w:t>
      </w:r>
      <w:r>
        <w:rPr>
          <w:spacing w:val="-8"/>
          <w:sz w:val="22"/>
        </w:rPr>
        <w:t> </w:t>
      </w:r>
      <w:r>
        <w:rPr>
          <w:sz w:val="22"/>
        </w:rPr>
        <w:t>This</w:t>
      </w:r>
      <w:r>
        <w:rPr>
          <w:spacing w:val="-8"/>
          <w:sz w:val="22"/>
        </w:rPr>
        <w:t> </w:t>
      </w:r>
      <w:r>
        <w:rPr>
          <w:sz w:val="22"/>
        </w:rPr>
        <w:t>measure</w:t>
      </w:r>
      <w:r>
        <w:rPr>
          <w:spacing w:val="-12"/>
          <w:sz w:val="22"/>
        </w:rPr>
        <w:t> </w:t>
      </w:r>
      <w:r>
        <w:rPr>
          <w:sz w:val="22"/>
        </w:rPr>
        <w:t>evaluates</w:t>
      </w:r>
      <w:r>
        <w:rPr>
          <w:spacing w:val="-4"/>
          <w:sz w:val="22"/>
        </w:rPr>
        <w:t> </w:t>
      </w:r>
      <w:r>
        <w:rPr>
          <w:sz w:val="22"/>
        </w:rPr>
        <w:t>Council's ability to manage its debt obligations in relation to its overall revenue.</w:t>
      </w:r>
    </w:p>
    <w:p>
      <w:pPr>
        <w:pStyle w:val="BodyText"/>
        <w:spacing w:before="10"/>
        <w:rPr>
          <w:sz w:val="21"/>
        </w:rPr>
      </w:pPr>
    </w:p>
    <w:p>
      <w:pPr>
        <w:spacing w:before="1"/>
        <w:ind w:left="1440" w:right="1436" w:firstLine="0"/>
        <w:jc w:val="both"/>
        <w:rPr>
          <w:sz w:val="22"/>
        </w:rPr>
      </w:pPr>
      <w:r>
        <w:rPr>
          <w:b/>
          <w:sz w:val="22"/>
        </w:rPr>
        <w:t>Debt per capita relative to similar or benchmark councils - </w:t>
      </w:r>
      <w:r>
        <w:rPr>
          <w:sz w:val="22"/>
        </w:rPr>
        <w:t>This measure compares Council's</w:t>
      </w:r>
      <w:r>
        <w:rPr>
          <w:spacing w:val="-12"/>
          <w:sz w:val="22"/>
        </w:rPr>
        <w:t> </w:t>
      </w:r>
      <w:r>
        <w:rPr>
          <w:sz w:val="22"/>
        </w:rPr>
        <w:t>debt</w:t>
      </w:r>
      <w:r>
        <w:rPr>
          <w:spacing w:val="-12"/>
          <w:sz w:val="22"/>
        </w:rPr>
        <w:t> </w:t>
      </w:r>
      <w:r>
        <w:rPr>
          <w:sz w:val="22"/>
        </w:rPr>
        <w:t>burden</w:t>
      </w:r>
      <w:r>
        <w:rPr>
          <w:spacing w:val="-14"/>
          <w:sz w:val="22"/>
        </w:rPr>
        <w:t> </w:t>
      </w:r>
      <w:r>
        <w:rPr>
          <w:sz w:val="22"/>
        </w:rPr>
        <w:t>per</w:t>
      </w:r>
      <w:r>
        <w:rPr>
          <w:spacing w:val="-12"/>
          <w:sz w:val="22"/>
        </w:rPr>
        <w:t> </w:t>
      </w:r>
      <w:r>
        <w:rPr>
          <w:sz w:val="22"/>
        </w:rPr>
        <w:t>resident</w:t>
      </w:r>
      <w:r>
        <w:rPr>
          <w:spacing w:val="-12"/>
          <w:sz w:val="22"/>
        </w:rPr>
        <w:t> </w:t>
      </w:r>
      <w:r>
        <w:rPr>
          <w:sz w:val="22"/>
        </w:rPr>
        <w:t>with</w:t>
      </w:r>
      <w:r>
        <w:rPr>
          <w:spacing w:val="-15"/>
          <w:sz w:val="22"/>
        </w:rPr>
        <w:t> </w:t>
      </w:r>
      <w:r>
        <w:rPr>
          <w:sz w:val="22"/>
        </w:rPr>
        <w:t>other</w:t>
      </w:r>
      <w:r>
        <w:rPr>
          <w:spacing w:val="-12"/>
          <w:sz w:val="22"/>
        </w:rPr>
        <w:t> </w:t>
      </w:r>
      <w:r>
        <w:rPr>
          <w:sz w:val="22"/>
        </w:rPr>
        <w:t>similar</w:t>
      </w:r>
      <w:r>
        <w:rPr>
          <w:spacing w:val="-10"/>
          <w:sz w:val="22"/>
        </w:rPr>
        <w:t> </w:t>
      </w:r>
      <w:r>
        <w:rPr>
          <w:sz w:val="22"/>
        </w:rPr>
        <w:t>or</w:t>
      </w:r>
      <w:r>
        <w:rPr>
          <w:spacing w:val="-14"/>
          <w:sz w:val="22"/>
        </w:rPr>
        <w:t> </w:t>
      </w:r>
      <w:r>
        <w:rPr>
          <w:sz w:val="22"/>
        </w:rPr>
        <w:t>benchmark</w:t>
      </w:r>
      <w:r>
        <w:rPr>
          <w:spacing w:val="-14"/>
          <w:sz w:val="22"/>
        </w:rPr>
        <w:t> </w:t>
      </w:r>
      <w:r>
        <w:rPr>
          <w:sz w:val="22"/>
        </w:rPr>
        <w:t>councils,</w:t>
      </w:r>
      <w:r>
        <w:rPr>
          <w:spacing w:val="-10"/>
          <w:sz w:val="22"/>
        </w:rPr>
        <w:t> </w:t>
      </w:r>
      <w:r>
        <w:rPr>
          <w:sz w:val="22"/>
        </w:rPr>
        <w:t>providing</w:t>
      </w:r>
      <w:r>
        <w:rPr>
          <w:spacing w:val="-12"/>
          <w:sz w:val="22"/>
        </w:rPr>
        <w:t> </w:t>
      </w:r>
      <w:r>
        <w:rPr>
          <w:sz w:val="22"/>
        </w:rPr>
        <w:t>insights into its financial position.</w:t>
      </w:r>
    </w:p>
    <w:p>
      <w:pPr>
        <w:pStyle w:val="BodyText"/>
      </w:pPr>
    </w:p>
    <w:p>
      <w:pPr>
        <w:spacing w:before="0"/>
        <w:ind w:left="1440" w:right="1435" w:firstLine="0"/>
        <w:jc w:val="both"/>
        <w:rPr>
          <w:sz w:val="22"/>
        </w:rPr>
      </w:pPr>
      <w:r>
        <w:rPr>
          <w:b/>
          <w:sz w:val="22"/>
        </w:rPr>
        <w:t>Percentage of rates collected by the due date - </w:t>
      </w:r>
      <w:r>
        <w:rPr>
          <w:sz w:val="22"/>
        </w:rPr>
        <w:t>This measure measures Council's effectiveness in collecting rates on time, ensuring a steady cash flow.</w:t>
      </w:r>
    </w:p>
    <w:p>
      <w:pPr>
        <w:pStyle w:val="BodyText"/>
      </w:pPr>
    </w:p>
    <w:p>
      <w:pPr>
        <w:pStyle w:val="BodyText"/>
        <w:ind w:left="1440" w:right="1438"/>
        <w:jc w:val="both"/>
      </w:pPr>
      <w:r>
        <w:rPr>
          <w:b/>
        </w:rPr>
        <w:t>Arrears rate - </w:t>
      </w:r>
      <w:r>
        <w:rPr/>
        <w:t>This measure measures the percentage of outstanding rates, indicating Council's ability to manage and reduce arrears.</w:t>
      </w:r>
    </w:p>
    <w:p>
      <w:pPr>
        <w:pStyle w:val="BodyText"/>
        <w:spacing w:before="10"/>
        <w:rPr>
          <w:sz w:val="20"/>
        </w:rPr>
      </w:pPr>
    </w:p>
    <w:p>
      <w:pPr>
        <w:pStyle w:val="BodyText"/>
        <w:ind w:left="1440" w:right="1434"/>
        <w:jc w:val="both"/>
      </w:pPr>
      <w:r>
        <w:rPr/>
        <w:t>By monitoring these performance metrics, Council can assess its financial performance, identify</w:t>
      </w:r>
      <w:r>
        <w:rPr>
          <w:spacing w:val="-13"/>
        </w:rPr>
        <w:t> </w:t>
      </w:r>
      <w:r>
        <w:rPr/>
        <w:t>areas</w:t>
      </w:r>
      <w:r>
        <w:rPr>
          <w:spacing w:val="-15"/>
        </w:rPr>
        <w:t> </w:t>
      </w:r>
      <w:r>
        <w:rPr/>
        <w:t>for</w:t>
      </w:r>
      <w:r>
        <w:rPr>
          <w:spacing w:val="-14"/>
        </w:rPr>
        <w:t> </w:t>
      </w:r>
      <w:r>
        <w:rPr/>
        <w:t>improvement,</w:t>
      </w:r>
      <w:r>
        <w:rPr>
          <w:spacing w:val="-14"/>
        </w:rPr>
        <w:t> </w:t>
      </w:r>
      <w:r>
        <w:rPr/>
        <w:t>and</w:t>
      </w:r>
      <w:r>
        <w:rPr>
          <w:spacing w:val="-12"/>
        </w:rPr>
        <w:t> </w:t>
      </w:r>
      <w:r>
        <w:rPr/>
        <w:t>ensure</w:t>
      </w:r>
      <w:r>
        <w:rPr>
          <w:spacing w:val="-16"/>
        </w:rPr>
        <w:t> </w:t>
      </w:r>
      <w:r>
        <w:rPr/>
        <w:t>the</w:t>
      </w:r>
      <w:r>
        <w:rPr>
          <w:spacing w:val="-13"/>
        </w:rPr>
        <w:t> </w:t>
      </w:r>
      <w:r>
        <w:rPr/>
        <w:t>effective</w:t>
      </w:r>
      <w:r>
        <w:rPr>
          <w:spacing w:val="-13"/>
        </w:rPr>
        <w:t> </w:t>
      </w:r>
      <w:r>
        <w:rPr/>
        <w:t>delivery</w:t>
      </w:r>
      <w:r>
        <w:rPr>
          <w:spacing w:val="-15"/>
        </w:rPr>
        <w:t> </w:t>
      </w:r>
      <w:r>
        <w:rPr/>
        <w:t>of</w:t>
      </w:r>
      <w:r>
        <w:rPr>
          <w:spacing w:val="-13"/>
        </w:rPr>
        <w:t> </w:t>
      </w:r>
      <w:r>
        <w:rPr/>
        <w:t>services</w:t>
      </w:r>
      <w:r>
        <w:rPr>
          <w:spacing w:val="-13"/>
        </w:rPr>
        <w:t> </w:t>
      </w:r>
      <w:r>
        <w:rPr/>
        <w:t>to</w:t>
      </w:r>
      <w:r>
        <w:rPr>
          <w:spacing w:val="-15"/>
        </w:rPr>
        <w:t> </w:t>
      </w:r>
      <w:r>
        <w:rPr/>
        <w:t>the</w:t>
      </w:r>
      <w:r>
        <w:rPr>
          <w:spacing w:val="-15"/>
        </w:rPr>
        <w:t> </w:t>
      </w:r>
      <w:r>
        <w:rPr>
          <w:spacing w:val="-2"/>
        </w:rPr>
        <w:t>community.</w:t>
      </w:r>
    </w:p>
    <w:p>
      <w:pPr>
        <w:spacing w:after="0"/>
        <w:jc w:val="both"/>
        <w:sectPr>
          <w:pgSz w:w="11910" w:h="16840"/>
          <w:pgMar w:header="0" w:footer="662" w:top="580" w:bottom="860" w:left="0" w:right="0"/>
        </w:sectPr>
      </w:pPr>
    </w:p>
    <w:p>
      <w:pPr>
        <w:pStyle w:val="BodyText"/>
        <w:spacing w:before="4"/>
        <w:rPr>
          <w:sz w:val="17"/>
        </w:rPr>
      </w:pPr>
      <w:r>
        <w:rPr/>
        <w:pict>
          <v:group style="position:absolute;margin-left:2.16pt;margin-top:24.000023pt;width:591.85pt;height:757.85pt;mso-position-horizontal-relative:page;mso-position-vertical-relative:page;z-index:15755776" id="docshapegroup34" coordorigin="43,480" coordsize="11837,15157">
            <v:shape style="position:absolute;left:43;top:15480;width:11837;height:157" type="#_x0000_t75" id="docshape35" stroked="false">
              <v:imagedata r:id="rId13" o:title=""/>
            </v:shape>
            <v:shape style="position:absolute;left:931;top:480;width:9989;height:15000" type="#_x0000_t75" id="docshape36" stroked="false">
              <v:imagedata r:id="rId28" o:title=""/>
            </v:shape>
            <w10:wrap type="none"/>
          </v:group>
        </w:pict>
      </w:r>
    </w:p>
    <w:sectPr>
      <w:pgSz w:w="11910" w:h="16840"/>
      <w:pgMar w:header="0" w:footer="662" w:top="1920" w:bottom="8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Tahoma">
    <w:altName w:val="Tahom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31.720001pt;margin-top:797.82312pt;width:395.5pt;height:13.15pt;mso-position-horizontal-relative:page;mso-position-vertical-relative:page;z-index:-16467968" type="#_x0000_t202" id="docshape1"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10"/>
                    <w:sz w:val="20"/>
                  </w:rPr>
                  <w:fldChar w:fldCharType="begin"/>
                </w:r>
                <w:r>
                  <w:rPr>
                    <w:b/>
                    <w:spacing w:val="-10"/>
                    <w:sz w:val="20"/>
                  </w:rPr>
                  <w:instrText> PAGE </w:instrText>
                </w:r>
                <w:r>
                  <w:rPr>
                    <w:b/>
                    <w:spacing w:val="-10"/>
                    <w:sz w:val="20"/>
                  </w:rPr>
                  <w:fldChar w:fldCharType="separate"/>
                </w:r>
                <w:r>
                  <w:rPr>
                    <w:b/>
                    <w:spacing w:val="-10"/>
                    <w:sz w:val="20"/>
                  </w:rPr>
                  <w:t>2</w:t>
                </w:r>
                <w:r>
                  <w:rPr>
                    <w:b/>
                    <w:spacing w:val="-10"/>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49024">
          <wp:simplePos x="0" y="0"/>
          <wp:positionH relativeFrom="page">
            <wp:posOffset>27432</wp:posOffset>
          </wp:positionH>
          <wp:positionV relativeFrom="page">
            <wp:posOffset>9829800</wp:posOffset>
          </wp:positionV>
          <wp:extent cx="7516367" cy="9926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 cstate="print"/>
                  <a:stretch>
                    <a:fillRect/>
                  </a:stretch>
                </pic:blipFill>
                <pic:spPr>
                  <a:xfrm>
                    <a:off x="0" y="0"/>
                    <a:ext cx="7516367" cy="99260"/>
                  </a:xfrm>
                  <a:prstGeom prst="rect">
                    <a:avLst/>
                  </a:prstGeom>
                </pic:spPr>
              </pic:pic>
            </a:graphicData>
          </a:graphic>
        </wp:anchor>
      </w:drawing>
    </w:r>
    <w:r>
      <w:rPr/>
      <w:pict>
        <v:shape style="position:absolute;margin-left:131.720001pt;margin-top:797.82312pt;width:395.5pt;height:13.15pt;mso-position-horizontal-relative:page;mso-position-vertical-relative:page;z-index:-16466944" type="#_x0000_t202" id="docshape2"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10"/>
                    <w:sz w:val="20"/>
                  </w:rPr>
                  <w:fldChar w:fldCharType="begin"/>
                </w:r>
                <w:r>
                  <w:rPr>
                    <w:b/>
                    <w:spacing w:val="-10"/>
                    <w:sz w:val="20"/>
                  </w:rPr>
                  <w:instrText> PAGE </w:instrText>
                </w:r>
                <w:r>
                  <w:rPr>
                    <w:b/>
                    <w:spacing w:val="-10"/>
                    <w:sz w:val="20"/>
                  </w:rPr>
                  <w:fldChar w:fldCharType="separate"/>
                </w:r>
                <w:r>
                  <w:rPr>
                    <w:b/>
                    <w:spacing w:val="-10"/>
                    <w:sz w:val="20"/>
                  </w:rPr>
                  <w:t>3</w:t>
                </w:r>
                <w:r>
                  <w:rPr>
                    <w:b/>
                    <w:spacing w:val="-10"/>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1.720001pt;margin-top:797.82312pt;width:395.5pt;height:13.15pt;mso-position-horizontal-relative:page;mso-position-vertical-relative:page;z-index:-16466432" type="#_x0000_t202" id="docshape15"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10"/>
                    <w:sz w:val="20"/>
                  </w:rPr>
                  <w:fldChar w:fldCharType="begin"/>
                </w:r>
                <w:r>
                  <w:rPr>
                    <w:b/>
                    <w:spacing w:val="-10"/>
                    <w:sz w:val="20"/>
                  </w:rPr>
                  <w:instrText> PAGE </w:instrText>
                </w:r>
                <w:r>
                  <w:rPr>
                    <w:b/>
                    <w:spacing w:val="-10"/>
                    <w:sz w:val="20"/>
                  </w:rPr>
                  <w:fldChar w:fldCharType="separate"/>
                </w:r>
                <w:r>
                  <w:rPr>
                    <w:b/>
                    <w:spacing w:val="-10"/>
                    <w:sz w:val="20"/>
                  </w:rPr>
                  <w:t>6</w:t>
                </w:r>
                <w:r>
                  <w:rPr>
                    <w:b/>
                    <w:spacing w:val="-10"/>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080002pt;margin-top:797.82312pt;width:398.15pt;height:13.15pt;mso-position-horizontal-relative:page;mso-position-vertical-relative:page;z-index:-16465920" type="#_x0000_t202" id="docshape16"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5"/>
                    <w:sz w:val="20"/>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080002pt;margin-top:797.82312pt;width:401.15pt;height:13.15pt;mso-position-horizontal-relative:page;mso-position-vertical-relative:page;z-index:-16465408" type="#_x0000_t202" id="docshape17"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5"/>
                    <w:sz w:val="20"/>
                  </w:rPr>
                  <w:t>1</w:t>
                </w:r>
                <w:r>
                  <w:rPr>
                    <w:b/>
                    <w:spacing w:val="-5"/>
                    <w:sz w:val="20"/>
                  </w:rPr>
                  <w:fldChar w:fldCharType="begin"/>
                </w:r>
                <w:r>
                  <w:rPr>
                    <w:b/>
                    <w:spacing w:val="-5"/>
                    <w:sz w:val="20"/>
                  </w:rPr>
                  <w:instrText> PAGE </w:instrText>
                </w:r>
                <w:r>
                  <w:rPr>
                    <w:b/>
                    <w:spacing w:val="-5"/>
                    <w:sz w:val="20"/>
                  </w:rPr>
                  <w:fldChar w:fldCharType="separate"/>
                </w:r>
                <w:r>
                  <w:rPr>
                    <w:b/>
                    <w:spacing w:val="-5"/>
                    <w:sz w:val="20"/>
                  </w:rPr>
                  <w:t>1</w:t>
                </w:r>
                <w:r>
                  <w:rPr>
                    <w:b/>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080002pt;margin-top:797.82312pt;width:398.15pt;height:13.15pt;mso-position-horizontal-relative:page;mso-position-vertical-relative:page;z-index:-16464896" type="#_x0000_t202" id="docshape18"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5"/>
                    <w:sz w:val="20"/>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080002pt;margin-top:797.82312pt;width:401.15pt;height:13.15pt;mso-position-horizontal-relative:page;mso-position-vertical-relative:page;z-index:-16464384" type="#_x0000_t202" id="docshape19"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5"/>
                    <w:sz w:val="20"/>
                  </w:rPr>
                  <w:t>2</w:t>
                </w:r>
                <w:r>
                  <w:rPr>
                    <w:b/>
                    <w:spacing w:val="-5"/>
                    <w:sz w:val="20"/>
                  </w:rPr>
                  <w:fldChar w:fldCharType="begin"/>
                </w:r>
                <w:r>
                  <w:rPr>
                    <w:b/>
                    <w:spacing w:val="-5"/>
                    <w:sz w:val="20"/>
                  </w:rPr>
                  <w:instrText> PAGE </w:instrText>
                </w:r>
                <w:r>
                  <w:rPr>
                    <w:b/>
                    <w:spacing w:val="-5"/>
                    <w:sz w:val="20"/>
                  </w:rPr>
                  <w:fldChar w:fldCharType="separate"/>
                </w:r>
                <w:r>
                  <w:rPr>
                    <w:b/>
                    <w:spacing w:val="-5"/>
                    <w:sz w:val="20"/>
                  </w:rPr>
                  <w:t>1</w:t>
                </w:r>
                <w:r>
                  <w:rPr>
                    <w:b/>
                    <w:spacing w:val="-5"/>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080002pt;margin-top:797.82312pt;width:398.15pt;height:13.15pt;mso-position-horizontal-relative:page;mso-position-vertical-relative:page;z-index:-16463872" type="#_x0000_t202" id="docshape20"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5"/>
                    <w:sz w:val="20"/>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080002pt;margin-top:797.82312pt;width:401.15pt;height:13.15pt;mso-position-horizontal-relative:page;mso-position-vertical-relative:page;z-index:-16463360" type="#_x0000_t202" id="docshape21" filled="false" stroked="false">
          <v:textbox inset="0,0,0,0">
            <w:txbxContent>
              <w:p>
                <w:pPr>
                  <w:spacing w:before="12"/>
                  <w:ind w:left="20" w:right="0" w:firstLine="0"/>
                  <w:jc w:val="left"/>
                  <w:rPr>
                    <w:b/>
                    <w:sz w:val="20"/>
                  </w:rPr>
                </w:pPr>
                <w:r>
                  <w:rPr>
                    <w:sz w:val="20"/>
                  </w:rPr>
                  <w:t>MAROONDAH</w:t>
                </w:r>
                <w:r>
                  <w:rPr>
                    <w:spacing w:val="-6"/>
                    <w:sz w:val="20"/>
                  </w:rPr>
                  <w:t> </w:t>
                </w:r>
                <w:r>
                  <w:rPr>
                    <w:sz w:val="20"/>
                  </w:rPr>
                  <w:t>CITY</w:t>
                </w:r>
                <w:r>
                  <w:rPr>
                    <w:spacing w:val="-6"/>
                    <w:sz w:val="20"/>
                  </w:rPr>
                  <w:t> </w:t>
                </w:r>
                <w:r>
                  <w:rPr>
                    <w:sz w:val="20"/>
                  </w:rPr>
                  <w:t>COUNCIL</w:t>
                </w:r>
                <w:r>
                  <w:rPr>
                    <w:spacing w:val="-6"/>
                    <w:sz w:val="20"/>
                  </w:rPr>
                  <w:t> </w:t>
                </w:r>
                <w:r>
                  <w:rPr>
                    <w:sz w:val="20"/>
                  </w:rPr>
                  <w:t>-</w:t>
                </w:r>
                <w:r>
                  <w:rPr>
                    <w:spacing w:val="-6"/>
                    <w:sz w:val="20"/>
                  </w:rPr>
                  <w:t> </w:t>
                </w:r>
                <w:r>
                  <w:rPr>
                    <w:sz w:val="20"/>
                  </w:rPr>
                  <w:t>REVENUE</w:t>
                </w:r>
                <w:r>
                  <w:rPr>
                    <w:spacing w:val="-3"/>
                    <w:sz w:val="20"/>
                  </w:rPr>
                  <w:t> </w:t>
                </w:r>
                <w:r>
                  <w:rPr>
                    <w:sz w:val="20"/>
                  </w:rPr>
                  <w:t>AND</w:t>
                </w:r>
                <w:r>
                  <w:rPr>
                    <w:spacing w:val="-6"/>
                    <w:sz w:val="20"/>
                  </w:rPr>
                  <w:t> </w:t>
                </w:r>
                <w:r>
                  <w:rPr>
                    <w:sz w:val="20"/>
                  </w:rPr>
                  <w:t>RATING</w:t>
                </w:r>
                <w:r>
                  <w:rPr>
                    <w:spacing w:val="-6"/>
                    <w:sz w:val="20"/>
                  </w:rPr>
                  <w:t> </w:t>
                </w:r>
                <w:r>
                  <w:rPr>
                    <w:sz w:val="20"/>
                  </w:rPr>
                  <w:t>PLAN</w:t>
                </w:r>
                <w:r>
                  <w:rPr>
                    <w:spacing w:val="-6"/>
                    <w:sz w:val="20"/>
                  </w:rPr>
                  <w:t> </w:t>
                </w:r>
                <w:r>
                  <w:rPr>
                    <w:sz w:val="20"/>
                  </w:rPr>
                  <w:t>2025/26</w:t>
                </w:r>
                <w:r>
                  <w:rPr>
                    <w:spacing w:val="-6"/>
                    <w:sz w:val="20"/>
                  </w:rPr>
                  <w:t> </w:t>
                </w:r>
                <w:r>
                  <w:rPr>
                    <w:sz w:val="20"/>
                  </w:rPr>
                  <w:t>-</w:t>
                </w:r>
                <w:r>
                  <w:rPr>
                    <w:spacing w:val="-2"/>
                    <w:sz w:val="20"/>
                  </w:rPr>
                  <w:t> </w:t>
                </w:r>
                <w:r>
                  <w:rPr>
                    <w:sz w:val="20"/>
                  </w:rPr>
                  <w:t>2028/29</w:t>
                </w:r>
                <w:r>
                  <w:rPr>
                    <w:spacing w:val="-4"/>
                    <w:sz w:val="20"/>
                  </w:rPr>
                  <w:t> </w:t>
                </w:r>
                <w:r>
                  <w:rPr>
                    <w:b/>
                    <w:sz w:val="20"/>
                  </w:rPr>
                  <w:t>|</w:t>
                </w:r>
                <w:r>
                  <w:rPr>
                    <w:b/>
                    <w:spacing w:val="44"/>
                    <w:sz w:val="20"/>
                  </w:rPr>
                  <w:t> </w:t>
                </w:r>
                <w:r>
                  <w:rPr>
                    <w:b/>
                    <w:spacing w:val="-5"/>
                    <w:sz w:val="20"/>
                  </w:rPr>
                  <w:t>3</w:t>
                </w:r>
                <w:r>
                  <w:rPr>
                    <w:b/>
                    <w:spacing w:val="-5"/>
                    <w:sz w:val="20"/>
                  </w:rPr>
                  <w:fldChar w:fldCharType="begin"/>
                </w:r>
                <w:r>
                  <w:rPr>
                    <w:b/>
                    <w:spacing w:val="-5"/>
                    <w:sz w:val="20"/>
                  </w:rPr>
                  <w:instrText> PAGE </w:instrText>
                </w:r>
                <w:r>
                  <w:rPr>
                    <w:b/>
                    <w:spacing w:val="-5"/>
                    <w:sz w:val="20"/>
                  </w:rPr>
                  <w:fldChar w:fldCharType="separate"/>
                </w:r>
                <w:r>
                  <w:rPr>
                    <w:b/>
                    <w:spacing w:val="-5"/>
                    <w:sz w:val="20"/>
                  </w:rPr>
                  <w:t>1</w:t>
                </w:r>
                <w:r>
                  <w:rPr>
                    <w:b/>
                    <w:spacing w:val="-5"/>
                    <w:sz w:val="20"/>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232" w:hanging="103"/>
      </w:pPr>
      <w:rPr>
        <w:rFonts w:hint="default" w:ascii="Symbol" w:hAnsi="Symbol" w:eastAsia="Symbol" w:cs="Symbol"/>
        <w:b w:val="0"/>
        <w:bCs w:val="0"/>
        <w:i w:val="0"/>
        <w:iCs w:val="0"/>
        <w:color w:val="FFFFFF"/>
        <w:spacing w:val="-1"/>
        <w:w w:val="100"/>
        <w:sz w:val="20"/>
        <w:szCs w:val="20"/>
        <w:lang w:val="en-US" w:eastAsia="en-US" w:bidi="ar-SA"/>
      </w:rPr>
    </w:lvl>
    <w:lvl w:ilvl="1">
      <w:start w:val="0"/>
      <w:numFmt w:val="bullet"/>
      <w:lvlText w:val="•"/>
      <w:lvlJc w:val="left"/>
      <w:pPr>
        <w:ind w:left="815" w:hanging="103"/>
      </w:pPr>
      <w:rPr>
        <w:rFonts w:hint="default"/>
        <w:lang w:val="en-US" w:eastAsia="en-US" w:bidi="ar-SA"/>
      </w:rPr>
    </w:lvl>
    <w:lvl w:ilvl="2">
      <w:start w:val="0"/>
      <w:numFmt w:val="bullet"/>
      <w:lvlText w:val="•"/>
      <w:lvlJc w:val="left"/>
      <w:pPr>
        <w:ind w:left="1391" w:hanging="103"/>
      </w:pPr>
      <w:rPr>
        <w:rFonts w:hint="default"/>
        <w:lang w:val="en-US" w:eastAsia="en-US" w:bidi="ar-SA"/>
      </w:rPr>
    </w:lvl>
    <w:lvl w:ilvl="3">
      <w:start w:val="0"/>
      <w:numFmt w:val="bullet"/>
      <w:lvlText w:val="•"/>
      <w:lvlJc w:val="left"/>
      <w:pPr>
        <w:ind w:left="1966" w:hanging="103"/>
      </w:pPr>
      <w:rPr>
        <w:rFonts w:hint="default"/>
        <w:lang w:val="en-US" w:eastAsia="en-US" w:bidi="ar-SA"/>
      </w:rPr>
    </w:lvl>
    <w:lvl w:ilvl="4">
      <w:start w:val="0"/>
      <w:numFmt w:val="bullet"/>
      <w:lvlText w:val="•"/>
      <w:lvlJc w:val="left"/>
      <w:pPr>
        <w:ind w:left="2542" w:hanging="103"/>
      </w:pPr>
      <w:rPr>
        <w:rFonts w:hint="default"/>
        <w:lang w:val="en-US" w:eastAsia="en-US" w:bidi="ar-SA"/>
      </w:rPr>
    </w:lvl>
    <w:lvl w:ilvl="5">
      <w:start w:val="0"/>
      <w:numFmt w:val="bullet"/>
      <w:lvlText w:val="•"/>
      <w:lvlJc w:val="left"/>
      <w:pPr>
        <w:ind w:left="3117" w:hanging="103"/>
      </w:pPr>
      <w:rPr>
        <w:rFonts w:hint="default"/>
        <w:lang w:val="en-US" w:eastAsia="en-US" w:bidi="ar-SA"/>
      </w:rPr>
    </w:lvl>
    <w:lvl w:ilvl="6">
      <w:start w:val="0"/>
      <w:numFmt w:val="bullet"/>
      <w:lvlText w:val="•"/>
      <w:lvlJc w:val="left"/>
      <w:pPr>
        <w:ind w:left="3693" w:hanging="103"/>
      </w:pPr>
      <w:rPr>
        <w:rFonts w:hint="default"/>
        <w:lang w:val="en-US" w:eastAsia="en-US" w:bidi="ar-SA"/>
      </w:rPr>
    </w:lvl>
    <w:lvl w:ilvl="7">
      <w:start w:val="0"/>
      <w:numFmt w:val="bullet"/>
      <w:lvlText w:val="•"/>
      <w:lvlJc w:val="left"/>
      <w:pPr>
        <w:ind w:left="4268" w:hanging="103"/>
      </w:pPr>
      <w:rPr>
        <w:rFonts w:hint="default"/>
        <w:lang w:val="en-US" w:eastAsia="en-US" w:bidi="ar-SA"/>
      </w:rPr>
    </w:lvl>
    <w:lvl w:ilvl="8">
      <w:start w:val="0"/>
      <w:numFmt w:val="bullet"/>
      <w:lvlText w:val="•"/>
      <w:lvlJc w:val="left"/>
      <w:pPr>
        <w:ind w:left="4844" w:hanging="103"/>
      </w:pPr>
      <w:rPr>
        <w:rFonts w:hint="default"/>
        <w:lang w:val="en-US" w:eastAsia="en-US" w:bidi="ar-SA"/>
      </w:rPr>
    </w:lvl>
  </w:abstractNum>
  <w:abstractNum w:abstractNumId="20">
    <w:multiLevelType w:val="hybridMultilevel"/>
    <w:lvl w:ilvl="0">
      <w:start w:val="0"/>
      <w:numFmt w:val="bullet"/>
      <w:lvlText w:val=""/>
      <w:lvlJc w:val="left"/>
      <w:pPr>
        <w:ind w:left="232" w:hanging="103"/>
      </w:pPr>
      <w:rPr>
        <w:rFonts w:hint="default" w:ascii="Symbol" w:hAnsi="Symbol" w:eastAsia="Symbol" w:cs="Symbol"/>
        <w:b w:val="0"/>
        <w:bCs w:val="0"/>
        <w:i w:val="0"/>
        <w:iCs w:val="0"/>
        <w:color w:val="FFFFFF"/>
        <w:spacing w:val="-1"/>
        <w:w w:val="100"/>
        <w:sz w:val="20"/>
        <w:szCs w:val="20"/>
        <w:lang w:val="en-US" w:eastAsia="en-US" w:bidi="ar-SA"/>
      </w:rPr>
    </w:lvl>
    <w:lvl w:ilvl="1">
      <w:start w:val="0"/>
      <w:numFmt w:val="bullet"/>
      <w:lvlText w:val="•"/>
      <w:lvlJc w:val="left"/>
      <w:pPr>
        <w:ind w:left="815" w:hanging="103"/>
      </w:pPr>
      <w:rPr>
        <w:rFonts w:hint="default"/>
        <w:lang w:val="en-US" w:eastAsia="en-US" w:bidi="ar-SA"/>
      </w:rPr>
    </w:lvl>
    <w:lvl w:ilvl="2">
      <w:start w:val="0"/>
      <w:numFmt w:val="bullet"/>
      <w:lvlText w:val="•"/>
      <w:lvlJc w:val="left"/>
      <w:pPr>
        <w:ind w:left="1391" w:hanging="103"/>
      </w:pPr>
      <w:rPr>
        <w:rFonts w:hint="default"/>
        <w:lang w:val="en-US" w:eastAsia="en-US" w:bidi="ar-SA"/>
      </w:rPr>
    </w:lvl>
    <w:lvl w:ilvl="3">
      <w:start w:val="0"/>
      <w:numFmt w:val="bullet"/>
      <w:lvlText w:val="•"/>
      <w:lvlJc w:val="left"/>
      <w:pPr>
        <w:ind w:left="1966" w:hanging="103"/>
      </w:pPr>
      <w:rPr>
        <w:rFonts w:hint="default"/>
        <w:lang w:val="en-US" w:eastAsia="en-US" w:bidi="ar-SA"/>
      </w:rPr>
    </w:lvl>
    <w:lvl w:ilvl="4">
      <w:start w:val="0"/>
      <w:numFmt w:val="bullet"/>
      <w:lvlText w:val="•"/>
      <w:lvlJc w:val="left"/>
      <w:pPr>
        <w:ind w:left="2542" w:hanging="103"/>
      </w:pPr>
      <w:rPr>
        <w:rFonts w:hint="default"/>
        <w:lang w:val="en-US" w:eastAsia="en-US" w:bidi="ar-SA"/>
      </w:rPr>
    </w:lvl>
    <w:lvl w:ilvl="5">
      <w:start w:val="0"/>
      <w:numFmt w:val="bullet"/>
      <w:lvlText w:val="•"/>
      <w:lvlJc w:val="left"/>
      <w:pPr>
        <w:ind w:left="3117" w:hanging="103"/>
      </w:pPr>
      <w:rPr>
        <w:rFonts w:hint="default"/>
        <w:lang w:val="en-US" w:eastAsia="en-US" w:bidi="ar-SA"/>
      </w:rPr>
    </w:lvl>
    <w:lvl w:ilvl="6">
      <w:start w:val="0"/>
      <w:numFmt w:val="bullet"/>
      <w:lvlText w:val="•"/>
      <w:lvlJc w:val="left"/>
      <w:pPr>
        <w:ind w:left="3693" w:hanging="103"/>
      </w:pPr>
      <w:rPr>
        <w:rFonts w:hint="default"/>
        <w:lang w:val="en-US" w:eastAsia="en-US" w:bidi="ar-SA"/>
      </w:rPr>
    </w:lvl>
    <w:lvl w:ilvl="7">
      <w:start w:val="0"/>
      <w:numFmt w:val="bullet"/>
      <w:lvlText w:val="•"/>
      <w:lvlJc w:val="left"/>
      <w:pPr>
        <w:ind w:left="4268" w:hanging="103"/>
      </w:pPr>
      <w:rPr>
        <w:rFonts w:hint="default"/>
        <w:lang w:val="en-US" w:eastAsia="en-US" w:bidi="ar-SA"/>
      </w:rPr>
    </w:lvl>
    <w:lvl w:ilvl="8">
      <w:start w:val="0"/>
      <w:numFmt w:val="bullet"/>
      <w:lvlText w:val="•"/>
      <w:lvlJc w:val="left"/>
      <w:pPr>
        <w:ind w:left="4844" w:hanging="103"/>
      </w:pPr>
      <w:rPr>
        <w:rFonts w:hint="default"/>
        <w:lang w:val="en-US" w:eastAsia="en-US" w:bidi="ar-SA"/>
      </w:rPr>
    </w:lvl>
  </w:abstractNum>
  <w:abstractNum w:abstractNumId="19">
    <w:multiLevelType w:val="hybridMultilevel"/>
    <w:lvl w:ilvl="0">
      <w:start w:val="0"/>
      <w:numFmt w:val="bullet"/>
      <w:lvlText w:val="•"/>
      <w:lvlJc w:val="left"/>
      <w:pPr>
        <w:ind w:left="220" w:hanging="92"/>
      </w:pPr>
      <w:rPr>
        <w:rFonts w:hint="default" w:ascii="Arial" w:hAnsi="Arial" w:eastAsia="Arial" w:cs="Arial"/>
        <w:b w:val="0"/>
        <w:bCs w:val="0"/>
        <w:i w:val="0"/>
        <w:iCs w:val="0"/>
        <w:color w:val="FFFFFF"/>
        <w:spacing w:val="13"/>
        <w:w w:val="100"/>
        <w:sz w:val="20"/>
        <w:szCs w:val="20"/>
        <w:lang w:val="en-US" w:eastAsia="en-US" w:bidi="ar-SA"/>
      </w:rPr>
    </w:lvl>
    <w:lvl w:ilvl="1">
      <w:start w:val="0"/>
      <w:numFmt w:val="bullet"/>
      <w:lvlText w:val="•"/>
      <w:lvlJc w:val="left"/>
      <w:pPr>
        <w:ind w:left="797" w:hanging="92"/>
      </w:pPr>
      <w:rPr>
        <w:rFonts w:hint="default"/>
        <w:lang w:val="en-US" w:eastAsia="en-US" w:bidi="ar-SA"/>
      </w:rPr>
    </w:lvl>
    <w:lvl w:ilvl="2">
      <w:start w:val="0"/>
      <w:numFmt w:val="bullet"/>
      <w:lvlText w:val="•"/>
      <w:lvlJc w:val="left"/>
      <w:pPr>
        <w:ind w:left="1375" w:hanging="92"/>
      </w:pPr>
      <w:rPr>
        <w:rFonts w:hint="default"/>
        <w:lang w:val="en-US" w:eastAsia="en-US" w:bidi="ar-SA"/>
      </w:rPr>
    </w:lvl>
    <w:lvl w:ilvl="3">
      <w:start w:val="0"/>
      <w:numFmt w:val="bullet"/>
      <w:lvlText w:val="•"/>
      <w:lvlJc w:val="left"/>
      <w:pPr>
        <w:ind w:left="1952" w:hanging="92"/>
      </w:pPr>
      <w:rPr>
        <w:rFonts w:hint="default"/>
        <w:lang w:val="en-US" w:eastAsia="en-US" w:bidi="ar-SA"/>
      </w:rPr>
    </w:lvl>
    <w:lvl w:ilvl="4">
      <w:start w:val="0"/>
      <w:numFmt w:val="bullet"/>
      <w:lvlText w:val="•"/>
      <w:lvlJc w:val="left"/>
      <w:pPr>
        <w:ind w:left="2530" w:hanging="92"/>
      </w:pPr>
      <w:rPr>
        <w:rFonts w:hint="default"/>
        <w:lang w:val="en-US" w:eastAsia="en-US" w:bidi="ar-SA"/>
      </w:rPr>
    </w:lvl>
    <w:lvl w:ilvl="5">
      <w:start w:val="0"/>
      <w:numFmt w:val="bullet"/>
      <w:lvlText w:val="•"/>
      <w:lvlJc w:val="left"/>
      <w:pPr>
        <w:ind w:left="3107" w:hanging="92"/>
      </w:pPr>
      <w:rPr>
        <w:rFonts w:hint="default"/>
        <w:lang w:val="en-US" w:eastAsia="en-US" w:bidi="ar-SA"/>
      </w:rPr>
    </w:lvl>
    <w:lvl w:ilvl="6">
      <w:start w:val="0"/>
      <w:numFmt w:val="bullet"/>
      <w:lvlText w:val="•"/>
      <w:lvlJc w:val="left"/>
      <w:pPr>
        <w:ind w:left="3685" w:hanging="92"/>
      </w:pPr>
      <w:rPr>
        <w:rFonts w:hint="default"/>
        <w:lang w:val="en-US" w:eastAsia="en-US" w:bidi="ar-SA"/>
      </w:rPr>
    </w:lvl>
    <w:lvl w:ilvl="7">
      <w:start w:val="0"/>
      <w:numFmt w:val="bullet"/>
      <w:lvlText w:val="•"/>
      <w:lvlJc w:val="left"/>
      <w:pPr>
        <w:ind w:left="4262" w:hanging="92"/>
      </w:pPr>
      <w:rPr>
        <w:rFonts w:hint="default"/>
        <w:lang w:val="en-US" w:eastAsia="en-US" w:bidi="ar-SA"/>
      </w:rPr>
    </w:lvl>
    <w:lvl w:ilvl="8">
      <w:start w:val="0"/>
      <w:numFmt w:val="bullet"/>
      <w:lvlText w:val="•"/>
      <w:lvlJc w:val="left"/>
      <w:pPr>
        <w:ind w:left="4840" w:hanging="92"/>
      </w:pPr>
      <w:rPr>
        <w:rFonts w:hint="default"/>
        <w:lang w:val="en-US" w:eastAsia="en-US" w:bidi="ar-SA"/>
      </w:rPr>
    </w:lvl>
  </w:abstractNum>
  <w:abstractNum w:abstractNumId="18">
    <w:multiLevelType w:val="hybridMultilevel"/>
    <w:lvl w:ilvl="0">
      <w:start w:val="0"/>
      <w:numFmt w:val="bullet"/>
      <w:lvlText w:val="•"/>
      <w:lvlJc w:val="left"/>
      <w:pPr>
        <w:ind w:left="216" w:hanging="92"/>
      </w:pPr>
      <w:rPr>
        <w:rFonts w:hint="default" w:ascii="Arial" w:hAnsi="Arial" w:eastAsia="Arial" w:cs="Arial"/>
        <w:b w:val="0"/>
        <w:bCs w:val="0"/>
        <w:i w:val="0"/>
        <w:iCs w:val="0"/>
        <w:color w:val="FFFFFF"/>
        <w:spacing w:val="13"/>
        <w:w w:val="100"/>
        <w:sz w:val="20"/>
        <w:szCs w:val="20"/>
        <w:lang w:val="en-US" w:eastAsia="en-US" w:bidi="ar-SA"/>
      </w:rPr>
    </w:lvl>
    <w:lvl w:ilvl="1">
      <w:start w:val="0"/>
      <w:numFmt w:val="bullet"/>
      <w:lvlText w:val="•"/>
      <w:lvlJc w:val="left"/>
      <w:pPr>
        <w:ind w:left="798" w:hanging="92"/>
      </w:pPr>
      <w:rPr>
        <w:rFonts w:hint="default"/>
        <w:lang w:val="en-US" w:eastAsia="en-US" w:bidi="ar-SA"/>
      </w:rPr>
    </w:lvl>
    <w:lvl w:ilvl="2">
      <w:start w:val="0"/>
      <w:numFmt w:val="bullet"/>
      <w:lvlText w:val="•"/>
      <w:lvlJc w:val="left"/>
      <w:pPr>
        <w:ind w:left="1376" w:hanging="92"/>
      </w:pPr>
      <w:rPr>
        <w:rFonts w:hint="default"/>
        <w:lang w:val="en-US" w:eastAsia="en-US" w:bidi="ar-SA"/>
      </w:rPr>
    </w:lvl>
    <w:lvl w:ilvl="3">
      <w:start w:val="0"/>
      <w:numFmt w:val="bullet"/>
      <w:lvlText w:val="•"/>
      <w:lvlJc w:val="left"/>
      <w:pPr>
        <w:ind w:left="1954" w:hanging="92"/>
      </w:pPr>
      <w:rPr>
        <w:rFonts w:hint="default"/>
        <w:lang w:val="en-US" w:eastAsia="en-US" w:bidi="ar-SA"/>
      </w:rPr>
    </w:lvl>
    <w:lvl w:ilvl="4">
      <w:start w:val="0"/>
      <w:numFmt w:val="bullet"/>
      <w:lvlText w:val="•"/>
      <w:lvlJc w:val="left"/>
      <w:pPr>
        <w:ind w:left="2532" w:hanging="92"/>
      </w:pPr>
      <w:rPr>
        <w:rFonts w:hint="default"/>
        <w:lang w:val="en-US" w:eastAsia="en-US" w:bidi="ar-SA"/>
      </w:rPr>
    </w:lvl>
    <w:lvl w:ilvl="5">
      <w:start w:val="0"/>
      <w:numFmt w:val="bullet"/>
      <w:lvlText w:val="•"/>
      <w:lvlJc w:val="left"/>
      <w:pPr>
        <w:ind w:left="3110" w:hanging="92"/>
      </w:pPr>
      <w:rPr>
        <w:rFonts w:hint="default"/>
        <w:lang w:val="en-US" w:eastAsia="en-US" w:bidi="ar-SA"/>
      </w:rPr>
    </w:lvl>
    <w:lvl w:ilvl="6">
      <w:start w:val="0"/>
      <w:numFmt w:val="bullet"/>
      <w:lvlText w:val="•"/>
      <w:lvlJc w:val="left"/>
      <w:pPr>
        <w:ind w:left="3688" w:hanging="92"/>
      </w:pPr>
      <w:rPr>
        <w:rFonts w:hint="default"/>
        <w:lang w:val="en-US" w:eastAsia="en-US" w:bidi="ar-SA"/>
      </w:rPr>
    </w:lvl>
    <w:lvl w:ilvl="7">
      <w:start w:val="0"/>
      <w:numFmt w:val="bullet"/>
      <w:lvlText w:val="•"/>
      <w:lvlJc w:val="left"/>
      <w:pPr>
        <w:ind w:left="4266" w:hanging="92"/>
      </w:pPr>
      <w:rPr>
        <w:rFonts w:hint="default"/>
        <w:lang w:val="en-US" w:eastAsia="en-US" w:bidi="ar-SA"/>
      </w:rPr>
    </w:lvl>
    <w:lvl w:ilvl="8">
      <w:start w:val="0"/>
      <w:numFmt w:val="bullet"/>
      <w:lvlText w:val="•"/>
      <w:lvlJc w:val="left"/>
      <w:pPr>
        <w:ind w:left="4844" w:hanging="92"/>
      </w:pPr>
      <w:rPr>
        <w:rFonts w:hint="default"/>
        <w:lang w:val="en-US" w:eastAsia="en-US" w:bidi="ar-SA"/>
      </w:rPr>
    </w:lvl>
  </w:abstractNum>
  <w:abstractNum w:abstractNumId="17">
    <w:multiLevelType w:val="hybridMultilevel"/>
    <w:lvl w:ilvl="0">
      <w:start w:val="0"/>
      <w:numFmt w:val="bullet"/>
      <w:lvlText w:val=""/>
      <w:lvlJc w:val="left"/>
      <w:pPr>
        <w:ind w:left="236" w:hanging="103"/>
      </w:pPr>
      <w:rPr>
        <w:rFonts w:hint="default" w:ascii="Symbol" w:hAnsi="Symbol" w:eastAsia="Symbol" w:cs="Symbol"/>
        <w:b w:val="0"/>
        <w:bCs w:val="0"/>
        <w:i w:val="0"/>
        <w:iCs w:val="0"/>
        <w:color w:val="FFFFFF"/>
        <w:spacing w:val="-1"/>
        <w:w w:val="100"/>
        <w:sz w:val="20"/>
        <w:szCs w:val="20"/>
        <w:lang w:val="en-US" w:eastAsia="en-US" w:bidi="ar-SA"/>
      </w:rPr>
    </w:lvl>
    <w:lvl w:ilvl="1">
      <w:start w:val="0"/>
      <w:numFmt w:val="bullet"/>
      <w:lvlText w:val="•"/>
      <w:lvlJc w:val="left"/>
      <w:pPr>
        <w:ind w:left="816" w:hanging="103"/>
      </w:pPr>
      <w:rPr>
        <w:rFonts w:hint="default"/>
        <w:lang w:val="en-US" w:eastAsia="en-US" w:bidi="ar-SA"/>
      </w:rPr>
    </w:lvl>
    <w:lvl w:ilvl="2">
      <w:start w:val="0"/>
      <w:numFmt w:val="bullet"/>
      <w:lvlText w:val="•"/>
      <w:lvlJc w:val="left"/>
      <w:pPr>
        <w:ind w:left="1392" w:hanging="103"/>
      </w:pPr>
      <w:rPr>
        <w:rFonts w:hint="default"/>
        <w:lang w:val="en-US" w:eastAsia="en-US" w:bidi="ar-SA"/>
      </w:rPr>
    </w:lvl>
    <w:lvl w:ilvl="3">
      <w:start w:val="0"/>
      <w:numFmt w:val="bullet"/>
      <w:lvlText w:val="•"/>
      <w:lvlJc w:val="left"/>
      <w:pPr>
        <w:ind w:left="1968" w:hanging="103"/>
      </w:pPr>
      <w:rPr>
        <w:rFonts w:hint="default"/>
        <w:lang w:val="en-US" w:eastAsia="en-US" w:bidi="ar-SA"/>
      </w:rPr>
    </w:lvl>
    <w:lvl w:ilvl="4">
      <w:start w:val="0"/>
      <w:numFmt w:val="bullet"/>
      <w:lvlText w:val="•"/>
      <w:lvlJc w:val="left"/>
      <w:pPr>
        <w:ind w:left="2544" w:hanging="103"/>
      </w:pPr>
      <w:rPr>
        <w:rFonts w:hint="default"/>
        <w:lang w:val="en-US" w:eastAsia="en-US" w:bidi="ar-SA"/>
      </w:rPr>
    </w:lvl>
    <w:lvl w:ilvl="5">
      <w:start w:val="0"/>
      <w:numFmt w:val="bullet"/>
      <w:lvlText w:val="•"/>
      <w:lvlJc w:val="left"/>
      <w:pPr>
        <w:ind w:left="3120" w:hanging="103"/>
      </w:pPr>
      <w:rPr>
        <w:rFonts w:hint="default"/>
        <w:lang w:val="en-US" w:eastAsia="en-US" w:bidi="ar-SA"/>
      </w:rPr>
    </w:lvl>
    <w:lvl w:ilvl="6">
      <w:start w:val="0"/>
      <w:numFmt w:val="bullet"/>
      <w:lvlText w:val="•"/>
      <w:lvlJc w:val="left"/>
      <w:pPr>
        <w:ind w:left="3696" w:hanging="103"/>
      </w:pPr>
      <w:rPr>
        <w:rFonts w:hint="default"/>
        <w:lang w:val="en-US" w:eastAsia="en-US" w:bidi="ar-SA"/>
      </w:rPr>
    </w:lvl>
    <w:lvl w:ilvl="7">
      <w:start w:val="0"/>
      <w:numFmt w:val="bullet"/>
      <w:lvlText w:val="•"/>
      <w:lvlJc w:val="left"/>
      <w:pPr>
        <w:ind w:left="4272" w:hanging="103"/>
      </w:pPr>
      <w:rPr>
        <w:rFonts w:hint="default"/>
        <w:lang w:val="en-US" w:eastAsia="en-US" w:bidi="ar-SA"/>
      </w:rPr>
    </w:lvl>
    <w:lvl w:ilvl="8">
      <w:start w:val="0"/>
      <w:numFmt w:val="bullet"/>
      <w:lvlText w:val="•"/>
      <w:lvlJc w:val="left"/>
      <w:pPr>
        <w:ind w:left="4848" w:hanging="103"/>
      </w:pPr>
      <w:rPr>
        <w:rFonts w:hint="default"/>
        <w:lang w:val="en-US" w:eastAsia="en-US" w:bidi="ar-SA"/>
      </w:rPr>
    </w:lvl>
  </w:abstractNum>
  <w:abstractNum w:abstractNumId="16">
    <w:multiLevelType w:val="hybridMultilevel"/>
    <w:lvl w:ilvl="0">
      <w:start w:val="0"/>
      <w:numFmt w:val="bullet"/>
      <w:lvlText w:val="o"/>
      <w:lvlJc w:val="left"/>
      <w:pPr>
        <w:ind w:left="2519" w:hanging="360"/>
      </w:pPr>
      <w:rPr>
        <w:rFonts w:hint="default" w:ascii="Courier New" w:hAnsi="Courier New" w:eastAsia="Courier New" w:cs="Courier New"/>
        <w:b w:val="0"/>
        <w:bCs w:val="0"/>
        <w:i w:val="0"/>
        <w:iCs w:val="0"/>
        <w:w w:val="100"/>
        <w:sz w:val="22"/>
        <w:szCs w:val="22"/>
        <w:lang w:val="en-US" w:eastAsia="en-US" w:bidi="ar-SA"/>
      </w:rPr>
    </w:lvl>
    <w:lvl w:ilvl="1">
      <w:start w:val="0"/>
      <w:numFmt w:val="bullet"/>
      <w:lvlText w:val="•"/>
      <w:lvlJc w:val="left"/>
      <w:pPr>
        <w:ind w:left="3458" w:hanging="360"/>
      </w:pPr>
      <w:rPr>
        <w:rFonts w:hint="default"/>
        <w:lang w:val="en-US" w:eastAsia="en-US" w:bidi="ar-SA"/>
      </w:rPr>
    </w:lvl>
    <w:lvl w:ilvl="2">
      <w:start w:val="0"/>
      <w:numFmt w:val="bullet"/>
      <w:lvlText w:val="•"/>
      <w:lvlJc w:val="left"/>
      <w:pPr>
        <w:ind w:left="4397" w:hanging="360"/>
      </w:pPr>
      <w:rPr>
        <w:rFonts w:hint="default"/>
        <w:lang w:val="en-US" w:eastAsia="en-US" w:bidi="ar-SA"/>
      </w:rPr>
    </w:lvl>
    <w:lvl w:ilvl="3">
      <w:start w:val="0"/>
      <w:numFmt w:val="bullet"/>
      <w:lvlText w:val="•"/>
      <w:lvlJc w:val="left"/>
      <w:pPr>
        <w:ind w:left="5335" w:hanging="360"/>
      </w:pPr>
      <w:rPr>
        <w:rFonts w:hint="default"/>
        <w:lang w:val="en-US" w:eastAsia="en-US" w:bidi="ar-SA"/>
      </w:rPr>
    </w:lvl>
    <w:lvl w:ilvl="4">
      <w:start w:val="0"/>
      <w:numFmt w:val="bullet"/>
      <w:lvlText w:val="•"/>
      <w:lvlJc w:val="left"/>
      <w:pPr>
        <w:ind w:left="6274" w:hanging="360"/>
      </w:pPr>
      <w:rPr>
        <w:rFonts w:hint="default"/>
        <w:lang w:val="en-US" w:eastAsia="en-US" w:bidi="ar-SA"/>
      </w:rPr>
    </w:lvl>
    <w:lvl w:ilvl="5">
      <w:start w:val="0"/>
      <w:numFmt w:val="bullet"/>
      <w:lvlText w:val="•"/>
      <w:lvlJc w:val="left"/>
      <w:pPr>
        <w:ind w:left="7213" w:hanging="360"/>
      </w:pPr>
      <w:rPr>
        <w:rFonts w:hint="default"/>
        <w:lang w:val="en-US" w:eastAsia="en-US" w:bidi="ar-SA"/>
      </w:rPr>
    </w:lvl>
    <w:lvl w:ilvl="6">
      <w:start w:val="0"/>
      <w:numFmt w:val="bullet"/>
      <w:lvlText w:val="•"/>
      <w:lvlJc w:val="left"/>
      <w:pPr>
        <w:ind w:left="8151" w:hanging="360"/>
      </w:pPr>
      <w:rPr>
        <w:rFonts w:hint="default"/>
        <w:lang w:val="en-US" w:eastAsia="en-US" w:bidi="ar-SA"/>
      </w:rPr>
    </w:lvl>
    <w:lvl w:ilvl="7">
      <w:start w:val="0"/>
      <w:numFmt w:val="bullet"/>
      <w:lvlText w:val="•"/>
      <w:lvlJc w:val="left"/>
      <w:pPr>
        <w:ind w:left="9090" w:hanging="360"/>
      </w:pPr>
      <w:rPr>
        <w:rFonts w:hint="default"/>
        <w:lang w:val="en-US" w:eastAsia="en-US" w:bidi="ar-SA"/>
      </w:rPr>
    </w:lvl>
    <w:lvl w:ilvl="8">
      <w:start w:val="0"/>
      <w:numFmt w:val="bullet"/>
      <w:lvlText w:val="•"/>
      <w:lvlJc w:val="left"/>
      <w:pPr>
        <w:ind w:left="10029" w:hanging="360"/>
      </w:pPr>
      <w:rPr>
        <w:rFonts w:hint="default"/>
        <w:lang w:val="en-US" w:eastAsia="en-US" w:bidi="ar-SA"/>
      </w:rPr>
    </w:lvl>
  </w:abstractNum>
  <w:abstractNum w:abstractNumId="15">
    <w:multiLevelType w:val="hybridMultilevel"/>
    <w:lvl w:ilvl="0">
      <w:start w:val="1"/>
      <w:numFmt w:val="lowerLetter"/>
      <w:lvlText w:val="%1."/>
      <w:lvlJc w:val="left"/>
      <w:pPr>
        <w:ind w:left="179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2810" w:hanging="360"/>
      </w:pPr>
      <w:rPr>
        <w:rFonts w:hint="default"/>
        <w:lang w:val="en-US" w:eastAsia="en-US" w:bidi="ar-SA"/>
      </w:rPr>
    </w:lvl>
    <w:lvl w:ilvl="2">
      <w:start w:val="0"/>
      <w:numFmt w:val="bullet"/>
      <w:lvlText w:val="•"/>
      <w:lvlJc w:val="left"/>
      <w:pPr>
        <w:ind w:left="3821" w:hanging="360"/>
      </w:pPr>
      <w:rPr>
        <w:rFonts w:hint="default"/>
        <w:lang w:val="en-US" w:eastAsia="en-US" w:bidi="ar-SA"/>
      </w:rPr>
    </w:lvl>
    <w:lvl w:ilvl="3">
      <w:start w:val="0"/>
      <w:numFmt w:val="bullet"/>
      <w:lvlText w:val="•"/>
      <w:lvlJc w:val="left"/>
      <w:pPr>
        <w:ind w:left="4831" w:hanging="360"/>
      </w:pPr>
      <w:rPr>
        <w:rFonts w:hint="default"/>
        <w:lang w:val="en-US" w:eastAsia="en-US" w:bidi="ar-SA"/>
      </w:rPr>
    </w:lvl>
    <w:lvl w:ilvl="4">
      <w:start w:val="0"/>
      <w:numFmt w:val="bullet"/>
      <w:lvlText w:val="•"/>
      <w:lvlJc w:val="left"/>
      <w:pPr>
        <w:ind w:left="5842" w:hanging="360"/>
      </w:pPr>
      <w:rPr>
        <w:rFonts w:hint="default"/>
        <w:lang w:val="en-US" w:eastAsia="en-US" w:bidi="ar-SA"/>
      </w:rPr>
    </w:lvl>
    <w:lvl w:ilvl="5">
      <w:start w:val="0"/>
      <w:numFmt w:val="bullet"/>
      <w:lvlText w:val="•"/>
      <w:lvlJc w:val="left"/>
      <w:pPr>
        <w:ind w:left="6853" w:hanging="360"/>
      </w:pPr>
      <w:rPr>
        <w:rFonts w:hint="default"/>
        <w:lang w:val="en-US" w:eastAsia="en-US" w:bidi="ar-SA"/>
      </w:rPr>
    </w:lvl>
    <w:lvl w:ilvl="6">
      <w:start w:val="0"/>
      <w:numFmt w:val="bullet"/>
      <w:lvlText w:val="•"/>
      <w:lvlJc w:val="left"/>
      <w:pPr>
        <w:ind w:left="7863" w:hanging="360"/>
      </w:pPr>
      <w:rPr>
        <w:rFonts w:hint="default"/>
        <w:lang w:val="en-US" w:eastAsia="en-US" w:bidi="ar-SA"/>
      </w:rPr>
    </w:lvl>
    <w:lvl w:ilvl="7">
      <w:start w:val="0"/>
      <w:numFmt w:val="bullet"/>
      <w:lvlText w:val="•"/>
      <w:lvlJc w:val="left"/>
      <w:pPr>
        <w:ind w:left="8874" w:hanging="360"/>
      </w:pPr>
      <w:rPr>
        <w:rFonts w:hint="default"/>
        <w:lang w:val="en-US" w:eastAsia="en-US" w:bidi="ar-SA"/>
      </w:rPr>
    </w:lvl>
    <w:lvl w:ilvl="8">
      <w:start w:val="0"/>
      <w:numFmt w:val="bullet"/>
      <w:lvlText w:val="•"/>
      <w:lvlJc w:val="left"/>
      <w:pPr>
        <w:ind w:left="9885" w:hanging="360"/>
      </w:pPr>
      <w:rPr>
        <w:rFonts w:hint="default"/>
        <w:lang w:val="en-US" w:eastAsia="en-US" w:bidi="ar-SA"/>
      </w:rPr>
    </w:lvl>
  </w:abstractNum>
  <w:abstractNum w:abstractNumId="14">
    <w:multiLevelType w:val="hybridMultilevel"/>
    <w:lvl w:ilvl="0">
      <w:start w:val="1"/>
      <w:numFmt w:val="lowerLetter"/>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13">
    <w:multiLevelType w:val="hybridMultilevel"/>
    <w:lvl w:ilvl="0">
      <w:start w:val="1"/>
      <w:numFmt w:val="lowerLetter"/>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12">
    <w:multiLevelType w:val="hybridMultilevel"/>
    <w:lvl w:ilvl="0">
      <w:start w:val="1"/>
      <w:numFmt w:val="decimal"/>
      <w:lvlText w:val="%1."/>
      <w:lvlJc w:val="left"/>
      <w:pPr>
        <w:ind w:left="2159" w:hanging="360"/>
        <w:jc w:val="right"/>
      </w:pPr>
      <w:rPr>
        <w:rFonts w:hint="default"/>
        <w:spacing w:val="-2"/>
        <w:w w:val="100"/>
        <w:lang w:val="en-US" w:eastAsia="en-US" w:bidi="ar-SA"/>
      </w:rPr>
    </w:lvl>
    <w:lvl w:ilvl="1">
      <w:start w:val="1"/>
      <w:numFmt w:val="decimal"/>
      <w:lvlText w:val="%1.%2"/>
      <w:lvlJc w:val="left"/>
      <w:pPr>
        <w:ind w:left="2161" w:hanging="722"/>
        <w:jc w:val="left"/>
      </w:pPr>
      <w:rPr>
        <w:rFonts w:hint="default" w:ascii="Arial" w:hAnsi="Arial" w:eastAsia="Arial" w:cs="Arial"/>
        <w:b/>
        <w:bCs/>
        <w:i w:val="0"/>
        <w:iCs w:val="0"/>
        <w:color w:val="134295"/>
        <w:w w:val="99"/>
        <w:sz w:val="32"/>
        <w:szCs w:val="32"/>
        <w:lang w:val="en-US" w:eastAsia="en-US" w:bidi="ar-SA"/>
      </w:rPr>
    </w:lvl>
    <w:lvl w:ilvl="2">
      <w:start w:val="0"/>
      <w:numFmt w:val="bullet"/>
      <w:lvlText w:val="•"/>
      <w:lvlJc w:val="left"/>
      <w:pPr>
        <w:ind w:left="4109" w:hanging="722"/>
      </w:pPr>
      <w:rPr>
        <w:rFonts w:hint="default"/>
        <w:lang w:val="en-US" w:eastAsia="en-US" w:bidi="ar-SA"/>
      </w:rPr>
    </w:lvl>
    <w:lvl w:ilvl="3">
      <w:start w:val="0"/>
      <w:numFmt w:val="bullet"/>
      <w:lvlText w:val="•"/>
      <w:lvlJc w:val="left"/>
      <w:pPr>
        <w:ind w:left="5083" w:hanging="722"/>
      </w:pPr>
      <w:rPr>
        <w:rFonts w:hint="default"/>
        <w:lang w:val="en-US" w:eastAsia="en-US" w:bidi="ar-SA"/>
      </w:rPr>
    </w:lvl>
    <w:lvl w:ilvl="4">
      <w:start w:val="0"/>
      <w:numFmt w:val="bullet"/>
      <w:lvlText w:val="•"/>
      <w:lvlJc w:val="left"/>
      <w:pPr>
        <w:ind w:left="6058" w:hanging="722"/>
      </w:pPr>
      <w:rPr>
        <w:rFonts w:hint="default"/>
        <w:lang w:val="en-US" w:eastAsia="en-US" w:bidi="ar-SA"/>
      </w:rPr>
    </w:lvl>
    <w:lvl w:ilvl="5">
      <w:start w:val="0"/>
      <w:numFmt w:val="bullet"/>
      <w:lvlText w:val="•"/>
      <w:lvlJc w:val="left"/>
      <w:pPr>
        <w:ind w:left="7033" w:hanging="722"/>
      </w:pPr>
      <w:rPr>
        <w:rFonts w:hint="default"/>
        <w:lang w:val="en-US" w:eastAsia="en-US" w:bidi="ar-SA"/>
      </w:rPr>
    </w:lvl>
    <w:lvl w:ilvl="6">
      <w:start w:val="0"/>
      <w:numFmt w:val="bullet"/>
      <w:lvlText w:val="•"/>
      <w:lvlJc w:val="left"/>
      <w:pPr>
        <w:ind w:left="8007" w:hanging="722"/>
      </w:pPr>
      <w:rPr>
        <w:rFonts w:hint="default"/>
        <w:lang w:val="en-US" w:eastAsia="en-US" w:bidi="ar-SA"/>
      </w:rPr>
    </w:lvl>
    <w:lvl w:ilvl="7">
      <w:start w:val="0"/>
      <w:numFmt w:val="bullet"/>
      <w:lvlText w:val="•"/>
      <w:lvlJc w:val="left"/>
      <w:pPr>
        <w:ind w:left="8982" w:hanging="722"/>
      </w:pPr>
      <w:rPr>
        <w:rFonts w:hint="default"/>
        <w:lang w:val="en-US" w:eastAsia="en-US" w:bidi="ar-SA"/>
      </w:rPr>
    </w:lvl>
    <w:lvl w:ilvl="8">
      <w:start w:val="0"/>
      <w:numFmt w:val="bullet"/>
      <w:lvlText w:val="•"/>
      <w:lvlJc w:val="left"/>
      <w:pPr>
        <w:ind w:left="9957" w:hanging="722"/>
      </w:pPr>
      <w:rPr>
        <w:rFonts w:hint="default"/>
        <w:lang w:val="en-US" w:eastAsia="en-US" w:bidi="ar-SA"/>
      </w:rPr>
    </w:lvl>
  </w:abstractNum>
  <w:abstractNum w:abstractNumId="11">
    <w:multiLevelType w:val="hybridMultilevel"/>
    <w:lvl w:ilvl="0">
      <w:start w:val="1"/>
      <w:numFmt w:val="decimal"/>
      <w:lvlText w:val="%1."/>
      <w:lvlJc w:val="left"/>
      <w:pPr>
        <w:ind w:left="2160"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10">
    <w:multiLevelType w:val="hybridMultilevel"/>
    <w:lvl w:ilvl="0">
      <w:start w:val="1"/>
      <w:numFmt w:val="decimal"/>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9">
    <w:multiLevelType w:val="hybridMultilevel"/>
    <w:lvl w:ilvl="0">
      <w:start w:val="1"/>
      <w:numFmt w:val="decimal"/>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8">
    <w:multiLevelType w:val="hybridMultilevel"/>
    <w:lvl w:ilvl="0">
      <w:start w:val="1"/>
      <w:numFmt w:val="decimal"/>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7">
    <w:multiLevelType w:val="hybridMultilevel"/>
    <w:lvl w:ilvl="0">
      <w:start w:val="1"/>
      <w:numFmt w:val="decimal"/>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6">
    <w:multiLevelType w:val="hybridMultilevel"/>
    <w:lvl w:ilvl="0">
      <w:start w:val="1"/>
      <w:numFmt w:val="decimal"/>
      <w:lvlText w:val="%1."/>
      <w:lvlJc w:val="left"/>
      <w:pPr>
        <w:ind w:left="2159" w:hanging="36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5">
    <w:multiLevelType w:val="hybridMultilevel"/>
    <w:lvl w:ilvl="0">
      <w:start w:val="1"/>
      <w:numFmt w:val="lowerLetter"/>
      <w:lvlText w:val="%1)"/>
      <w:lvlJc w:val="left"/>
      <w:pPr>
        <w:ind w:left="2160" w:hanging="72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720"/>
      </w:pPr>
      <w:rPr>
        <w:rFonts w:hint="default"/>
        <w:lang w:val="en-US" w:eastAsia="en-US" w:bidi="ar-SA"/>
      </w:rPr>
    </w:lvl>
    <w:lvl w:ilvl="2">
      <w:start w:val="0"/>
      <w:numFmt w:val="bullet"/>
      <w:lvlText w:val="•"/>
      <w:lvlJc w:val="left"/>
      <w:pPr>
        <w:ind w:left="4109" w:hanging="720"/>
      </w:pPr>
      <w:rPr>
        <w:rFonts w:hint="default"/>
        <w:lang w:val="en-US" w:eastAsia="en-US" w:bidi="ar-SA"/>
      </w:rPr>
    </w:lvl>
    <w:lvl w:ilvl="3">
      <w:start w:val="0"/>
      <w:numFmt w:val="bullet"/>
      <w:lvlText w:val="•"/>
      <w:lvlJc w:val="left"/>
      <w:pPr>
        <w:ind w:left="5083" w:hanging="720"/>
      </w:pPr>
      <w:rPr>
        <w:rFonts w:hint="default"/>
        <w:lang w:val="en-US" w:eastAsia="en-US" w:bidi="ar-SA"/>
      </w:rPr>
    </w:lvl>
    <w:lvl w:ilvl="4">
      <w:start w:val="0"/>
      <w:numFmt w:val="bullet"/>
      <w:lvlText w:val="•"/>
      <w:lvlJc w:val="left"/>
      <w:pPr>
        <w:ind w:left="6058" w:hanging="720"/>
      </w:pPr>
      <w:rPr>
        <w:rFonts w:hint="default"/>
        <w:lang w:val="en-US" w:eastAsia="en-US" w:bidi="ar-SA"/>
      </w:rPr>
    </w:lvl>
    <w:lvl w:ilvl="5">
      <w:start w:val="0"/>
      <w:numFmt w:val="bullet"/>
      <w:lvlText w:val="•"/>
      <w:lvlJc w:val="left"/>
      <w:pPr>
        <w:ind w:left="7033" w:hanging="720"/>
      </w:pPr>
      <w:rPr>
        <w:rFonts w:hint="default"/>
        <w:lang w:val="en-US" w:eastAsia="en-US" w:bidi="ar-SA"/>
      </w:rPr>
    </w:lvl>
    <w:lvl w:ilvl="6">
      <w:start w:val="0"/>
      <w:numFmt w:val="bullet"/>
      <w:lvlText w:val="•"/>
      <w:lvlJc w:val="left"/>
      <w:pPr>
        <w:ind w:left="8007" w:hanging="720"/>
      </w:pPr>
      <w:rPr>
        <w:rFonts w:hint="default"/>
        <w:lang w:val="en-US" w:eastAsia="en-US" w:bidi="ar-SA"/>
      </w:rPr>
    </w:lvl>
    <w:lvl w:ilvl="7">
      <w:start w:val="0"/>
      <w:numFmt w:val="bullet"/>
      <w:lvlText w:val="•"/>
      <w:lvlJc w:val="left"/>
      <w:pPr>
        <w:ind w:left="8982" w:hanging="720"/>
      </w:pPr>
      <w:rPr>
        <w:rFonts w:hint="default"/>
        <w:lang w:val="en-US" w:eastAsia="en-US" w:bidi="ar-SA"/>
      </w:rPr>
    </w:lvl>
    <w:lvl w:ilvl="8">
      <w:start w:val="0"/>
      <w:numFmt w:val="bullet"/>
      <w:lvlText w:val="•"/>
      <w:lvlJc w:val="left"/>
      <w:pPr>
        <w:ind w:left="9957" w:hanging="720"/>
      </w:pPr>
      <w:rPr>
        <w:rFonts w:hint="default"/>
        <w:lang w:val="en-US" w:eastAsia="en-US" w:bidi="ar-SA"/>
      </w:rPr>
    </w:lvl>
  </w:abstractNum>
  <w:abstractNum w:abstractNumId="4">
    <w:multiLevelType w:val="hybridMultilevel"/>
    <w:lvl w:ilvl="0">
      <w:start w:val="1"/>
      <w:numFmt w:val="lowerLetter"/>
      <w:lvlText w:val="%1)"/>
      <w:lvlJc w:val="left"/>
      <w:pPr>
        <w:ind w:left="2159" w:hanging="720"/>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3134" w:hanging="720"/>
      </w:pPr>
      <w:rPr>
        <w:rFonts w:hint="default"/>
        <w:lang w:val="en-US" w:eastAsia="en-US" w:bidi="ar-SA"/>
      </w:rPr>
    </w:lvl>
    <w:lvl w:ilvl="2">
      <w:start w:val="0"/>
      <w:numFmt w:val="bullet"/>
      <w:lvlText w:val="•"/>
      <w:lvlJc w:val="left"/>
      <w:pPr>
        <w:ind w:left="4109" w:hanging="720"/>
      </w:pPr>
      <w:rPr>
        <w:rFonts w:hint="default"/>
        <w:lang w:val="en-US" w:eastAsia="en-US" w:bidi="ar-SA"/>
      </w:rPr>
    </w:lvl>
    <w:lvl w:ilvl="3">
      <w:start w:val="0"/>
      <w:numFmt w:val="bullet"/>
      <w:lvlText w:val="•"/>
      <w:lvlJc w:val="left"/>
      <w:pPr>
        <w:ind w:left="5083" w:hanging="720"/>
      </w:pPr>
      <w:rPr>
        <w:rFonts w:hint="default"/>
        <w:lang w:val="en-US" w:eastAsia="en-US" w:bidi="ar-SA"/>
      </w:rPr>
    </w:lvl>
    <w:lvl w:ilvl="4">
      <w:start w:val="0"/>
      <w:numFmt w:val="bullet"/>
      <w:lvlText w:val="•"/>
      <w:lvlJc w:val="left"/>
      <w:pPr>
        <w:ind w:left="6058" w:hanging="720"/>
      </w:pPr>
      <w:rPr>
        <w:rFonts w:hint="default"/>
        <w:lang w:val="en-US" w:eastAsia="en-US" w:bidi="ar-SA"/>
      </w:rPr>
    </w:lvl>
    <w:lvl w:ilvl="5">
      <w:start w:val="0"/>
      <w:numFmt w:val="bullet"/>
      <w:lvlText w:val="•"/>
      <w:lvlJc w:val="left"/>
      <w:pPr>
        <w:ind w:left="7033" w:hanging="720"/>
      </w:pPr>
      <w:rPr>
        <w:rFonts w:hint="default"/>
        <w:lang w:val="en-US" w:eastAsia="en-US" w:bidi="ar-SA"/>
      </w:rPr>
    </w:lvl>
    <w:lvl w:ilvl="6">
      <w:start w:val="0"/>
      <w:numFmt w:val="bullet"/>
      <w:lvlText w:val="•"/>
      <w:lvlJc w:val="left"/>
      <w:pPr>
        <w:ind w:left="8007" w:hanging="720"/>
      </w:pPr>
      <w:rPr>
        <w:rFonts w:hint="default"/>
        <w:lang w:val="en-US" w:eastAsia="en-US" w:bidi="ar-SA"/>
      </w:rPr>
    </w:lvl>
    <w:lvl w:ilvl="7">
      <w:start w:val="0"/>
      <w:numFmt w:val="bullet"/>
      <w:lvlText w:val="•"/>
      <w:lvlJc w:val="left"/>
      <w:pPr>
        <w:ind w:left="8982" w:hanging="720"/>
      </w:pPr>
      <w:rPr>
        <w:rFonts w:hint="default"/>
        <w:lang w:val="en-US" w:eastAsia="en-US" w:bidi="ar-SA"/>
      </w:rPr>
    </w:lvl>
    <w:lvl w:ilvl="8">
      <w:start w:val="0"/>
      <w:numFmt w:val="bullet"/>
      <w:lvlText w:val="•"/>
      <w:lvlJc w:val="left"/>
      <w:pPr>
        <w:ind w:left="9957" w:hanging="720"/>
      </w:pPr>
      <w:rPr>
        <w:rFonts w:hint="default"/>
        <w:lang w:val="en-US" w:eastAsia="en-US" w:bidi="ar-SA"/>
      </w:rPr>
    </w:lvl>
  </w:abstractNum>
  <w:abstractNum w:abstractNumId="3">
    <w:multiLevelType w:val="hybridMultilevel"/>
    <w:lvl w:ilvl="0">
      <w:start w:val="0"/>
      <w:numFmt w:val="bullet"/>
      <w:lvlText w:val=""/>
      <w:lvlJc w:val="left"/>
      <w:pPr>
        <w:ind w:left="180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159"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3242" w:hanging="360"/>
      </w:pPr>
      <w:rPr>
        <w:rFonts w:hint="default"/>
        <w:lang w:val="en-US" w:eastAsia="en-US" w:bidi="ar-SA"/>
      </w:rPr>
    </w:lvl>
    <w:lvl w:ilvl="3">
      <w:start w:val="0"/>
      <w:numFmt w:val="bullet"/>
      <w:lvlText w:val="•"/>
      <w:lvlJc w:val="left"/>
      <w:pPr>
        <w:ind w:left="4325" w:hanging="360"/>
      </w:pPr>
      <w:rPr>
        <w:rFonts w:hint="default"/>
        <w:lang w:val="en-US" w:eastAsia="en-US" w:bidi="ar-SA"/>
      </w:rPr>
    </w:lvl>
    <w:lvl w:ilvl="4">
      <w:start w:val="0"/>
      <w:numFmt w:val="bullet"/>
      <w:lvlText w:val="•"/>
      <w:lvlJc w:val="left"/>
      <w:pPr>
        <w:ind w:left="5408" w:hanging="360"/>
      </w:pPr>
      <w:rPr>
        <w:rFonts w:hint="default"/>
        <w:lang w:val="en-US" w:eastAsia="en-US" w:bidi="ar-SA"/>
      </w:rPr>
    </w:lvl>
    <w:lvl w:ilvl="5">
      <w:start w:val="0"/>
      <w:numFmt w:val="bullet"/>
      <w:lvlText w:val="•"/>
      <w:lvlJc w:val="left"/>
      <w:pPr>
        <w:ind w:left="6491" w:hanging="360"/>
      </w:pPr>
      <w:rPr>
        <w:rFonts w:hint="default"/>
        <w:lang w:val="en-US" w:eastAsia="en-US" w:bidi="ar-SA"/>
      </w:rPr>
    </w:lvl>
    <w:lvl w:ilvl="6">
      <w:start w:val="0"/>
      <w:numFmt w:val="bullet"/>
      <w:lvlText w:val="•"/>
      <w:lvlJc w:val="left"/>
      <w:pPr>
        <w:ind w:left="7574" w:hanging="360"/>
      </w:pPr>
      <w:rPr>
        <w:rFonts w:hint="default"/>
        <w:lang w:val="en-US" w:eastAsia="en-US" w:bidi="ar-SA"/>
      </w:rPr>
    </w:lvl>
    <w:lvl w:ilvl="7">
      <w:start w:val="0"/>
      <w:numFmt w:val="bullet"/>
      <w:lvlText w:val="•"/>
      <w:lvlJc w:val="left"/>
      <w:pPr>
        <w:ind w:left="8657"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2">
    <w:multiLevelType w:val="hybridMultilevel"/>
    <w:lvl w:ilvl="0">
      <w:start w:val="1"/>
      <w:numFmt w:val="decimal"/>
      <w:lvlText w:val="%1."/>
      <w:lvlJc w:val="left"/>
      <w:pPr>
        <w:ind w:left="2160" w:hanging="720"/>
        <w:jc w:val="left"/>
      </w:pPr>
      <w:rPr>
        <w:rFonts w:hint="default"/>
        <w:spacing w:val="-3"/>
        <w:w w:val="100"/>
        <w:lang w:val="en-US" w:eastAsia="en-US" w:bidi="ar-SA"/>
      </w:rPr>
    </w:lvl>
    <w:lvl w:ilvl="1">
      <w:start w:val="1"/>
      <w:numFmt w:val="decimal"/>
      <w:lvlText w:val="%1.%2"/>
      <w:lvlJc w:val="left"/>
      <w:pPr>
        <w:ind w:left="2161" w:hanging="722"/>
        <w:jc w:val="left"/>
      </w:pPr>
      <w:rPr>
        <w:rFonts w:hint="default"/>
        <w:w w:val="99"/>
        <w:lang w:val="en-US" w:eastAsia="en-US" w:bidi="ar-SA"/>
      </w:rPr>
    </w:lvl>
    <w:lvl w:ilvl="2">
      <w:start w:val="1"/>
      <w:numFmt w:val="lowerLetter"/>
      <w:lvlText w:val="%3)"/>
      <w:lvlJc w:val="left"/>
      <w:pPr>
        <w:ind w:left="2416" w:hanging="257"/>
        <w:jc w:val="left"/>
      </w:pPr>
      <w:rPr>
        <w:rFonts w:hint="default" w:ascii="Arial" w:hAnsi="Arial" w:eastAsia="Arial" w:cs="Arial"/>
        <w:b w:val="0"/>
        <w:bCs w:val="0"/>
        <w:i w:val="0"/>
        <w:iCs w:val="0"/>
        <w:spacing w:val="-2"/>
        <w:w w:val="100"/>
        <w:sz w:val="22"/>
        <w:szCs w:val="22"/>
        <w:lang w:val="en-US" w:eastAsia="en-US" w:bidi="ar-SA"/>
      </w:rPr>
    </w:lvl>
    <w:lvl w:ilvl="3">
      <w:start w:val="1"/>
      <w:numFmt w:val="lowerRoman"/>
      <w:lvlText w:val="%4."/>
      <w:lvlJc w:val="left"/>
      <w:pPr>
        <w:ind w:left="2880" w:hanging="471"/>
        <w:jc w:val="right"/>
      </w:pPr>
      <w:rPr>
        <w:rFonts w:hint="default" w:ascii="Arial" w:hAnsi="Arial" w:eastAsia="Arial" w:cs="Arial"/>
        <w:b w:val="0"/>
        <w:bCs w:val="0"/>
        <w:i w:val="0"/>
        <w:iCs w:val="0"/>
        <w:w w:val="100"/>
        <w:sz w:val="22"/>
        <w:szCs w:val="22"/>
        <w:lang w:val="en-US" w:eastAsia="en-US" w:bidi="ar-SA"/>
      </w:rPr>
    </w:lvl>
    <w:lvl w:ilvl="4">
      <w:start w:val="0"/>
      <w:numFmt w:val="bullet"/>
      <w:lvlText w:val="•"/>
      <w:lvlJc w:val="left"/>
      <w:pPr>
        <w:ind w:left="5136" w:hanging="471"/>
      </w:pPr>
      <w:rPr>
        <w:rFonts w:hint="default"/>
        <w:lang w:val="en-US" w:eastAsia="en-US" w:bidi="ar-SA"/>
      </w:rPr>
    </w:lvl>
    <w:lvl w:ilvl="5">
      <w:start w:val="0"/>
      <w:numFmt w:val="bullet"/>
      <w:lvlText w:val="•"/>
      <w:lvlJc w:val="left"/>
      <w:pPr>
        <w:ind w:left="6264" w:hanging="471"/>
      </w:pPr>
      <w:rPr>
        <w:rFonts w:hint="default"/>
        <w:lang w:val="en-US" w:eastAsia="en-US" w:bidi="ar-SA"/>
      </w:rPr>
    </w:lvl>
    <w:lvl w:ilvl="6">
      <w:start w:val="0"/>
      <w:numFmt w:val="bullet"/>
      <w:lvlText w:val="•"/>
      <w:lvlJc w:val="left"/>
      <w:pPr>
        <w:ind w:left="7393" w:hanging="471"/>
      </w:pPr>
      <w:rPr>
        <w:rFonts w:hint="default"/>
        <w:lang w:val="en-US" w:eastAsia="en-US" w:bidi="ar-SA"/>
      </w:rPr>
    </w:lvl>
    <w:lvl w:ilvl="7">
      <w:start w:val="0"/>
      <w:numFmt w:val="bullet"/>
      <w:lvlText w:val="•"/>
      <w:lvlJc w:val="left"/>
      <w:pPr>
        <w:ind w:left="8521" w:hanging="471"/>
      </w:pPr>
      <w:rPr>
        <w:rFonts w:hint="default"/>
        <w:lang w:val="en-US" w:eastAsia="en-US" w:bidi="ar-SA"/>
      </w:rPr>
    </w:lvl>
    <w:lvl w:ilvl="8">
      <w:start w:val="0"/>
      <w:numFmt w:val="bullet"/>
      <w:lvlText w:val="•"/>
      <w:lvlJc w:val="left"/>
      <w:pPr>
        <w:ind w:left="9649" w:hanging="471"/>
      </w:pPr>
      <w:rPr>
        <w:rFonts w:hint="default"/>
        <w:lang w:val="en-US" w:eastAsia="en-US" w:bidi="ar-SA"/>
      </w:rPr>
    </w:lvl>
  </w:abstractNum>
  <w:abstractNum w:abstractNumId="1">
    <w:multiLevelType w:val="hybridMultilevel"/>
    <w:lvl w:ilvl="0">
      <w:start w:val="4"/>
      <w:numFmt w:val="decimal"/>
      <w:lvlText w:val="%1"/>
      <w:lvlJc w:val="left"/>
      <w:pPr>
        <w:ind w:left="2320" w:hanging="660"/>
        <w:jc w:val="left"/>
      </w:pPr>
      <w:rPr>
        <w:rFonts w:hint="default"/>
        <w:lang w:val="en-US" w:eastAsia="en-US" w:bidi="ar-SA"/>
      </w:rPr>
    </w:lvl>
    <w:lvl w:ilvl="1">
      <w:start w:val="4"/>
      <w:numFmt w:val="decimal"/>
      <w:lvlText w:val="%1.%2"/>
      <w:lvlJc w:val="left"/>
      <w:pPr>
        <w:ind w:left="2320" w:hanging="660"/>
        <w:jc w:val="left"/>
      </w:pPr>
      <w:rPr>
        <w:rFonts w:hint="default" w:ascii="Arial" w:hAnsi="Arial" w:eastAsia="Arial" w:cs="Arial"/>
        <w:b w:val="0"/>
        <w:bCs w:val="0"/>
        <w:i w:val="0"/>
        <w:iCs w:val="0"/>
        <w:spacing w:val="-2"/>
        <w:w w:val="100"/>
        <w:sz w:val="22"/>
        <w:szCs w:val="22"/>
        <w:lang w:val="en-US" w:eastAsia="en-US" w:bidi="ar-SA"/>
      </w:rPr>
    </w:lvl>
    <w:lvl w:ilvl="2">
      <w:start w:val="0"/>
      <w:numFmt w:val="bullet"/>
      <w:lvlText w:val="•"/>
      <w:lvlJc w:val="left"/>
      <w:pPr>
        <w:ind w:left="4237" w:hanging="660"/>
      </w:pPr>
      <w:rPr>
        <w:rFonts w:hint="default"/>
        <w:lang w:val="en-US" w:eastAsia="en-US" w:bidi="ar-SA"/>
      </w:rPr>
    </w:lvl>
    <w:lvl w:ilvl="3">
      <w:start w:val="0"/>
      <w:numFmt w:val="bullet"/>
      <w:lvlText w:val="•"/>
      <w:lvlJc w:val="left"/>
      <w:pPr>
        <w:ind w:left="5195" w:hanging="660"/>
      </w:pPr>
      <w:rPr>
        <w:rFonts w:hint="default"/>
        <w:lang w:val="en-US" w:eastAsia="en-US" w:bidi="ar-SA"/>
      </w:rPr>
    </w:lvl>
    <w:lvl w:ilvl="4">
      <w:start w:val="0"/>
      <w:numFmt w:val="bullet"/>
      <w:lvlText w:val="•"/>
      <w:lvlJc w:val="left"/>
      <w:pPr>
        <w:ind w:left="6154" w:hanging="660"/>
      </w:pPr>
      <w:rPr>
        <w:rFonts w:hint="default"/>
        <w:lang w:val="en-US" w:eastAsia="en-US" w:bidi="ar-SA"/>
      </w:rPr>
    </w:lvl>
    <w:lvl w:ilvl="5">
      <w:start w:val="0"/>
      <w:numFmt w:val="bullet"/>
      <w:lvlText w:val="•"/>
      <w:lvlJc w:val="left"/>
      <w:pPr>
        <w:ind w:left="7113" w:hanging="660"/>
      </w:pPr>
      <w:rPr>
        <w:rFonts w:hint="default"/>
        <w:lang w:val="en-US" w:eastAsia="en-US" w:bidi="ar-SA"/>
      </w:rPr>
    </w:lvl>
    <w:lvl w:ilvl="6">
      <w:start w:val="0"/>
      <w:numFmt w:val="bullet"/>
      <w:lvlText w:val="•"/>
      <w:lvlJc w:val="left"/>
      <w:pPr>
        <w:ind w:left="8071" w:hanging="660"/>
      </w:pPr>
      <w:rPr>
        <w:rFonts w:hint="default"/>
        <w:lang w:val="en-US" w:eastAsia="en-US" w:bidi="ar-SA"/>
      </w:rPr>
    </w:lvl>
    <w:lvl w:ilvl="7">
      <w:start w:val="0"/>
      <w:numFmt w:val="bullet"/>
      <w:lvlText w:val="•"/>
      <w:lvlJc w:val="left"/>
      <w:pPr>
        <w:ind w:left="9030" w:hanging="660"/>
      </w:pPr>
      <w:rPr>
        <w:rFonts w:hint="default"/>
        <w:lang w:val="en-US" w:eastAsia="en-US" w:bidi="ar-SA"/>
      </w:rPr>
    </w:lvl>
    <w:lvl w:ilvl="8">
      <w:start w:val="0"/>
      <w:numFmt w:val="bullet"/>
      <w:lvlText w:val="•"/>
      <w:lvlJc w:val="left"/>
      <w:pPr>
        <w:ind w:left="9989" w:hanging="660"/>
      </w:pPr>
      <w:rPr>
        <w:rFonts w:hint="default"/>
        <w:lang w:val="en-US" w:eastAsia="en-US" w:bidi="ar-SA"/>
      </w:rPr>
    </w:lvl>
  </w:abstractNum>
  <w:abstractNum w:abstractNumId="0">
    <w:multiLevelType w:val="hybridMultilevel"/>
    <w:lvl w:ilvl="0">
      <w:start w:val="1"/>
      <w:numFmt w:val="decimal"/>
      <w:lvlText w:val="%1."/>
      <w:lvlJc w:val="left"/>
      <w:pPr>
        <w:ind w:left="1879" w:hanging="440"/>
        <w:jc w:val="left"/>
      </w:pPr>
      <w:rPr>
        <w:rFonts w:hint="default" w:ascii="Arial" w:hAnsi="Arial" w:eastAsia="Arial" w:cs="Arial"/>
        <w:b/>
        <w:bCs/>
        <w:i w:val="0"/>
        <w:iCs w:val="0"/>
        <w:spacing w:val="-2"/>
        <w:w w:val="100"/>
        <w:sz w:val="22"/>
        <w:szCs w:val="22"/>
        <w:lang w:val="en-US" w:eastAsia="en-US" w:bidi="ar-SA"/>
      </w:rPr>
    </w:lvl>
    <w:lvl w:ilvl="1">
      <w:start w:val="1"/>
      <w:numFmt w:val="decimal"/>
      <w:lvlText w:val="%1.%2"/>
      <w:lvlJc w:val="left"/>
      <w:pPr>
        <w:ind w:left="2320" w:hanging="660"/>
        <w:jc w:val="left"/>
      </w:pPr>
      <w:rPr>
        <w:rFonts w:hint="default" w:ascii="Arial" w:hAnsi="Arial" w:eastAsia="Arial" w:cs="Arial"/>
        <w:b w:val="0"/>
        <w:bCs w:val="0"/>
        <w:i w:val="0"/>
        <w:iCs w:val="0"/>
        <w:spacing w:val="-2"/>
        <w:w w:val="100"/>
        <w:sz w:val="22"/>
        <w:szCs w:val="22"/>
        <w:lang w:val="en-US" w:eastAsia="en-US" w:bidi="ar-SA"/>
      </w:rPr>
    </w:lvl>
    <w:lvl w:ilvl="2">
      <w:start w:val="0"/>
      <w:numFmt w:val="bullet"/>
      <w:lvlText w:val="•"/>
      <w:lvlJc w:val="left"/>
      <w:pPr>
        <w:ind w:left="3385" w:hanging="660"/>
      </w:pPr>
      <w:rPr>
        <w:rFonts w:hint="default"/>
        <w:lang w:val="en-US" w:eastAsia="en-US" w:bidi="ar-SA"/>
      </w:rPr>
    </w:lvl>
    <w:lvl w:ilvl="3">
      <w:start w:val="0"/>
      <w:numFmt w:val="bullet"/>
      <w:lvlText w:val="•"/>
      <w:lvlJc w:val="left"/>
      <w:pPr>
        <w:ind w:left="4450" w:hanging="660"/>
      </w:pPr>
      <w:rPr>
        <w:rFonts w:hint="default"/>
        <w:lang w:val="en-US" w:eastAsia="en-US" w:bidi="ar-SA"/>
      </w:rPr>
    </w:lvl>
    <w:lvl w:ilvl="4">
      <w:start w:val="0"/>
      <w:numFmt w:val="bullet"/>
      <w:lvlText w:val="•"/>
      <w:lvlJc w:val="left"/>
      <w:pPr>
        <w:ind w:left="5515" w:hanging="660"/>
      </w:pPr>
      <w:rPr>
        <w:rFonts w:hint="default"/>
        <w:lang w:val="en-US" w:eastAsia="en-US" w:bidi="ar-SA"/>
      </w:rPr>
    </w:lvl>
    <w:lvl w:ilvl="5">
      <w:start w:val="0"/>
      <w:numFmt w:val="bullet"/>
      <w:lvlText w:val="•"/>
      <w:lvlJc w:val="left"/>
      <w:pPr>
        <w:ind w:left="6580" w:hanging="660"/>
      </w:pPr>
      <w:rPr>
        <w:rFonts w:hint="default"/>
        <w:lang w:val="en-US" w:eastAsia="en-US" w:bidi="ar-SA"/>
      </w:rPr>
    </w:lvl>
    <w:lvl w:ilvl="6">
      <w:start w:val="0"/>
      <w:numFmt w:val="bullet"/>
      <w:lvlText w:val="•"/>
      <w:lvlJc w:val="left"/>
      <w:pPr>
        <w:ind w:left="7645" w:hanging="660"/>
      </w:pPr>
      <w:rPr>
        <w:rFonts w:hint="default"/>
        <w:lang w:val="en-US" w:eastAsia="en-US" w:bidi="ar-SA"/>
      </w:rPr>
    </w:lvl>
    <w:lvl w:ilvl="7">
      <w:start w:val="0"/>
      <w:numFmt w:val="bullet"/>
      <w:lvlText w:val="•"/>
      <w:lvlJc w:val="left"/>
      <w:pPr>
        <w:ind w:left="8710" w:hanging="660"/>
      </w:pPr>
      <w:rPr>
        <w:rFonts w:hint="default"/>
        <w:lang w:val="en-US" w:eastAsia="en-US" w:bidi="ar-SA"/>
      </w:rPr>
    </w:lvl>
    <w:lvl w:ilvl="8">
      <w:start w:val="0"/>
      <w:numFmt w:val="bullet"/>
      <w:lvlText w:val="•"/>
      <w:lvlJc w:val="left"/>
      <w:pPr>
        <w:ind w:left="9776" w:hanging="660"/>
      </w:pPr>
      <w:rPr>
        <w:rFonts w:hint="default"/>
        <w:lang w:val="en-U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46"/>
      <w:ind w:left="1879" w:hanging="440"/>
    </w:pPr>
    <w:rPr>
      <w:rFonts w:ascii="Arial" w:hAnsi="Arial" w:eastAsia="Arial" w:cs="Arial"/>
      <w:b/>
      <w:bCs/>
      <w:sz w:val="22"/>
      <w:szCs w:val="22"/>
      <w:lang w:val="en-US" w:eastAsia="en-US" w:bidi="ar-SA"/>
    </w:rPr>
  </w:style>
  <w:style w:styleId="TOC2" w:type="paragraph">
    <w:name w:val="TOC 2"/>
    <w:basedOn w:val="Normal"/>
    <w:uiPriority w:val="1"/>
    <w:qFormat/>
    <w:pPr>
      <w:spacing w:before="239"/>
      <w:ind w:left="2320" w:hanging="661"/>
    </w:pPr>
    <w:rPr>
      <w:rFonts w:ascii="Arial" w:hAnsi="Arial" w:eastAsia="Arial" w:cs="Arial"/>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2"/>
      <w:ind w:left="2158" w:hanging="720"/>
      <w:outlineLvl w:val="1"/>
    </w:pPr>
    <w:rPr>
      <w:rFonts w:ascii="Arial" w:hAnsi="Arial" w:eastAsia="Arial" w:cs="Arial"/>
      <w:b/>
      <w:bCs/>
      <w:sz w:val="48"/>
      <w:szCs w:val="48"/>
      <w:lang w:val="en-US" w:eastAsia="en-US" w:bidi="ar-SA"/>
    </w:rPr>
  </w:style>
  <w:style w:styleId="Heading2" w:type="paragraph">
    <w:name w:val="Heading 2"/>
    <w:basedOn w:val="Normal"/>
    <w:uiPriority w:val="1"/>
    <w:qFormat/>
    <w:pPr>
      <w:spacing w:before="89"/>
      <w:ind w:left="2161" w:hanging="722"/>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spacing w:before="1"/>
      <w:ind w:left="2160" w:hanging="720"/>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ind w:left="1440"/>
      <w:outlineLvl w:val="4"/>
    </w:pPr>
    <w:rPr>
      <w:rFonts w:ascii="Arial" w:hAnsi="Arial" w:eastAsia="Arial" w:cs="Arial"/>
      <w:sz w:val="28"/>
      <w:szCs w:val="28"/>
      <w:lang w:val="en-US" w:eastAsia="en-US" w:bidi="ar-SA"/>
    </w:rPr>
  </w:style>
  <w:style w:styleId="Heading5" w:type="paragraph">
    <w:name w:val="Heading 5"/>
    <w:basedOn w:val="Normal"/>
    <w:uiPriority w:val="1"/>
    <w:qFormat/>
    <w:pPr>
      <w:ind w:left="1440"/>
      <w:jc w:val="both"/>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1799" w:hanging="360"/>
    </w:pPr>
    <w:rPr>
      <w:rFonts w:ascii="Arial" w:hAnsi="Arial" w:eastAsia="Arial" w:cs="Arial"/>
      <w:lang w:val="en-US" w:eastAsia="en-US" w:bidi="ar-SA"/>
    </w:rPr>
  </w:style>
  <w:style w:styleId="TableParagraph" w:type="paragraph">
    <w:name w:val="Table Paragraph"/>
    <w:basedOn w:val="Normal"/>
    <w:uiPriority w:val="1"/>
    <w:qFormat/>
    <w:pPr>
      <w:spacing w:line="232" w:lineRule="exact"/>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footer" Target="footer3.xml"/><Relationship Id="rId13" Type="http://schemas.openxmlformats.org/officeDocument/2006/relationships/image" Target="media/image4.pn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Burton</dc:creator>
  <dc:title>Microsoft Word - Revenue and Rating Plan 2025-26 to 2028-29.docx</dc:title>
  <dcterms:created xsi:type="dcterms:W3CDTF">2025-07-27T23:51:44Z</dcterms:created>
  <dcterms:modified xsi:type="dcterms:W3CDTF">2025-07-27T23:51:44Z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2025-07-23T00:00:00Z</vt:filetime>
  </property>
  <property fmtid="{D5CDD505-2E9C-101B-9397-08002B2CF9AE}" pid="3" name="LastSaved">
    <vt:filetime>2025-07-27T00:00:00Z</vt:filetime>
  </property>
</Properties>
</file>