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68DD" w14:textId="77777777" w:rsidR="00FE572A" w:rsidRPr="00F53A0B" w:rsidRDefault="00FE572A" w:rsidP="00FE572A">
      <w:pPr>
        <w:pStyle w:val="Heading1"/>
        <w:rPr>
          <w:rFonts w:cs="Arial"/>
        </w:rPr>
      </w:pPr>
      <w:r w:rsidRPr="00F53A0B">
        <w:rPr>
          <w:rFonts w:cs="Arial"/>
        </w:rPr>
        <w:t>Purpose</w:t>
      </w:r>
    </w:p>
    <w:p w14:paraId="4664FA80" w14:textId="63A8E8AD" w:rsidR="00E927FD" w:rsidRDefault="00132116" w:rsidP="00C14AD0">
      <w:pPr>
        <w:jc w:val="both"/>
        <w:rPr>
          <w:rFonts w:ascii="Arial" w:hAnsi="Arial" w:cs="Arial"/>
          <w:iCs/>
          <w:lang w:eastAsia="en-AU"/>
        </w:rPr>
      </w:pPr>
      <w:r>
        <w:rPr>
          <w:rFonts w:ascii="Arial" w:hAnsi="Arial" w:cs="Arial"/>
          <w:iCs/>
          <w:lang w:eastAsia="en-AU"/>
        </w:rPr>
        <w:t>This</w:t>
      </w:r>
      <w:r w:rsidR="0057282C">
        <w:rPr>
          <w:rFonts w:ascii="Arial" w:hAnsi="Arial" w:cs="Arial"/>
          <w:i/>
          <w:lang w:eastAsia="en-AU"/>
        </w:rPr>
        <w:t xml:space="preserve"> Policy</w:t>
      </w:r>
      <w:r w:rsidR="00513380">
        <w:rPr>
          <w:rFonts w:ascii="Arial" w:hAnsi="Arial" w:cs="Arial"/>
          <w:i/>
          <w:lang w:eastAsia="en-AU"/>
        </w:rPr>
        <w:t xml:space="preserve"> </w:t>
      </w:r>
      <w:r w:rsidR="00A97914">
        <w:rPr>
          <w:rFonts w:ascii="Arial" w:hAnsi="Arial" w:cs="Arial"/>
        </w:rPr>
        <w:t xml:space="preserve">guides </w:t>
      </w:r>
      <w:r w:rsidR="00A37720" w:rsidRPr="00B004F1">
        <w:rPr>
          <w:rFonts w:ascii="Arial" w:hAnsi="Arial" w:cs="Arial"/>
          <w:iCs/>
          <w:lang w:eastAsia="en-AU"/>
        </w:rPr>
        <w:t>how Council will</w:t>
      </w:r>
      <w:r w:rsidR="00497643">
        <w:rPr>
          <w:rFonts w:ascii="Arial" w:hAnsi="Arial" w:cs="Arial"/>
          <w:iCs/>
          <w:lang w:eastAsia="en-AU"/>
        </w:rPr>
        <w:t xml:space="preserve"> </w:t>
      </w:r>
      <w:r w:rsidR="002616A7">
        <w:rPr>
          <w:rFonts w:ascii="Arial" w:hAnsi="Arial" w:cs="Arial"/>
          <w:iCs/>
          <w:lang w:eastAsia="en-AU"/>
        </w:rPr>
        <w:t xml:space="preserve">seek to </w:t>
      </w:r>
      <w:r w:rsidR="00A1452D">
        <w:rPr>
          <w:rFonts w:ascii="Arial" w:hAnsi="Arial" w:cs="Arial"/>
          <w:iCs/>
          <w:lang w:eastAsia="en-AU"/>
        </w:rPr>
        <w:t>prevent and minimise the social, health and economic harms caused by gambling</w:t>
      </w:r>
      <w:r w:rsidR="00A37720" w:rsidRPr="00B004F1">
        <w:rPr>
          <w:rFonts w:ascii="Arial" w:hAnsi="Arial" w:cs="Arial"/>
          <w:iCs/>
          <w:lang w:eastAsia="en-AU"/>
        </w:rPr>
        <w:t xml:space="preserve"> </w:t>
      </w:r>
      <w:r w:rsidR="00E927FD">
        <w:rPr>
          <w:rFonts w:ascii="Arial" w:hAnsi="Arial" w:cs="Arial"/>
          <w:iCs/>
          <w:lang w:eastAsia="en-AU"/>
        </w:rPr>
        <w:t xml:space="preserve">through </w:t>
      </w:r>
      <w:r w:rsidR="00CE1DE7">
        <w:rPr>
          <w:rFonts w:ascii="Arial" w:hAnsi="Arial" w:cs="Arial"/>
          <w:iCs/>
          <w:lang w:eastAsia="en-AU"/>
        </w:rPr>
        <w:t xml:space="preserve">robust, evidence-based, </w:t>
      </w:r>
      <w:r w:rsidR="00E927FD">
        <w:rPr>
          <w:rFonts w:ascii="Arial" w:hAnsi="Arial" w:cs="Arial"/>
          <w:iCs/>
          <w:lang w:eastAsia="en-AU"/>
        </w:rPr>
        <w:t>transparent and consistent decision-making</w:t>
      </w:r>
      <w:r w:rsidR="009860C0">
        <w:rPr>
          <w:rFonts w:ascii="Arial" w:hAnsi="Arial" w:cs="Arial"/>
          <w:iCs/>
          <w:lang w:eastAsia="en-AU"/>
        </w:rPr>
        <w:t>.</w:t>
      </w:r>
    </w:p>
    <w:p w14:paraId="06739CCF" w14:textId="781884DA" w:rsidR="00E25BDE" w:rsidRDefault="00F864CC" w:rsidP="00C83C8E">
      <w:pPr>
        <w:jc w:val="both"/>
        <w:rPr>
          <w:rFonts w:ascii="Arial" w:hAnsi="Arial" w:cs="Arial"/>
          <w:iCs/>
          <w:lang w:eastAsia="en-AU"/>
        </w:rPr>
      </w:pPr>
      <w:r>
        <w:rPr>
          <w:rFonts w:ascii="Arial" w:hAnsi="Arial" w:cs="Arial"/>
          <w:iCs/>
          <w:lang w:eastAsia="en-AU"/>
        </w:rPr>
        <w:t>Th</w:t>
      </w:r>
      <w:r w:rsidR="00E719C6">
        <w:rPr>
          <w:rFonts w:ascii="Arial" w:hAnsi="Arial" w:cs="Arial"/>
          <w:iCs/>
          <w:lang w:eastAsia="en-AU"/>
        </w:rPr>
        <w:t>e</w:t>
      </w:r>
      <w:r>
        <w:rPr>
          <w:rFonts w:ascii="Arial" w:hAnsi="Arial" w:cs="Arial"/>
          <w:iCs/>
          <w:lang w:eastAsia="en-AU"/>
        </w:rPr>
        <w:t xml:space="preserve"> Policy</w:t>
      </w:r>
      <w:r w:rsidR="00C83C8E">
        <w:rPr>
          <w:rFonts w:ascii="Arial" w:hAnsi="Arial" w:cs="Arial"/>
          <w:iCs/>
          <w:lang w:eastAsia="en-AU"/>
        </w:rPr>
        <w:t xml:space="preserve"> informs the gambling industry, the community, peak bodies, statutory authorities, Victorian local governments and </w:t>
      </w:r>
      <w:r w:rsidR="00CC604F">
        <w:rPr>
          <w:rFonts w:ascii="Arial" w:hAnsi="Arial" w:cs="Arial"/>
          <w:iCs/>
          <w:lang w:eastAsia="en-AU"/>
        </w:rPr>
        <w:t xml:space="preserve">other relevant </w:t>
      </w:r>
      <w:r w:rsidR="00C83C8E">
        <w:rPr>
          <w:rFonts w:ascii="Arial" w:hAnsi="Arial" w:cs="Arial"/>
          <w:iCs/>
          <w:lang w:eastAsia="en-AU"/>
        </w:rPr>
        <w:t xml:space="preserve">stakeholders of Council’s </w:t>
      </w:r>
      <w:r w:rsidR="00244304">
        <w:rPr>
          <w:rFonts w:ascii="Arial" w:hAnsi="Arial" w:cs="Arial"/>
          <w:iCs/>
          <w:lang w:eastAsia="en-AU"/>
        </w:rPr>
        <w:t>policy position</w:t>
      </w:r>
      <w:r w:rsidR="00322EB1">
        <w:rPr>
          <w:rFonts w:ascii="Arial" w:hAnsi="Arial" w:cs="Arial"/>
          <w:iCs/>
          <w:lang w:eastAsia="en-AU"/>
        </w:rPr>
        <w:t>, priorities</w:t>
      </w:r>
      <w:r w:rsidR="00244304">
        <w:rPr>
          <w:rFonts w:ascii="Arial" w:hAnsi="Arial" w:cs="Arial"/>
          <w:iCs/>
          <w:lang w:eastAsia="en-AU"/>
        </w:rPr>
        <w:t xml:space="preserve"> and</w:t>
      </w:r>
      <w:r w:rsidR="00535578">
        <w:rPr>
          <w:rFonts w:ascii="Arial" w:hAnsi="Arial" w:cs="Arial"/>
          <w:iCs/>
          <w:lang w:eastAsia="en-AU"/>
        </w:rPr>
        <w:t xml:space="preserve"> strategic objectives</w:t>
      </w:r>
      <w:r w:rsidR="00E91673">
        <w:rPr>
          <w:rFonts w:ascii="Arial" w:hAnsi="Arial" w:cs="Arial"/>
          <w:iCs/>
          <w:lang w:eastAsia="en-AU"/>
        </w:rPr>
        <w:t xml:space="preserve"> in relation to </w:t>
      </w:r>
      <w:r w:rsidR="00E25BDE">
        <w:rPr>
          <w:rFonts w:ascii="Arial" w:hAnsi="Arial" w:cs="Arial"/>
          <w:iCs/>
          <w:lang w:eastAsia="en-AU"/>
        </w:rPr>
        <w:t>preventing and minimising gambling harm</w:t>
      </w:r>
      <w:r w:rsidR="009860C0">
        <w:rPr>
          <w:rFonts w:ascii="Arial" w:hAnsi="Arial" w:cs="Arial"/>
          <w:iCs/>
          <w:lang w:eastAsia="en-AU"/>
        </w:rPr>
        <w:t>.</w:t>
      </w:r>
    </w:p>
    <w:p w14:paraId="467B15F3" w14:textId="77777777" w:rsidR="00FE572A" w:rsidRDefault="00FE572A" w:rsidP="00FE572A">
      <w:pPr>
        <w:pStyle w:val="Heading1"/>
        <w:rPr>
          <w:rFonts w:cs="Arial"/>
          <w:lang w:val="en-US"/>
        </w:rPr>
      </w:pPr>
      <w:r w:rsidRPr="003770CE">
        <w:rPr>
          <w:rFonts w:cs="Arial"/>
          <w:lang w:val="en-US"/>
        </w:rPr>
        <w:t>Background / Context</w:t>
      </w:r>
    </w:p>
    <w:p w14:paraId="491CD26C" w14:textId="63A6AE79" w:rsidR="00132116" w:rsidRDefault="005F3269" w:rsidP="00A91E14">
      <w:pPr>
        <w:jc w:val="both"/>
        <w:rPr>
          <w:rFonts w:ascii="Arial" w:hAnsi="Arial" w:cs="Arial"/>
        </w:rPr>
      </w:pPr>
      <w:r w:rsidRPr="00A91E14">
        <w:rPr>
          <w:rFonts w:ascii="Arial" w:eastAsia="Segoe UI" w:hAnsi="Arial" w:cs="Arial"/>
          <w:color w:val="242424"/>
        </w:rPr>
        <w:t xml:space="preserve">Australia has the highest </w:t>
      </w:r>
      <w:r w:rsidR="00BA39CB">
        <w:rPr>
          <w:rFonts w:ascii="Arial" w:eastAsia="Segoe UI" w:hAnsi="Arial" w:cs="Arial"/>
          <w:color w:val="242424"/>
        </w:rPr>
        <w:t xml:space="preserve">gambling </w:t>
      </w:r>
      <w:r w:rsidRPr="00A91E14">
        <w:rPr>
          <w:rFonts w:ascii="Arial" w:eastAsia="Segoe UI" w:hAnsi="Arial" w:cs="Arial"/>
          <w:color w:val="242424"/>
        </w:rPr>
        <w:t xml:space="preserve">losses per capita of any country in the </w:t>
      </w:r>
      <w:r w:rsidR="007E3AE4" w:rsidRPr="00A91E14">
        <w:rPr>
          <w:rFonts w:ascii="Arial" w:eastAsia="Segoe UI" w:hAnsi="Arial" w:cs="Arial"/>
          <w:color w:val="242424"/>
        </w:rPr>
        <w:t>world</w:t>
      </w:r>
      <w:r w:rsidR="007E3AE4">
        <w:rPr>
          <w:rFonts w:ascii="Arial" w:eastAsia="Segoe UI" w:hAnsi="Arial" w:cs="Arial"/>
          <w:color w:val="242424"/>
        </w:rPr>
        <w:t>. In</w:t>
      </w:r>
      <w:r w:rsidR="00132116" w:rsidRPr="4CD967B0">
        <w:rPr>
          <w:rFonts w:ascii="Arial" w:hAnsi="Arial" w:cs="Arial"/>
        </w:rPr>
        <w:t xml:space="preserve"> the 2024-2025, the City of Maroondah had a higher density of E</w:t>
      </w:r>
      <w:r w:rsidR="00132116">
        <w:rPr>
          <w:rFonts w:ascii="Arial" w:hAnsi="Arial" w:cs="Arial"/>
        </w:rPr>
        <w:t>lectronic Gaming Machines (EGMs) and greater average</w:t>
      </w:r>
      <w:r w:rsidR="00132116" w:rsidRPr="4CD967B0">
        <w:rPr>
          <w:rFonts w:ascii="Arial" w:hAnsi="Arial" w:cs="Arial"/>
        </w:rPr>
        <w:t xml:space="preserve"> player loss per</w:t>
      </w:r>
      <w:r w:rsidR="00132116">
        <w:rPr>
          <w:rFonts w:ascii="Arial" w:hAnsi="Arial" w:cs="Arial"/>
        </w:rPr>
        <w:t xml:space="preserve"> 1000 people than t</w:t>
      </w:r>
      <w:r w:rsidR="00132116" w:rsidRPr="4CD967B0">
        <w:rPr>
          <w:rFonts w:ascii="Arial" w:hAnsi="Arial" w:cs="Arial"/>
        </w:rPr>
        <w:t xml:space="preserve">he average for metropolitan </w:t>
      </w:r>
      <w:r w:rsidR="00A806DD">
        <w:rPr>
          <w:rFonts w:ascii="Arial" w:hAnsi="Arial" w:cs="Arial"/>
        </w:rPr>
        <w:t>c</w:t>
      </w:r>
      <w:r w:rsidR="007E3AE4">
        <w:rPr>
          <w:rFonts w:ascii="Arial" w:hAnsi="Arial" w:cs="Arial"/>
        </w:rPr>
        <w:t>ouncil</w:t>
      </w:r>
      <w:r w:rsidR="00A806DD">
        <w:rPr>
          <w:rFonts w:ascii="Arial" w:hAnsi="Arial" w:cs="Arial"/>
        </w:rPr>
        <w:t>s</w:t>
      </w:r>
      <w:r w:rsidR="007E3AE4">
        <w:rPr>
          <w:rFonts w:ascii="Arial" w:hAnsi="Arial" w:cs="Arial"/>
        </w:rPr>
        <w:t xml:space="preserve"> in </w:t>
      </w:r>
      <w:r w:rsidR="00132116" w:rsidRPr="4CD967B0">
        <w:rPr>
          <w:rFonts w:ascii="Arial" w:hAnsi="Arial" w:cs="Arial"/>
        </w:rPr>
        <w:t>Victorian</w:t>
      </w:r>
      <w:r w:rsidR="00132116">
        <w:rPr>
          <w:rFonts w:ascii="Arial" w:hAnsi="Arial" w:cs="Arial"/>
        </w:rPr>
        <w:t xml:space="preserve">. </w:t>
      </w:r>
      <w:r w:rsidR="007E3AE4" w:rsidRPr="4CD967B0">
        <w:rPr>
          <w:rFonts w:ascii="Arial" w:hAnsi="Arial" w:cs="Arial"/>
        </w:rPr>
        <w:t>Loss to EGMs in the municipality in the 2024-25 Financial Year was $64.2 million</w:t>
      </w:r>
      <w:r w:rsidR="009450F1">
        <w:rPr>
          <w:rFonts w:ascii="Arial" w:hAnsi="Arial" w:cs="Arial"/>
        </w:rPr>
        <w:t>.</w:t>
      </w:r>
      <w:r w:rsidR="007E3AE4" w:rsidRPr="4CD967B0">
        <w:rPr>
          <w:rFonts w:ascii="Arial" w:hAnsi="Arial" w:cs="Arial"/>
        </w:rPr>
        <w:t xml:space="preserve"> </w:t>
      </w:r>
    </w:p>
    <w:p w14:paraId="6C9ECE8C" w14:textId="25AF9087" w:rsidR="00740116" w:rsidRDefault="00132116" w:rsidP="00591134">
      <w:pPr>
        <w:jc w:val="both"/>
        <w:rPr>
          <w:rFonts w:ascii="Arial" w:hAnsi="Arial" w:cs="Arial"/>
        </w:rPr>
      </w:pPr>
      <w:r>
        <w:rPr>
          <w:rFonts w:ascii="Arial" w:hAnsi="Arial" w:cs="Arial"/>
          <w:iCs/>
          <w:lang w:val="en-US"/>
        </w:rPr>
        <w:t xml:space="preserve">Most people gamble in venues </w:t>
      </w:r>
      <w:r w:rsidRPr="00F4392C">
        <w:rPr>
          <w:rFonts w:ascii="Arial" w:hAnsi="Arial" w:cs="Arial"/>
          <w:iCs/>
          <w:lang w:val="en-US"/>
        </w:rPr>
        <w:t>such as hotels, clubs and casinos</w:t>
      </w:r>
      <w:r>
        <w:rPr>
          <w:rFonts w:ascii="Arial" w:hAnsi="Arial" w:cs="Arial"/>
          <w:iCs/>
          <w:lang w:val="en-US"/>
        </w:rPr>
        <w:t xml:space="preserve">, and the resulting harm </w:t>
      </w:r>
      <w:r>
        <w:rPr>
          <w:rFonts w:ascii="Arial" w:hAnsi="Arial" w:cs="Arial"/>
        </w:rPr>
        <w:t xml:space="preserve">disproportionately affects males, young people, First Nations people, culturally diverse communities, people with low educational attainment, high socioeconomic disadvantage, and people participating in a greater number of </w:t>
      </w:r>
      <w:r w:rsidR="00EC00FF">
        <w:rPr>
          <w:rFonts w:ascii="Arial" w:hAnsi="Arial" w:cs="Arial"/>
        </w:rPr>
        <w:t>gambling activities.</w:t>
      </w:r>
    </w:p>
    <w:p w14:paraId="2BBE063A" w14:textId="4A55FD7E" w:rsidR="00E719C6" w:rsidRPr="00E719C6" w:rsidRDefault="00E719C6" w:rsidP="00BB39CA">
      <w:pPr>
        <w:spacing w:after="120" w:line="240" w:lineRule="auto"/>
        <w:jc w:val="both"/>
      </w:pPr>
      <w:r>
        <w:rPr>
          <w:rFonts w:ascii="Arial" w:hAnsi="Arial" w:cs="Arial"/>
        </w:rPr>
        <w:t xml:space="preserve">More information can be found in the </w:t>
      </w:r>
      <w:r>
        <w:rPr>
          <w:rFonts w:ascii="Arial" w:hAnsi="Arial" w:cs="Arial"/>
          <w:i/>
          <w:iCs/>
        </w:rPr>
        <w:t xml:space="preserve">Maroondah Gambling Harm Prevention and Minimisation Policy 2026 Background Report. </w:t>
      </w:r>
    </w:p>
    <w:p w14:paraId="338452DD" w14:textId="77777777" w:rsidR="00740116" w:rsidRPr="00F53A0B" w:rsidRDefault="00740116" w:rsidP="00FE572A">
      <w:pPr>
        <w:pStyle w:val="Heading1"/>
        <w:rPr>
          <w:rFonts w:cs="Arial"/>
          <w:lang w:val="en-US"/>
        </w:rPr>
      </w:pPr>
      <w:r w:rsidRPr="00F53A0B">
        <w:rPr>
          <w:rFonts w:cs="Arial"/>
          <w:lang w:val="en-US"/>
        </w:rPr>
        <w:t>Scope</w:t>
      </w:r>
    </w:p>
    <w:p w14:paraId="2809B66E" w14:textId="1C3E5EAB" w:rsidR="00EB77F5" w:rsidRPr="00156FE3" w:rsidRDefault="00EB77F5" w:rsidP="00EB77F5">
      <w:pPr>
        <w:rPr>
          <w:rFonts w:ascii="Arial" w:hAnsi="Arial" w:cs="Arial"/>
          <w:lang w:val="en-US"/>
        </w:rPr>
      </w:pPr>
      <w:r w:rsidRPr="00BA6800">
        <w:rPr>
          <w:rFonts w:ascii="Arial" w:hAnsi="Arial" w:cs="Arial"/>
          <w:lang w:val="en-US"/>
        </w:rPr>
        <w:t xml:space="preserve">This Policy covers all forms of gambling with the potential to cause </w:t>
      </w:r>
      <w:r w:rsidRPr="00156FE3">
        <w:rPr>
          <w:rFonts w:ascii="Arial" w:hAnsi="Arial" w:cs="Arial"/>
          <w:lang w:val="en-US"/>
        </w:rPr>
        <w:t>harm to the community and applies to:</w:t>
      </w:r>
    </w:p>
    <w:p w14:paraId="17A8577B" w14:textId="77777777" w:rsidR="00EB77F5" w:rsidRPr="00156FE3" w:rsidRDefault="00EB77F5" w:rsidP="00EB77F5">
      <w:pPr>
        <w:pStyle w:val="ListParagraph"/>
        <w:numPr>
          <w:ilvl w:val="0"/>
          <w:numId w:val="20"/>
        </w:numPr>
        <w:spacing w:after="120" w:line="240" w:lineRule="auto"/>
        <w:contextualSpacing w:val="0"/>
        <w:jc w:val="both"/>
        <w:rPr>
          <w:rFonts w:ascii="Arial" w:hAnsi="Arial" w:cs="Arial"/>
          <w:lang w:val="en-US"/>
        </w:rPr>
      </w:pPr>
      <w:r w:rsidRPr="00156FE3">
        <w:rPr>
          <w:rFonts w:ascii="Arial" w:hAnsi="Arial" w:cs="Arial"/>
          <w:lang w:val="en-US"/>
        </w:rPr>
        <w:t>Electronic Gaming Machines (EGMs</w:t>
      </w:r>
      <w:proofErr w:type="gramStart"/>
      <w:r w:rsidRPr="00156FE3">
        <w:rPr>
          <w:rFonts w:ascii="Arial" w:hAnsi="Arial" w:cs="Arial"/>
          <w:lang w:val="en-US"/>
        </w:rPr>
        <w:t>);</w:t>
      </w:r>
      <w:proofErr w:type="gramEnd"/>
    </w:p>
    <w:p w14:paraId="3030C208" w14:textId="77777777" w:rsidR="00EB77F5" w:rsidRPr="00156FE3" w:rsidRDefault="00EB77F5" w:rsidP="00EB77F5">
      <w:pPr>
        <w:pStyle w:val="ListParagraph"/>
        <w:numPr>
          <w:ilvl w:val="0"/>
          <w:numId w:val="20"/>
        </w:numPr>
        <w:spacing w:after="120" w:line="240" w:lineRule="auto"/>
        <w:contextualSpacing w:val="0"/>
        <w:jc w:val="both"/>
        <w:rPr>
          <w:rFonts w:ascii="Arial" w:hAnsi="Arial" w:cs="Arial"/>
          <w:lang w:val="en-US"/>
        </w:rPr>
      </w:pPr>
      <w:r w:rsidRPr="00156FE3">
        <w:rPr>
          <w:rFonts w:ascii="Arial" w:hAnsi="Arial" w:cs="Arial"/>
          <w:lang w:val="en-US"/>
        </w:rPr>
        <w:t xml:space="preserve">Online </w:t>
      </w:r>
      <w:proofErr w:type="gramStart"/>
      <w:r w:rsidRPr="00156FE3">
        <w:rPr>
          <w:rFonts w:ascii="Arial" w:hAnsi="Arial" w:cs="Arial"/>
          <w:lang w:val="en-US"/>
        </w:rPr>
        <w:t>gambling;</w:t>
      </w:r>
      <w:proofErr w:type="gramEnd"/>
    </w:p>
    <w:p w14:paraId="59907729" w14:textId="77777777" w:rsidR="00EB77F5" w:rsidRPr="00156FE3" w:rsidRDefault="00EB77F5" w:rsidP="00EB77F5">
      <w:pPr>
        <w:pStyle w:val="ListParagraph"/>
        <w:numPr>
          <w:ilvl w:val="0"/>
          <w:numId w:val="20"/>
        </w:numPr>
        <w:spacing w:after="120" w:line="240" w:lineRule="auto"/>
        <w:contextualSpacing w:val="0"/>
        <w:jc w:val="both"/>
        <w:rPr>
          <w:rFonts w:ascii="Arial" w:hAnsi="Arial" w:cs="Arial"/>
          <w:lang w:val="en-US"/>
        </w:rPr>
      </w:pPr>
      <w:r w:rsidRPr="00156FE3">
        <w:rPr>
          <w:rFonts w:ascii="Arial" w:hAnsi="Arial" w:cs="Arial"/>
          <w:lang w:val="en-US"/>
        </w:rPr>
        <w:t xml:space="preserve">Sports </w:t>
      </w:r>
      <w:proofErr w:type="gramStart"/>
      <w:r w:rsidRPr="00156FE3">
        <w:rPr>
          <w:rFonts w:ascii="Arial" w:hAnsi="Arial" w:cs="Arial"/>
          <w:lang w:val="en-US"/>
        </w:rPr>
        <w:t>betting;</w:t>
      </w:r>
      <w:proofErr w:type="gramEnd"/>
    </w:p>
    <w:p w14:paraId="163839F6" w14:textId="77777777" w:rsidR="00EB77F5" w:rsidRPr="00156FE3" w:rsidRDefault="00EB77F5" w:rsidP="00EB77F5">
      <w:pPr>
        <w:pStyle w:val="ListParagraph"/>
        <w:numPr>
          <w:ilvl w:val="0"/>
          <w:numId w:val="20"/>
        </w:numPr>
        <w:spacing w:after="120" w:line="240" w:lineRule="auto"/>
        <w:contextualSpacing w:val="0"/>
        <w:jc w:val="both"/>
        <w:rPr>
          <w:rFonts w:ascii="Arial" w:hAnsi="Arial" w:cs="Arial"/>
          <w:lang w:val="en-US"/>
        </w:rPr>
      </w:pPr>
      <w:proofErr w:type="gramStart"/>
      <w:r w:rsidRPr="00156FE3">
        <w:rPr>
          <w:rFonts w:ascii="Arial" w:hAnsi="Arial" w:cs="Arial"/>
          <w:lang w:val="en-US"/>
        </w:rPr>
        <w:t>Keno;</w:t>
      </w:r>
      <w:proofErr w:type="gramEnd"/>
    </w:p>
    <w:p w14:paraId="06145296" w14:textId="77777777" w:rsidR="00EB77F5" w:rsidRPr="00156FE3" w:rsidRDefault="00EB77F5" w:rsidP="00EB77F5">
      <w:pPr>
        <w:pStyle w:val="ListParagraph"/>
        <w:numPr>
          <w:ilvl w:val="0"/>
          <w:numId w:val="20"/>
        </w:numPr>
        <w:spacing w:after="120" w:line="240" w:lineRule="auto"/>
        <w:contextualSpacing w:val="0"/>
        <w:jc w:val="both"/>
        <w:rPr>
          <w:rFonts w:ascii="Arial" w:hAnsi="Arial" w:cs="Arial"/>
          <w:lang w:val="en-US"/>
        </w:rPr>
      </w:pPr>
      <w:r w:rsidRPr="00156FE3">
        <w:rPr>
          <w:rFonts w:ascii="Arial" w:hAnsi="Arial" w:cs="Arial"/>
          <w:lang w:val="en-US"/>
        </w:rPr>
        <w:t xml:space="preserve">Commercial </w:t>
      </w:r>
      <w:proofErr w:type="gramStart"/>
      <w:r w:rsidRPr="00156FE3">
        <w:rPr>
          <w:rFonts w:ascii="Arial" w:hAnsi="Arial" w:cs="Arial"/>
          <w:lang w:val="en-US"/>
        </w:rPr>
        <w:t>bingo;</w:t>
      </w:r>
      <w:proofErr w:type="gramEnd"/>
    </w:p>
    <w:p w14:paraId="54B0EB27" w14:textId="77777777" w:rsidR="00EB77F5" w:rsidRPr="00156FE3" w:rsidRDefault="00EB77F5" w:rsidP="00EB77F5">
      <w:pPr>
        <w:pStyle w:val="ListParagraph"/>
        <w:numPr>
          <w:ilvl w:val="0"/>
          <w:numId w:val="20"/>
        </w:numPr>
        <w:spacing w:after="120" w:line="240" w:lineRule="auto"/>
        <w:contextualSpacing w:val="0"/>
        <w:jc w:val="both"/>
        <w:rPr>
          <w:rFonts w:ascii="Arial" w:hAnsi="Arial" w:cs="Arial"/>
          <w:lang w:val="en-US"/>
        </w:rPr>
      </w:pPr>
      <w:r w:rsidRPr="00156FE3">
        <w:rPr>
          <w:rFonts w:ascii="Arial" w:hAnsi="Arial" w:cs="Arial"/>
          <w:lang w:val="en-US"/>
        </w:rPr>
        <w:lastRenderedPageBreak/>
        <w:t>Casino games; and</w:t>
      </w:r>
    </w:p>
    <w:p w14:paraId="223A2CE2" w14:textId="77777777" w:rsidR="00EB77F5" w:rsidRPr="00156FE3" w:rsidRDefault="00EB77F5" w:rsidP="00EB77F5">
      <w:pPr>
        <w:pStyle w:val="ListParagraph"/>
        <w:numPr>
          <w:ilvl w:val="0"/>
          <w:numId w:val="20"/>
        </w:numPr>
        <w:spacing w:after="120" w:line="240" w:lineRule="auto"/>
        <w:contextualSpacing w:val="0"/>
        <w:jc w:val="both"/>
        <w:rPr>
          <w:rFonts w:ascii="Arial" w:hAnsi="Arial" w:cs="Arial"/>
          <w:lang w:val="en-US"/>
        </w:rPr>
      </w:pPr>
      <w:r w:rsidRPr="00156FE3">
        <w:rPr>
          <w:rFonts w:ascii="Arial" w:hAnsi="Arial" w:cs="Arial"/>
          <w:lang w:val="en-US"/>
        </w:rPr>
        <w:t>Horse/dog race wagering.</w:t>
      </w:r>
    </w:p>
    <w:p w14:paraId="2CD89B4A" w14:textId="49A4714E" w:rsidR="00EB77F5" w:rsidRPr="00DD5175" w:rsidRDefault="00EB77F5" w:rsidP="00EB77F5">
      <w:pPr>
        <w:rPr>
          <w:lang w:val="en-US"/>
        </w:rPr>
      </w:pPr>
      <w:r w:rsidRPr="00156FE3">
        <w:rPr>
          <w:rFonts w:ascii="Arial" w:hAnsi="Arial" w:cs="Arial"/>
          <w:lang w:val="en-US"/>
        </w:rPr>
        <w:t xml:space="preserve">The policy is of </w:t>
      </w:r>
      <w:proofErr w:type="gramStart"/>
      <w:r w:rsidRPr="00156FE3">
        <w:rPr>
          <w:rFonts w:ascii="Arial" w:hAnsi="Arial" w:cs="Arial"/>
          <w:lang w:val="en-US"/>
        </w:rPr>
        <w:t>particular relevance</w:t>
      </w:r>
      <w:proofErr w:type="gramEnd"/>
      <w:r w:rsidRPr="00156FE3">
        <w:rPr>
          <w:rFonts w:ascii="Arial" w:hAnsi="Arial" w:cs="Arial"/>
          <w:lang w:val="en-US"/>
        </w:rPr>
        <w:t xml:space="preserve"> to EGMs as this is the form of gambling </w:t>
      </w:r>
      <w:r w:rsidR="0042314D" w:rsidRPr="00156FE3">
        <w:rPr>
          <w:rFonts w:ascii="Arial" w:hAnsi="Arial" w:cs="Arial"/>
          <w:lang w:val="en-US"/>
        </w:rPr>
        <w:t xml:space="preserve">over </w:t>
      </w:r>
      <w:r w:rsidR="00594110">
        <w:rPr>
          <w:rFonts w:ascii="Arial" w:hAnsi="Arial" w:cs="Arial"/>
          <w:lang w:val="en-US"/>
        </w:rPr>
        <w:t xml:space="preserve">which </w:t>
      </w:r>
      <w:r w:rsidR="0042314D" w:rsidRPr="00156FE3">
        <w:rPr>
          <w:rFonts w:ascii="Arial" w:hAnsi="Arial" w:cs="Arial"/>
          <w:lang w:val="en-US"/>
        </w:rPr>
        <w:t>Council has direct influence through its statutory role in planning and decision-making processes</w:t>
      </w:r>
      <w:r w:rsidR="00977A18">
        <w:rPr>
          <w:rFonts w:ascii="Arial" w:hAnsi="Arial" w:cs="Arial"/>
          <w:lang w:val="en-US"/>
        </w:rPr>
        <w:t>.</w:t>
      </w:r>
    </w:p>
    <w:p w14:paraId="0076B246" w14:textId="1BB38451" w:rsidR="00740116" w:rsidRPr="00834EFF" w:rsidRDefault="00740116" w:rsidP="0082221E">
      <w:pPr>
        <w:jc w:val="both"/>
        <w:rPr>
          <w:rFonts w:ascii="Arial" w:hAnsi="Arial" w:cs="Arial"/>
          <w:iCs/>
        </w:rPr>
      </w:pPr>
      <w:r>
        <w:rPr>
          <w:rFonts w:ascii="Arial" w:hAnsi="Arial" w:cs="Arial"/>
          <w:iCs/>
        </w:rPr>
        <w:t xml:space="preserve">This Policy supports but does not replace specific roles and responsibilities defined by the </w:t>
      </w:r>
      <w:r>
        <w:rPr>
          <w:rFonts w:ascii="Arial" w:hAnsi="Arial" w:cs="Arial"/>
          <w:i/>
        </w:rPr>
        <w:t xml:space="preserve">Planning and Environment Act 1987 </w:t>
      </w:r>
      <w:r>
        <w:rPr>
          <w:rFonts w:ascii="Arial" w:hAnsi="Arial" w:cs="Arial"/>
          <w:iCs/>
        </w:rPr>
        <w:t xml:space="preserve">or the </w:t>
      </w:r>
      <w:r>
        <w:rPr>
          <w:rFonts w:ascii="Arial" w:hAnsi="Arial" w:cs="Arial"/>
          <w:i/>
        </w:rPr>
        <w:t>Gambling Regulation Act 2003.</w:t>
      </w:r>
    </w:p>
    <w:p w14:paraId="16309BA5" w14:textId="77777777" w:rsidR="00740116" w:rsidRPr="00F53A0B" w:rsidRDefault="00740116" w:rsidP="00FE572A">
      <w:pPr>
        <w:pStyle w:val="Heading1"/>
        <w:rPr>
          <w:rFonts w:cs="Arial"/>
          <w:lang w:val="en-US"/>
        </w:rPr>
      </w:pPr>
      <w:r w:rsidRPr="00F53A0B">
        <w:rPr>
          <w:rFonts w:cs="Arial"/>
          <w:lang w:val="en-US"/>
        </w:rPr>
        <w:t>Objectives</w:t>
      </w:r>
    </w:p>
    <w:p w14:paraId="676B2F91" w14:textId="636829C1" w:rsidR="004F2E28" w:rsidRDefault="00740116" w:rsidP="00885538">
      <w:pPr>
        <w:jc w:val="both"/>
        <w:rPr>
          <w:rFonts w:ascii="Arial" w:hAnsi="Arial" w:cs="Arial"/>
          <w:iCs/>
        </w:rPr>
      </w:pPr>
      <w:r>
        <w:rPr>
          <w:rFonts w:ascii="Arial" w:hAnsi="Arial" w:cs="Arial"/>
          <w:iCs/>
          <w:szCs w:val="24"/>
          <w:lang w:eastAsia="en-AU"/>
        </w:rPr>
        <w:t xml:space="preserve">This Policy seeks to achieve the following objectives </w:t>
      </w:r>
      <w:r>
        <w:rPr>
          <w:rFonts w:ascii="Arial" w:hAnsi="Arial" w:cs="Arial"/>
          <w:iCs/>
        </w:rPr>
        <w:t xml:space="preserve">which </w:t>
      </w:r>
      <w:r w:rsidRPr="00732E88">
        <w:rPr>
          <w:rFonts w:ascii="Arial" w:hAnsi="Arial" w:cs="Arial"/>
          <w:iCs/>
        </w:rPr>
        <w:t xml:space="preserve">are </w:t>
      </w:r>
      <w:r w:rsidRPr="00DA502E">
        <w:rPr>
          <w:rFonts w:ascii="Arial" w:hAnsi="Arial" w:cs="Arial"/>
          <w:iCs/>
        </w:rPr>
        <w:t>developed in the context of, and aligned with, relevant adopted Maroondah City Council strategies, plans and research</w:t>
      </w:r>
      <w:r w:rsidR="004B255C">
        <w:rPr>
          <w:rFonts w:ascii="Arial" w:hAnsi="Arial" w:cs="Arial"/>
          <w:iCs/>
        </w:rPr>
        <w:t>.</w:t>
      </w:r>
    </w:p>
    <w:p w14:paraId="0785C7DD" w14:textId="5A88BF46" w:rsidR="00740116" w:rsidRDefault="00295D5F" w:rsidP="00885538">
      <w:pPr>
        <w:jc w:val="both"/>
        <w:rPr>
          <w:rFonts w:ascii="Arial" w:hAnsi="Arial" w:cs="Arial"/>
          <w:iCs/>
          <w:szCs w:val="24"/>
          <w:lang w:eastAsia="en-AU"/>
        </w:rPr>
      </w:pPr>
      <w:r>
        <w:rPr>
          <w:rFonts w:ascii="Arial" w:hAnsi="Arial" w:cs="Arial"/>
          <w:iCs/>
        </w:rPr>
        <w:t>Council will w</w:t>
      </w:r>
      <w:r w:rsidR="004F2E28">
        <w:rPr>
          <w:rFonts w:ascii="Arial" w:hAnsi="Arial" w:cs="Arial"/>
          <w:iCs/>
        </w:rPr>
        <w:t xml:space="preserve">ork in partnership </w:t>
      </w:r>
      <w:r w:rsidR="004B255C">
        <w:rPr>
          <w:rFonts w:ascii="Arial" w:hAnsi="Arial" w:cs="Arial"/>
          <w:iCs/>
        </w:rPr>
        <w:t xml:space="preserve">with relevant stakeholders </w:t>
      </w:r>
      <w:r w:rsidR="004F2E28">
        <w:rPr>
          <w:rFonts w:ascii="Arial" w:hAnsi="Arial" w:cs="Arial"/>
          <w:iCs/>
        </w:rPr>
        <w:t>to</w:t>
      </w:r>
      <w:r w:rsidR="004B255C">
        <w:rPr>
          <w:rFonts w:ascii="Arial" w:hAnsi="Arial" w:cs="Arial"/>
          <w:iCs/>
        </w:rPr>
        <w:t>:</w:t>
      </w:r>
    </w:p>
    <w:p w14:paraId="6933A55C" w14:textId="4B1ECAD4" w:rsidR="006901C1" w:rsidRDefault="006901C1" w:rsidP="00CD2DC7">
      <w:pPr>
        <w:pStyle w:val="ListParagraph"/>
        <w:numPr>
          <w:ilvl w:val="0"/>
          <w:numId w:val="1"/>
        </w:numPr>
        <w:spacing w:after="120"/>
        <w:ind w:left="714" w:hanging="357"/>
        <w:contextualSpacing w:val="0"/>
        <w:rPr>
          <w:rFonts w:ascii="Arial" w:hAnsi="Arial" w:cs="Arial"/>
          <w:iCs/>
          <w:szCs w:val="24"/>
          <w:lang w:eastAsia="en-AU"/>
        </w:rPr>
      </w:pPr>
      <w:r>
        <w:rPr>
          <w:rFonts w:ascii="Arial" w:hAnsi="Arial" w:cs="Arial"/>
          <w:iCs/>
          <w:szCs w:val="24"/>
          <w:lang w:eastAsia="en-AU"/>
        </w:rPr>
        <w:t>A</w:t>
      </w:r>
      <w:r w:rsidR="00EA5C10">
        <w:rPr>
          <w:rFonts w:ascii="Arial" w:hAnsi="Arial" w:cs="Arial"/>
          <w:iCs/>
          <w:szCs w:val="24"/>
          <w:lang w:eastAsia="en-AU"/>
        </w:rPr>
        <w:t>dvocate for the adoption of measures to minimise the harmful impacts of gambling</w:t>
      </w:r>
      <w:r w:rsidR="004B255C">
        <w:rPr>
          <w:rFonts w:ascii="Arial" w:hAnsi="Arial" w:cs="Arial"/>
          <w:iCs/>
          <w:szCs w:val="24"/>
          <w:lang w:eastAsia="en-AU"/>
        </w:rPr>
        <w:t>.</w:t>
      </w:r>
      <w:r w:rsidR="000B4396">
        <w:rPr>
          <w:rFonts w:ascii="Arial" w:hAnsi="Arial" w:cs="Arial"/>
          <w:iCs/>
          <w:szCs w:val="24"/>
          <w:lang w:eastAsia="en-AU"/>
        </w:rPr>
        <w:t xml:space="preserve"> </w:t>
      </w:r>
    </w:p>
    <w:p w14:paraId="3AD458BB" w14:textId="64BA2481" w:rsidR="00740116" w:rsidRDefault="006901C1" w:rsidP="00CD2DC7">
      <w:pPr>
        <w:pStyle w:val="ListParagraph"/>
        <w:numPr>
          <w:ilvl w:val="0"/>
          <w:numId w:val="1"/>
        </w:numPr>
        <w:spacing w:after="120"/>
        <w:ind w:left="714" w:hanging="357"/>
        <w:contextualSpacing w:val="0"/>
        <w:rPr>
          <w:rFonts w:ascii="Arial" w:hAnsi="Arial" w:cs="Arial"/>
          <w:iCs/>
          <w:szCs w:val="24"/>
          <w:lang w:eastAsia="en-AU"/>
        </w:rPr>
      </w:pPr>
      <w:r>
        <w:rPr>
          <w:rFonts w:ascii="Arial" w:hAnsi="Arial" w:cs="Arial"/>
          <w:iCs/>
          <w:szCs w:val="24"/>
          <w:lang w:eastAsia="en-AU"/>
        </w:rPr>
        <w:t>S</w:t>
      </w:r>
      <w:r w:rsidR="00740116">
        <w:rPr>
          <w:rFonts w:ascii="Arial" w:hAnsi="Arial" w:cs="Arial"/>
          <w:iCs/>
          <w:szCs w:val="24"/>
          <w:lang w:eastAsia="en-AU"/>
        </w:rPr>
        <w:t xml:space="preserve">upport </w:t>
      </w:r>
      <w:r w:rsidR="00044C24">
        <w:rPr>
          <w:rFonts w:ascii="Arial" w:hAnsi="Arial" w:cs="Arial"/>
          <w:iCs/>
          <w:szCs w:val="24"/>
          <w:lang w:eastAsia="en-AU"/>
        </w:rPr>
        <w:t>services t</w:t>
      </w:r>
      <w:r w:rsidR="004D7CE8">
        <w:rPr>
          <w:rFonts w:ascii="Arial" w:hAnsi="Arial" w:cs="Arial"/>
          <w:iCs/>
          <w:szCs w:val="24"/>
          <w:lang w:eastAsia="en-AU"/>
        </w:rPr>
        <w:t xml:space="preserve">hat </w:t>
      </w:r>
      <w:r w:rsidR="006875BF">
        <w:rPr>
          <w:rFonts w:ascii="Arial" w:hAnsi="Arial" w:cs="Arial"/>
          <w:iCs/>
          <w:szCs w:val="24"/>
          <w:lang w:eastAsia="en-AU"/>
        </w:rPr>
        <w:t xml:space="preserve">assist </w:t>
      </w:r>
      <w:r w:rsidR="00740116">
        <w:rPr>
          <w:rFonts w:ascii="Arial" w:hAnsi="Arial" w:cs="Arial"/>
          <w:iCs/>
          <w:szCs w:val="24"/>
          <w:lang w:eastAsia="en-AU"/>
        </w:rPr>
        <w:t>those directly and indirectly affected by gambling harm.</w:t>
      </w:r>
    </w:p>
    <w:p w14:paraId="1963FB75" w14:textId="02426F7A" w:rsidR="00740116" w:rsidRPr="00BA6800" w:rsidRDefault="006901C1" w:rsidP="009E57BC">
      <w:pPr>
        <w:pStyle w:val="ListParagraph"/>
        <w:numPr>
          <w:ilvl w:val="0"/>
          <w:numId w:val="1"/>
        </w:numPr>
        <w:spacing w:after="120"/>
        <w:ind w:left="714" w:hanging="357"/>
        <w:contextualSpacing w:val="0"/>
        <w:rPr>
          <w:rFonts w:ascii="Arial" w:hAnsi="Arial" w:cs="Arial"/>
          <w:iCs/>
          <w:szCs w:val="24"/>
          <w:lang w:eastAsia="en-AU"/>
        </w:rPr>
      </w:pPr>
      <w:r w:rsidRPr="00BA6800">
        <w:rPr>
          <w:rFonts w:ascii="Arial" w:hAnsi="Arial" w:cs="Arial"/>
          <w:iCs/>
          <w:szCs w:val="24"/>
          <w:lang w:eastAsia="en-AU"/>
        </w:rPr>
        <w:t>E</w:t>
      </w:r>
      <w:r w:rsidR="00D0619A" w:rsidRPr="00BA6800">
        <w:rPr>
          <w:rFonts w:ascii="Arial" w:hAnsi="Arial" w:cs="Arial"/>
          <w:iCs/>
          <w:szCs w:val="24"/>
          <w:lang w:eastAsia="en-AU"/>
        </w:rPr>
        <w:t xml:space="preserve">nhance </w:t>
      </w:r>
      <w:r w:rsidR="00740116" w:rsidRPr="00BA6800">
        <w:rPr>
          <w:rFonts w:ascii="Arial" w:hAnsi="Arial" w:cs="Arial"/>
          <w:iCs/>
          <w:szCs w:val="24"/>
          <w:lang w:eastAsia="en-AU"/>
        </w:rPr>
        <w:t xml:space="preserve">the community’s </w:t>
      </w:r>
      <w:r w:rsidR="00847A8B" w:rsidRPr="00BA6800">
        <w:rPr>
          <w:rFonts w:ascii="Arial" w:hAnsi="Arial" w:cs="Arial"/>
          <w:iCs/>
          <w:szCs w:val="24"/>
          <w:lang w:eastAsia="en-AU"/>
        </w:rPr>
        <w:t>access to</w:t>
      </w:r>
      <w:r w:rsidR="003A67E5" w:rsidRPr="00BA6800">
        <w:rPr>
          <w:rFonts w:ascii="Arial" w:hAnsi="Arial" w:cs="Arial"/>
          <w:iCs/>
          <w:szCs w:val="24"/>
          <w:lang w:eastAsia="en-AU"/>
        </w:rPr>
        <w:t xml:space="preserve"> </w:t>
      </w:r>
      <w:r w:rsidR="00847A8B" w:rsidRPr="00BA6800">
        <w:rPr>
          <w:rFonts w:ascii="Arial" w:hAnsi="Arial" w:cs="Arial"/>
          <w:iCs/>
          <w:szCs w:val="24"/>
          <w:lang w:eastAsia="en-AU"/>
        </w:rPr>
        <w:t>social, recreational</w:t>
      </w:r>
      <w:r w:rsidR="004E2A91" w:rsidRPr="00BA6800">
        <w:rPr>
          <w:rFonts w:ascii="Arial" w:hAnsi="Arial" w:cs="Arial"/>
          <w:iCs/>
          <w:szCs w:val="24"/>
          <w:lang w:eastAsia="en-AU"/>
        </w:rPr>
        <w:t xml:space="preserve"> and cultural </w:t>
      </w:r>
      <w:r w:rsidR="003A67E5" w:rsidRPr="00BA6800">
        <w:rPr>
          <w:rFonts w:ascii="Arial" w:hAnsi="Arial" w:cs="Arial"/>
          <w:iCs/>
          <w:szCs w:val="24"/>
          <w:lang w:eastAsia="en-AU"/>
        </w:rPr>
        <w:t xml:space="preserve">activities </w:t>
      </w:r>
      <w:r w:rsidR="000F532F" w:rsidRPr="00BA6800">
        <w:rPr>
          <w:rFonts w:ascii="Arial" w:hAnsi="Arial" w:cs="Arial"/>
          <w:iCs/>
          <w:szCs w:val="24"/>
          <w:lang w:eastAsia="en-AU"/>
        </w:rPr>
        <w:t xml:space="preserve">as alternatives </w:t>
      </w:r>
      <w:r w:rsidR="00745DF8" w:rsidRPr="00BA6800">
        <w:rPr>
          <w:rFonts w:ascii="Arial" w:hAnsi="Arial" w:cs="Arial"/>
          <w:iCs/>
          <w:szCs w:val="24"/>
          <w:lang w:eastAsia="en-AU"/>
        </w:rPr>
        <w:t>to gambling</w:t>
      </w:r>
      <w:r w:rsidRPr="00BA6800">
        <w:rPr>
          <w:rFonts w:ascii="Arial" w:hAnsi="Arial" w:cs="Arial"/>
          <w:iCs/>
          <w:szCs w:val="24"/>
          <w:lang w:eastAsia="en-AU"/>
        </w:rPr>
        <w:t>.</w:t>
      </w:r>
    </w:p>
    <w:p w14:paraId="79C3C44B" w14:textId="77777777" w:rsidR="00282467" w:rsidRDefault="00282467">
      <w:pPr>
        <w:rPr>
          <w:rFonts w:ascii="Arial" w:eastAsiaTheme="majorEastAsia" w:hAnsi="Arial" w:cs="Arial"/>
          <w:b/>
          <w:bCs/>
          <w:color w:val="2F5496" w:themeColor="accent5" w:themeShade="BF"/>
          <w:kern w:val="32"/>
          <w:sz w:val="28"/>
          <w:szCs w:val="32"/>
          <w:lang w:eastAsia="en-AU"/>
        </w:rPr>
      </w:pPr>
      <w:r>
        <w:rPr>
          <w:rFonts w:cs="Arial"/>
          <w:lang w:eastAsia="en-AU"/>
        </w:rPr>
        <w:br w:type="page"/>
      </w:r>
    </w:p>
    <w:p w14:paraId="6418408E" w14:textId="3E8E724D" w:rsidR="00740116" w:rsidRPr="00F53A0B" w:rsidRDefault="00740116" w:rsidP="00FE572A">
      <w:pPr>
        <w:pStyle w:val="Heading1"/>
        <w:rPr>
          <w:rFonts w:cs="Arial"/>
          <w:lang w:eastAsia="en-AU"/>
        </w:rPr>
      </w:pPr>
      <w:r w:rsidRPr="00F53A0B">
        <w:rPr>
          <w:rFonts w:cs="Arial"/>
          <w:lang w:eastAsia="en-AU"/>
        </w:rPr>
        <w:lastRenderedPageBreak/>
        <w:t>Policy Principles</w:t>
      </w:r>
    </w:p>
    <w:p w14:paraId="3394596F" w14:textId="77777777" w:rsidR="00346B5C" w:rsidRDefault="00346B5C" w:rsidP="00346B5C">
      <w:pPr>
        <w:spacing w:after="120"/>
        <w:jc w:val="both"/>
        <w:rPr>
          <w:rFonts w:ascii="Arial" w:hAnsi="Arial" w:cs="Arial"/>
          <w:iCs/>
          <w:lang w:eastAsia="en-AU"/>
        </w:rPr>
      </w:pPr>
    </w:p>
    <w:p w14:paraId="72D43A7A" w14:textId="24466D17" w:rsidR="00740116" w:rsidRDefault="00A00451" w:rsidP="00591134">
      <w:pPr>
        <w:spacing w:after="120"/>
        <w:jc w:val="both"/>
        <w:rPr>
          <w:rFonts w:ascii="Arial" w:hAnsi="Arial" w:cs="Arial"/>
        </w:rPr>
      </w:pPr>
      <w:r w:rsidRPr="00790935">
        <w:rPr>
          <w:rFonts w:ascii="Arial" w:hAnsi="Arial" w:cs="Arial"/>
          <w:iCs/>
          <w:lang w:eastAsia="en-AU"/>
        </w:rPr>
        <w:t>Addressing gambling harm is the collective responsibility of a wide range of stakeholders.</w:t>
      </w:r>
      <w:r w:rsidR="00346B5C">
        <w:rPr>
          <w:rFonts w:ascii="Arial" w:hAnsi="Arial" w:cs="Arial"/>
          <w:iCs/>
          <w:lang w:eastAsia="en-AU"/>
        </w:rPr>
        <w:t xml:space="preserve"> For its part </w:t>
      </w:r>
      <w:r w:rsidR="00740116">
        <w:rPr>
          <w:rFonts w:ascii="Arial" w:hAnsi="Arial" w:cs="Arial"/>
        </w:rPr>
        <w:t>Council will demonstrate leadership in preventing and minimising gambling harm by applying the following principles:</w:t>
      </w:r>
    </w:p>
    <w:p w14:paraId="56C04975" w14:textId="6F0E1A9C" w:rsidR="00740116" w:rsidRDefault="00740116" w:rsidP="00A00151">
      <w:pPr>
        <w:rPr>
          <w:rFonts w:ascii="Arial" w:hAnsi="Arial" w:cs="Arial"/>
          <w:b/>
          <w:bCs/>
        </w:rPr>
      </w:pPr>
      <w:r w:rsidRPr="00330F88">
        <w:rPr>
          <w:rFonts w:ascii="Arial" w:hAnsi="Arial" w:cs="Arial"/>
          <w:b/>
          <w:bCs/>
        </w:rPr>
        <w:t>Public health approach</w:t>
      </w:r>
    </w:p>
    <w:p w14:paraId="5610D8C8" w14:textId="06FD0A02" w:rsidR="002E65CF" w:rsidRDefault="00982660" w:rsidP="00C56D25">
      <w:pPr>
        <w:jc w:val="both"/>
        <w:rPr>
          <w:rFonts w:ascii="Arial" w:hAnsi="Arial" w:cs="Arial"/>
        </w:rPr>
      </w:pPr>
      <w:r>
        <w:rPr>
          <w:rFonts w:ascii="Arial" w:hAnsi="Arial" w:cs="Arial"/>
        </w:rPr>
        <w:t xml:space="preserve">Council </w:t>
      </w:r>
      <w:r w:rsidR="002E65CF">
        <w:rPr>
          <w:rFonts w:ascii="Arial" w:hAnsi="Arial" w:cs="Arial"/>
        </w:rPr>
        <w:t>acknowledges</w:t>
      </w:r>
      <w:r>
        <w:rPr>
          <w:rFonts w:ascii="Arial" w:hAnsi="Arial" w:cs="Arial"/>
        </w:rPr>
        <w:t xml:space="preserve"> that gam</w:t>
      </w:r>
      <w:r w:rsidR="002E65CF">
        <w:rPr>
          <w:rFonts w:ascii="Arial" w:hAnsi="Arial" w:cs="Arial"/>
        </w:rPr>
        <w:t>b</w:t>
      </w:r>
      <w:r>
        <w:rPr>
          <w:rFonts w:ascii="Arial" w:hAnsi="Arial" w:cs="Arial"/>
        </w:rPr>
        <w:t>ling harm is a public health issue.</w:t>
      </w:r>
    </w:p>
    <w:p w14:paraId="2548B83A" w14:textId="3B94C9DC" w:rsidR="00740116" w:rsidRDefault="00740116" w:rsidP="00C56D25">
      <w:pPr>
        <w:jc w:val="both"/>
        <w:rPr>
          <w:rFonts w:ascii="Arial" w:hAnsi="Arial" w:cs="Arial"/>
        </w:rPr>
      </w:pPr>
      <w:r>
        <w:rPr>
          <w:rFonts w:ascii="Arial" w:hAnsi="Arial" w:cs="Arial"/>
        </w:rPr>
        <w:t>The public health approach to preventing and minimising gambling harm takes a broad view of the determinants and impacts of gambling harm. It is based on the following:</w:t>
      </w:r>
    </w:p>
    <w:p w14:paraId="3D8B3E9F" w14:textId="77777777" w:rsidR="001D4B6D" w:rsidRPr="001D4B6D" w:rsidRDefault="00740116" w:rsidP="00C56D25">
      <w:pPr>
        <w:pStyle w:val="ListParagraph"/>
        <w:numPr>
          <w:ilvl w:val="0"/>
          <w:numId w:val="11"/>
        </w:numPr>
        <w:spacing w:after="120"/>
        <w:ind w:left="777" w:hanging="357"/>
        <w:contextualSpacing w:val="0"/>
        <w:jc w:val="both"/>
        <w:rPr>
          <w:rFonts w:ascii="Arial" w:hAnsi="Arial" w:cs="Arial"/>
          <w:iCs/>
          <w:lang w:eastAsia="en-AU"/>
        </w:rPr>
      </w:pPr>
      <w:r>
        <w:rPr>
          <w:rFonts w:ascii="Arial" w:hAnsi="Arial" w:cs="Arial"/>
        </w:rPr>
        <w:t>G</w:t>
      </w:r>
      <w:r w:rsidRPr="00645877">
        <w:rPr>
          <w:rFonts w:ascii="Arial" w:hAnsi="Arial" w:cs="Arial"/>
        </w:rPr>
        <w:t>ambling harm occurs across a continuum of risk</w:t>
      </w:r>
      <w:r w:rsidR="001D4B6D">
        <w:rPr>
          <w:rFonts w:ascii="Arial" w:hAnsi="Arial" w:cs="Arial"/>
        </w:rPr>
        <w:t>.</w:t>
      </w:r>
    </w:p>
    <w:p w14:paraId="019F1CE9" w14:textId="1255ECF3" w:rsidR="00740116" w:rsidRPr="00645877" w:rsidRDefault="001D4B6D" w:rsidP="00C56D25">
      <w:pPr>
        <w:pStyle w:val="ListParagraph"/>
        <w:numPr>
          <w:ilvl w:val="0"/>
          <w:numId w:val="11"/>
        </w:numPr>
        <w:spacing w:after="120"/>
        <w:ind w:left="777" w:hanging="357"/>
        <w:contextualSpacing w:val="0"/>
        <w:jc w:val="both"/>
        <w:rPr>
          <w:rFonts w:ascii="Arial" w:hAnsi="Arial" w:cs="Arial"/>
          <w:iCs/>
          <w:lang w:eastAsia="en-AU"/>
        </w:rPr>
      </w:pPr>
      <w:r>
        <w:rPr>
          <w:rFonts w:ascii="Arial" w:hAnsi="Arial" w:cs="Arial"/>
        </w:rPr>
        <w:t xml:space="preserve">There are </w:t>
      </w:r>
      <w:r w:rsidR="00740116" w:rsidRPr="00645877">
        <w:rPr>
          <w:rFonts w:ascii="Arial" w:hAnsi="Arial" w:cs="Arial"/>
        </w:rPr>
        <w:t xml:space="preserve">multiple </w:t>
      </w:r>
      <w:r>
        <w:rPr>
          <w:rFonts w:ascii="Arial" w:hAnsi="Arial" w:cs="Arial"/>
        </w:rPr>
        <w:t xml:space="preserve">social, environmental, economic </w:t>
      </w:r>
      <w:r w:rsidR="002C51E4">
        <w:rPr>
          <w:rFonts w:ascii="Arial" w:hAnsi="Arial" w:cs="Arial"/>
        </w:rPr>
        <w:t xml:space="preserve">and technological </w:t>
      </w:r>
      <w:r w:rsidR="00740116" w:rsidRPr="00645877">
        <w:rPr>
          <w:rFonts w:ascii="Arial" w:hAnsi="Arial" w:cs="Arial"/>
        </w:rPr>
        <w:t>determinants of gambling harm</w:t>
      </w:r>
      <w:r w:rsidR="002C51E4">
        <w:rPr>
          <w:rFonts w:ascii="Arial" w:hAnsi="Arial" w:cs="Arial"/>
        </w:rPr>
        <w:t>.</w:t>
      </w:r>
    </w:p>
    <w:p w14:paraId="4ED574FD" w14:textId="77777777" w:rsidR="00740116" w:rsidRPr="00D4764D" w:rsidRDefault="00740116" w:rsidP="00C56D25">
      <w:pPr>
        <w:pStyle w:val="ListParagraph"/>
        <w:numPr>
          <w:ilvl w:val="0"/>
          <w:numId w:val="11"/>
        </w:numPr>
        <w:spacing w:after="120"/>
        <w:ind w:left="777" w:hanging="357"/>
        <w:contextualSpacing w:val="0"/>
        <w:jc w:val="both"/>
        <w:rPr>
          <w:rFonts w:ascii="Arial" w:hAnsi="Arial" w:cs="Arial"/>
          <w:iCs/>
          <w:lang w:eastAsia="en-AU"/>
        </w:rPr>
      </w:pPr>
      <w:r>
        <w:rPr>
          <w:rFonts w:ascii="Arial" w:hAnsi="Arial" w:cs="Arial"/>
        </w:rPr>
        <w:t>Interventions are applied</w:t>
      </w:r>
      <w:r w:rsidRPr="00645877">
        <w:rPr>
          <w:rFonts w:ascii="Arial" w:hAnsi="Arial" w:cs="Arial"/>
        </w:rPr>
        <w:t xml:space="preserve"> across the population rather than focusing on the individuals experiencing harm</w:t>
      </w:r>
      <w:r>
        <w:rPr>
          <w:rFonts w:ascii="Arial" w:hAnsi="Arial" w:cs="Arial"/>
        </w:rPr>
        <w:t>.</w:t>
      </w:r>
    </w:p>
    <w:p w14:paraId="51E24779" w14:textId="4F8DDB0F" w:rsidR="00740116" w:rsidRPr="00330F88" w:rsidRDefault="00740116" w:rsidP="00A00151">
      <w:pPr>
        <w:rPr>
          <w:rFonts w:ascii="Arial" w:hAnsi="Arial" w:cs="Arial"/>
          <w:b/>
          <w:bCs/>
        </w:rPr>
      </w:pPr>
      <w:r w:rsidRPr="00330F88">
        <w:rPr>
          <w:rFonts w:ascii="Arial" w:hAnsi="Arial" w:cs="Arial"/>
          <w:b/>
          <w:bCs/>
        </w:rPr>
        <w:t>Harm minimisation</w:t>
      </w:r>
    </w:p>
    <w:p w14:paraId="1E170A67" w14:textId="37486901" w:rsidR="0000648F" w:rsidRDefault="00740116" w:rsidP="00330F88">
      <w:pPr>
        <w:jc w:val="both"/>
        <w:rPr>
          <w:rFonts w:ascii="Arial" w:hAnsi="Arial" w:cs="Arial"/>
        </w:rPr>
      </w:pPr>
      <w:r>
        <w:rPr>
          <w:rFonts w:ascii="Arial" w:hAnsi="Arial" w:cs="Arial"/>
        </w:rPr>
        <w:t xml:space="preserve">The </w:t>
      </w:r>
      <w:r w:rsidR="00F2537A">
        <w:rPr>
          <w:rFonts w:ascii="Arial" w:hAnsi="Arial" w:cs="Arial"/>
        </w:rPr>
        <w:t xml:space="preserve">two </w:t>
      </w:r>
      <w:r>
        <w:rPr>
          <w:rFonts w:ascii="Arial" w:hAnsi="Arial" w:cs="Arial"/>
        </w:rPr>
        <w:t>pillars of a harm minimisation</w:t>
      </w:r>
      <w:r w:rsidRPr="00330F88">
        <w:rPr>
          <w:rFonts w:ascii="Arial" w:hAnsi="Arial" w:cs="Arial"/>
        </w:rPr>
        <w:t xml:space="preserve"> approach to addressing gambling harm </w:t>
      </w:r>
      <w:r>
        <w:rPr>
          <w:rFonts w:ascii="Arial" w:hAnsi="Arial" w:cs="Arial"/>
        </w:rPr>
        <w:t>are</w:t>
      </w:r>
      <w:r w:rsidR="00441026">
        <w:rPr>
          <w:rFonts w:ascii="Arial" w:hAnsi="Arial" w:cs="Arial"/>
        </w:rPr>
        <w:t>:</w:t>
      </w:r>
      <w:r>
        <w:rPr>
          <w:rFonts w:ascii="Arial" w:hAnsi="Arial" w:cs="Arial"/>
        </w:rPr>
        <w:t xml:space="preserve"> </w:t>
      </w:r>
    </w:p>
    <w:p w14:paraId="0139538D" w14:textId="473412D8" w:rsidR="0000648F" w:rsidRDefault="00740116" w:rsidP="00F80D4B">
      <w:pPr>
        <w:pStyle w:val="ListParagraph"/>
        <w:numPr>
          <w:ilvl w:val="0"/>
          <w:numId w:val="17"/>
        </w:numPr>
        <w:spacing w:after="120"/>
        <w:ind w:left="714" w:hanging="357"/>
        <w:contextualSpacing w:val="0"/>
        <w:jc w:val="both"/>
        <w:rPr>
          <w:rFonts w:ascii="Arial" w:hAnsi="Arial" w:cs="Arial"/>
        </w:rPr>
      </w:pPr>
      <w:r w:rsidRPr="00790935">
        <w:rPr>
          <w:rFonts w:ascii="Arial" w:hAnsi="Arial" w:cs="Arial"/>
        </w:rPr>
        <w:t>managing the supply of and demand for gambling in the community</w:t>
      </w:r>
      <w:r w:rsidR="00F2537A">
        <w:rPr>
          <w:rFonts w:ascii="Arial" w:hAnsi="Arial" w:cs="Arial"/>
        </w:rPr>
        <w:t>,</w:t>
      </w:r>
      <w:r w:rsidRPr="00790935">
        <w:rPr>
          <w:rFonts w:ascii="Arial" w:hAnsi="Arial" w:cs="Arial"/>
        </w:rPr>
        <w:t xml:space="preserve"> and </w:t>
      </w:r>
    </w:p>
    <w:p w14:paraId="7DAFBD07" w14:textId="08DF7FDF" w:rsidR="00740116" w:rsidRPr="00790935" w:rsidRDefault="00740116" w:rsidP="00F80D4B">
      <w:pPr>
        <w:pStyle w:val="ListParagraph"/>
        <w:numPr>
          <w:ilvl w:val="0"/>
          <w:numId w:val="17"/>
        </w:numPr>
        <w:spacing w:after="120"/>
        <w:ind w:left="714" w:hanging="357"/>
        <w:contextualSpacing w:val="0"/>
        <w:jc w:val="both"/>
        <w:rPr>
          <w:rFonts w:ascii="Arial" w:hAnsi="Arial" w:cs="Arial"/>
        </w:rPr>
      </w:pPr>
      <w:r w:rsidRPr="00790935">
        <w:rPr>
          <w:rFonts w:ascii="Arial" w:hAnsi="Arial" w:cs="Arial"/>
        </w:rPr>
        <w:t>reducing the adverse health, social and economic harms for individuals, their families and the wider community.</w:t>
      </w:r>
    </w:p>
    <w:p w14:paraId="1D908987" w14:textId="1969E2D0" w:rsidR="00740116" w:rsidRPr="003107AB" w:rsidRDefault="00740116" w:rsidP="00330F88">
      <w:pPr>
        <w:jc w:val="both"/>
        <w:rPr>
          <w:rFonts w:ascii="Arial" w:hAnsi="Arial" w:cs="Arial"/>
          <w:b/>
          <w:bCs/>
        </w:rPr>
      </w:pPr>
      <w:r w:rsidRPr="003107AB">
        <w:rPr>
          <w:rFonts w:ascii="Arial" w:hAnsi="Arial" w:cs="Arial"/>
          <w:b/>
          <w:bCs/>
        </w:rPr>
        <w:t>Evidence based</w:t>
      </w:r>
    </w:p>
    <w:p w14:paraId="5E42D8A9" w14:textId="378533E4" w:rsidR="00740116" w:rsidRPr="003107AB" w:rsidRDefault="00740116" w:rsidP="00D71BAF">
      <w:pPr>
        <w:jc w:val="both"/>
        <w:rPr>
          <w:rFonts w:ascii="Arial" w:hAnsi="Arial" w:cs="Arial"/>
        </w:rPr>
      </w:pPr>
      <w:r w:rsidRPr="003107AB">
        <w:rPr>
          <w:rFonts w:ascii="Arial" w:hAnsi="Arial" w:cs="Arial"/>
        </w:rPr>
        <w:t xml:space="preserve">Decision-making processes </w:t>
      </w:r>
      <w:r w:rsidR="0018464D">
        <w:rPr>
          <w:rFonts w:ascii="Arial" w:hAnsi="Arial" w:cs="Arial"/>
        </w:rPr>
        <w:t>are</w:t>
      </w:r>
      <w:r w:rsidRPr="003107AB">
        <w:rPr>
          <w:rFonts w:ascii="Arial" w:hAnsi="Arial" w:cs="Arial"/>
        </w:rPr>
        <w:t xml:space="preserve"> informed by a robust evidence base.</w:t>
      </w:r>
    </w:p>
    <w:p w14:paraId="068C6EBF" w14:textId="67BAC247" w:rsidR="00740116" w:rsidRPr="003107AB" w:rsidRDefault="00740116" w:rsidP="00D71BAF">
      <w:pPr>
        <w:jc w:val="both"/>
        <w:rPr>
          <w:rFonts w:ascii="Arial" w:hAnsi="Arial" w:cs="Arial"/>
          <w:b/>
          <w:bCs/>
        </w:rPr>
      </w:pPr>
      <w:r w:rsidRPr="003107AB">
        <w:rPr>
          <w:rFonts w:ascii="Arial" w:hAnsi="Arial" w:cs="Arial"/>
          <w:b/>
          <w:bCs/>
        </w:rPr>
        <w:t>Intersectionality</w:t>
      </w:r>
    </w:p>
    <w:p w14:paraId="3E75E6F0" w14:textId="3A546AE4" w:rsidR="00740116" w:rsidRDefault="00740116" w:rsidP="003107AB">
      <w:pPr>
        <w:jc w:val="both"/>
        <w:rPr>
          <w:rFonts w:ascii="Arial" w:hAnsi="Arial" w:cs="Arial"/>
        </w:rPr>
      </w:pPr>
      <w:r w:rsidRPr="003107AB">
        <w:rPr>
          <w:rFonts w:ascii="Arial" w:hAnsi="Arial" w:cs="Arial"/>
        </w:rPr>
        <w:t xml:space="preserve">The intersectionality of a person’s </w:t>
      </w:r>
      <w:r w:rsidR="00934FAA">
        <w:rPr>
          <w:rFonts w:ascii="Arial" w:hAnsi="Arial" w:cs="Arial"/>
        </w:rPr>
        <w:t xml:space="preserve">low </w:t>
      </w:r>
      <w:r w:rsidRPr="003107AB">
        <w:rPr>
          <w:rFonts w:ascii="Arial" w:hAnsi="Arial" w:cs="Arial"/>
        </w:rPr>
        <w:t>socio-economic and</w:t>
      </w:r>
      <w:r>
        <w:rPr>
          <w:rFonts w:ascii="Arial" w:hAnsi="Arial" w:cs="Arial"/>
        </w:rPr>
        <w:t xml:space="preserve"> </w:t>
      </w:r>
      <w:r w:rsidR="00934FAA">
        <w:rPr>
          <w:rFonts w:ascii="Arial" w:hAnsi="Arial" w:cs="Arial"/>
        </w:rPr>
        <w:t xml:space="preserve">poor </w:t>
      </w:r>
      <w:r>
        <w:rPr>
          <w:rFonts w:ascii="Arial" w:hAnsi="Arial" w:cs="Arial"/>
        </w:rPr>
        <w:t>health</w:t>
      </w:r>
      <w:r w:rsidRPr="003107AB">
        <w:rPr>
          <w:rFonts w:ascii="Arial" w:hAnsi="Arial" w:cs="Arial"/>
        </w:rPr>
        <w:t xml:space="preserve"> status disproportionately increases the risk of gambling harm among vulnerable groups. </w:t>
      </w:r>
    </w:p>
    <w:p w14:paraId="2627CB8D" w14:textId="58D732DF" w:rsidR="00740116" w:rsidRPr="00353087" w:rsidRDefault="00740116" w:rsidP="003107AB">
      <w:pPr>
        <w:jc w:val="both"/>
        <w:rPr>
          <w:rFonts w:ascii="Arial" w:hAnsi="Arial" w:cs="Arial"/>
          <w:b/>
          <w:bCs/>
        </w:rPr>
      </w:pPr>
      <w:r>
        <w:rPr>
          <w:rFonts w:ascii="Arial" w:hAnsi="Arial" w:cs="Arial"/>
          <w:b/>
          <w:bCs/>
        </w:rPr>
        <w:t>Governance</w:t>
      </w:r>
    </w:p>
    <w:p w14:paraId="4092D7A0" w14:textId="7489B90A" w:rsidR="00740116" w:rsidRPr="003107AB" w:rsidRDefault="00740116" w:rsidP="003107AB">
      <w:pPr>
        <w:jc w:val="both"/>
        <w:rPr>
          <w:rFonts w:ascii="Arial" w:hAnsi="Arial" w:cs="Arial"/>
          <w:iCs/>
          <w:lang w:eastAsia="en-AU"/>
        </w:rPr>
      </w:pPr>
      <w:r>
        <w:rPr>
          <w:rFonts w:ascii="Arial" w:hAnsi="Arial" w:cs="Arial"/>
          <w:iCs/>
          <w:lang w:eastAsia="en-AU"/>
        </w:rPr>
        <w:t>Transparent and accountable governance enables Council to demonstrate leadership in its commitment to preventing and minimising the social</w:t>
      </w:r>
      <w:r w:rsidR="0090432E">
        <w:rPr>
          <w:rFonts w:ascii="Arial" w:hAnsi="Arial" w:cs="Arial"/>
          <w:iCs/>
          <w:lang w:eastAsia="en-AU"/>
        </w:rPr>
        <w:t xml:space="preserve">, </w:t>
      </w:r>
      <w:r w:rsidR="00CA6B0A">
        <w:rPr>
          <w:rFonts w:ascii="Arial" w:hAnsi="Arial" w:cs="Arial"/>
          <w:iCs/>
          <w:lang w:eastAsia="en-AU"/>
        </w:rPr>
        <w:t>health</w:t>
      </w:r>
      <w:r>
        <w:rPr>
          <w:rFonts w:ascii="Arial" w:hAnsi="Arial" w:cs="Arial"/>
          <w:iCs/>
          <w:lang w:eastAsia="en-AU"/>
        </w:rPr>
        <w:t xml:space="preserve"> and economic harms </w:t>
      </w:r>
      <w:r w:rsidR="001C5128">
        <w:rPr>
          <w:rFonts w:ascii="Arial" w:hAnsi="Arial" w:cs="Arial"/>
          <w:iCs/>
          <w:lang w:eastAsia="en-AU"/>
        </w:rPr>
        <w:t>caused by</w:t>
      </w:r>
      <w:r>
        <w:rPr>
          <w:rFonts w:ascii="Arial" w:hAnsi="Arial" w:cs="Arial"/>
          <w:iCs/>
          <w:lang w:eastAsia="en-AU"/>
        </w:rPr>
        <w:t xml:space="preserve"> gambling</w:t>
      </w:r>
      <w:r w:rsidR="001C5128">
        <w:rPr>
          <w:rFonts w:ascii="Arial" w:hAnsi="Arial" w:cs="Arial"/>
          <w:iCs/>
          <w:lang w:eastAsia="en-AU"/>
        </w:rPr>
        <w:t>.</w:t>
      </w:r>
    </w:p>
    <w:p w14:paraId="1C7076CA" w14:textId="77777777" w:rsidR="001C5128" w:rsidRDefault="001C5128">
      <w:pPr>
        <w:rPr>
          <w:rFonts w:ascii="Arial" w:eastAsiaTheme="majorEastAsia" w:hAnsi="Arial" w:cs="Arial"/>
          <w:b/>
          <w:bCs/>
          <w:color w:val="2F5496" w:themeColor="accent5" w:themeShade="BF"/>
          <w:kern w:val="32"/>
          <w:sz w:val="28"/>
          <w:szCs w:val="32"/>
          <w:lang w:val="en-US"/>
        </w:rPr>
      </w:pPr>
      <w:r>
        <w:rPr>
          <w:rFonts w:cs="Arial"/>
          <w:lang w:val="en-US"/>
        </w:rPr>
        <w:br w:type="page"/>
      </w:r>
    </w:p>
    <w:p w14:paraId="30030447" w14:textId="77777777" w:rsidR="00740116" w:rsidRDefault="00740116" w:rsidP="00FE572A">
      <w:pPr>
        <w:pStyle w:val="Heading1"/>
        <w:rPr>
          <w:rFonts w:cs="Arial"/>
          <w:lang w:val="en-US"/>
        </w:rPr>
      </w:pPr>
      <w:r w:rsidRPr="00F53A0B">
        <w:rPr>
          <w:rFonts w:cs="Arial"/>
          <w:lang w:val="en-US"/>
        </w:rPr>
        <w:lastRenderedPageBreak/>
        <w:t>Alignment with Council’s mission and values</w:t>
      </w:r>
    </w:p>
    <w:p w14:paraId="6599D98B" w14:textId="4DF1EFF1" w:rsidR="00740116" w:rsidRDefault="00740116" w:rsidP="006948F4">
      <w:pPr>
        <w:spacing w:after="120"/>
        <w:jc w:val="both"/>
        <w:rPr>
          <w:rFonts w:ascii="Arial" w:hAnsi="Arial" w:cs="Arial"/>
          <w:lang w:val="en-US"/>
        </w:rPr>
      </w:pPr>
      <w:r>
        <w:rPr>
          <w:rFonts w:ascii="Arial" w:hAnsi="Arial" w:cs="Arial"/>
          <w:lang w:val="en-US"/>
        </w:rPr>
        <w:t xml:space="preserve">The prevention and </w:t>
      </w:r>
      <w:proofErr w:type="spellStart"/>
      <w:r>
        <w:rPr>
          <w:rFonts w:ascii="Arial" w:hAnsi="Arial" w:cs="Arial"/>
          <w:lang w:val="en-US"/>
        </w:rPr>
        <w:t>minimisation</w:t>
      </w:r>
      <w:proofErr w:type="spellEnd"/>
      <w:r>
        <w:rPr>
          <w:rFonts w:ascii="Arial" w:hAnsi="Arial" w:cs="Arial"/>
          <w:lang w:val="en-US"/>
        </w:rPr>
        <w:t xml:space="preserve"> of </w:t>
      </w:r>
      <w:r w:rsidR="00A22A54">
        <w:rPr>
          <w:rFonts w:ascii="Arial" w:hAnsi="Arial" w:cs="Arial"/>
          <w:lang w:val="en-US"/>
        </w:rPr>
        <w:t>gambling</w:t>
      </w:r>
      <w:r w:rsidR="00CA6B0A">
        <w:rPr>
          <w:rFonts w:ascii="Arial" w:hAnsi="Arial" w:cs="Arial"/>
          <w:lang w:val="en-US"/>
        </w:rPr>
        <w:t xml:space="preserve"> harm</w:t>
      </w:r>
      <w:r w:rsidR="00A22A54">
        <w:rPr>
          <w:rFonts w:ascii="Arial" w:hAnsi="Arial" w:cs="Arial"/>
          <w:lang w:val="en-US"/>
        </w:rPr>
        <w:t xml:space="preserve">, which is </w:t>
      </w:r>
      <w:r>
        <w:rPr>
          <w:rFonts w:ascii="Arial" w:hAnsi="Arial" w:cs="Arial"/>
          <w:lang w:val="en-US"/>
        </w:rPr>
        <w:t>a public health issue</w:t>
      </w:r>
      <w:r w:rsidR="00A22A54">
        <w:rPr>
          <w:rFonts w:ascii="Arial" w:hAnsi="Arial" w:cs="Arial"/>
          <w:lang w:val="en-US"/>
        </w:rPr>
        <w:t>,</w:t>
      </w:r>
      <w:r>
        <w:rPr>
          <w:rFonts w:ascii="Arial" w:hAnsi="Arial" w:cs="Arial"/>
          <w:lang w:val="en-US"/>
        </w:rPr>
        <w:t xml:space="preserve"> support</w:t>
      </w:r>
      <w:r w:rsidR="0049058C">
        <w:rPr>
          <w:rFonts w:ascii="Arial" w:hAnsi="Arial" w:cs="Arial"/>
          <w:lang w:val="en-US"/>
        </w:rPr>
        <w:t>s</w:t>
      </w:r>
      <w:r>
        <w:rPr>
          <w:rFonts w:ascii="Arial" w:hAnsi="Arial" w:cs="Arial"/>
          <w:lang w:val="en-US"/>
        </w:rPr>
        <w:t xml:space="preserve"> the Maroondah 2050 Community Vision that “Maroondah is a safe, inclusive and vibrant community…”. This </w:t>
      </w:r>
      <w:r w:rsidR="00F561F0">
        <w:rPr>
          <w:rFonts w:ascii="Arial" w:hAnsi="Arial" w:cs="Arial"/>
          <w:lang w:val="en-US"/>
        </w:rPr>
        <w:t>outcome</w:t>
      </w:r>
      <w:r>
        <w:rPr>
          <w:rFonts w:ascii="Arial" w:hAnsi="Arial" w:cs="Arial"/>
          <w:lang w:val="en-US"/>
        </w:rPr>
        <w:t xml:space="preserve"> also reflects the “safe and </w:t>
      </w:r>
      <w:proofErr w:type="spellStart"/>
      <w:r>
        <w:rPr>
          <w:rFonts w:ascii="Arial" w:hAnsi="Arial" w:cs="Arial"/>
          <w:lang w:val="en-US"/>
        </w:rPr>
        <w:t>liveable</w:t>
      </w:r>
      <w:proofErr w:type="spellEnd"/>
      <w:r>
        <w:rPr>
          <w:rFonts w:ascii="Arial" w:hAnsi="Arial" w:cs="Arial"/>
          <w:lang w:val="en-US"/>
        </w:rPr>
        <w:t>” outcome area in the Maroondah 2050 Community Vision.</w:t>
      </w:r>
    </w:p>
    <w:p w14:paraId="664109AC" w14:textId="78534333" w:rsidR="00740116" w:rsidRDefault="00740116" w:rsidP="006948F4">
      <w:pPr>
        <w:spacing w:after="120"/>
        <w:jc w:val="both"/>
        <w:rPr>
          <w:rFonts w:ascii="Arial" w:hAnsi="Arial" w:cs="Arial"/>
          <w:lang w:val="en-US"/>
        </w:rPr>
      </w:pPr>
      <w:r>
        <w:rPr>
          <w:rFonts w:ascii="Arial" w:hAnsi="Arial" w:cs="Arial"/>
          <w:lang w:val="en-US"/>
        </w:rPr>
        <w:t>The strategic objectives in the Policy Position support the following community priorities detailed in the Maroondah 2050 Community Vision:</w:t>
      </w:r>
    </w:p>
    <w:p w14:paraId="6D6A4E32" w14:textId="7325B7A4" w:rsidR="00740116" w:rsidRDefault="00740116" w:rsidP="00902D22">
      <w:pPr>
        <w:pStyle w:val="ListParagraph"/>
        <w:numPr>
          <w:ilvl w:val="0"/>
          <w:numId w:val="16"/>
        </w:numPr>
        <w:spacing w:after="120"/>
        <w:contextualSpacing w:val="0"/>
        <w:jc w:val="both"/>
        <w:rPr>
          <w:rFonts w:ascii="Arial" w:hAnsi="Arial" w:cs="Arial"/>
          <w:lang w:val="en-US"/>
        </w:rPr>
      </w:pPr>
      <w:r>
        <w:rPr>
          <w:rFonts w:ascii="Arial" w:hAnsi="Arial" w:cs="Arial"/>
          <w:lang w:val="en-US"/>
        </w:rPr>
        <w:t>Support</w:t>
      </w:r>
      <w:r w:rsidR="00103D94">
        <w:rPr>
          <w:rFonts w:ascii="Arial" w:hAnsi="Arial" w:cs="Arial"/>
          <w:lang w:val="en-US"/>
        </w:rPr>
        <w:t xml:space="preserve"> for</w:t>
      </w:r>
      <w:r>
        <w:rPr>
          <w:rFonts w:ascii="Arial" w:hAnsi="Arial" w:cs="Arial"/>
          <w:lang w:val="en-US"/>
        </w:rPr>
        <w:t xml:space="preserve"> the community, particularly residents experiencing vulnerability, </w:t>
      </w:r>
      <w:proofErr w:type="spellStart"/>
      <w:r>
        <w:rPr>
          <w:rFonts w:ascii="Arial" w:hAnsi="Arial" w:cs="Arial"/>
          <w:lang w:val="en-US"/>
        </w:rPr>
        <w:t>marginalisation</w:t>
      </w:r>
      <w:proofErr w:type="spellEnd"/>
      <w:r>
        <w:rPr>
          <w:rFonts w:ascii="Arial" w:hAnsi="Arial" w:cs="Arial"/>
          <w:lang w:val="en-US"/>
        </w:rPr>
        <w:t xml:space="preserve"> and disadvantage, families, seniors</w:t>
      </w:r>
      <w:r w:rsidR="00B123E0">
        <w:rPr>
          <w:rFonts w:ascii="Arial" w:hAnsi="Arial" w:cs="Arial"/>
          <w:lang w:val="en-US"/>
        </w:rPr>
        <w:t>,</w:t>
      </w:r>
      <w:r>
        <w:rPr>
          <w:rFonts w:ascii="Arial" w:hAnsi="Arial" w:cs="Arial"/>
          <w:lang w:val="en-US"/>
        </w:rPr>
        <w:t xml:space="preserve"> and young people.</w:t>
      </w:r>
    </w:p>
    <w:p w14:paraId="6F381736" w14:textId="7838B679" w:rsidR="00740116" w:rsidRDefault="00740116" w:rsidP="00146D24">
      <w:pPr>
        <w:pStyle w:val="ListParagraph"/>
        <w:numPr>
          <w:ilvl w:val="0"/>
          <w:numId w:val="16"/>
        </w:numPr>
        <w:spacing w:after="120"/>
        <w:contextualSpacing w:val="0"/>
        <w:rPr>
          <w:rFonts w:ascii="Arial" w:hAnsi="Arial" w:cs="Arial"/>
          <w:lang w:val="en-US"/>
        </w:rPr>
      </w:pPr>
      <w:r>
        <w:rPr>
          <w:rFonts w:ascii="Arial" w:hAnsi="Arial" w:cs="Arial"/>
          <w:lang w:val="en-US"/>
        </w:rPr>
        <w:t>Enhanc</w:t>
      </w:r>
      <w:r w:rsidR="00103D94">
        <w:rPr>
          <w:rFonts w:ascii="Arial" w:hAnsi="Arial" w:cs="Arial"/>
          <w:lang w:val="en-US"/>
        </w:rPr>
        <w:t xml:space="preserve">ed </w:t>
      </w:r>
      <w:r>
        <w:rPr>
          <w:rFonts w:ascii="Arial" w:hAnsi="Arial" w:cs="Arial"/>
          <w:lang w:val="en-US"/>
        </w:rPr>
        <w:t>health and wellbeing of the community.</w:t>
      </w:r>
    </w:p>
    <w:p w14:paraId="50426838" w14:textId="7C888F84" w:rsidR="00740116" w:rsidRPr="00436579" w:rsidRDefault="00740116" w:rsidP="00146D24">
      <w:pPr>
        <w:pStyle w:val="ListParagraph"/>
        <w:numPr>
          <w:ilvl w:val="0"/>
          <w:numId w:val="16"/>
        </w:numPr>
        <w:spacing w:after="120"/>
        <w:contextualSpacing w:val="0"/>
        <w:rPr>
          <w:rFonts w:ascii="Arial" w:hAnsi="Arial" w:cs="Arial"/>
          <w:lang w:val="en-US"/>
        </w:rPr>
      </w:pPr>
      <w:r w:rsidRPr="00436579">
        <w:rPr>
          <w:rFonts w:ascii="Arial" w:hAnsi="Arial" w:cs="Arial"/>
          <w:lang w:val="en-US"/>
        </w:rPr>
        <w:t>Transparent and accountable governance.</w:t>
      </w:r>
    </w:p>
    <w:p w14:paraId="1E3196CD" w14:textId="7EC6CAD5" w:rsidR="00740116" w:rsidRPr="00436579" w:rsidRDefault="00740116" w:rsidP="00146D24">
      <w:pPr>
        <w:pStyle w:val="ListParagraph"/>
        <w:numPr>
          <w:ilvl w:val="0"/>
          <w:numId w:val="16"/>
        </w:numPr>
        <w:spacing w:after="120"/>
        <w:contextualSpacing w:val="0"/>
        <w:rPr>
          <w:rFonts w:ascii="Arial" w:hAnsi="Arial" w:cs="Arial"/>
          <w:lang w:val="en-US"/>
        </w:rPr>
      </w:pPr>
      <w:r w:rsidRPr="00436579">
        <w:rPr>
          <w:rFonts w:ascii="Arial" w:hAnsi="Arial" w:cs="Arial"/>
          <w:lang w:val="en-US"/>
        </w:rPr>
        <w:t>Consultation and engagement with the community on matters that impact them.</w:t>
      </w:r>
    </w:p>
    <w:p w14:paraId="25D57E2D" w14:textId="1A5BE98C" w:rsidR="00740116" w:rsidRPr="00436579" w:rsidRDefault="00740116" w:rsidP="00146D24">
      <w:pPr>
        <w:pStyle w:val="ListParagraph"/>
        <w:numPr>
          <w:ilvl w:val="0"/>
          <w:numId w:val="16"/>
        </w:numPr>
        <w:spacing w:after="120"/>
        <w:contextualSpacing w:val="0"/>
        <w:rPr>
          <w:rFonts w:ascii="Arial" w:hAnsi="Arial" w:cs="Arial"/>
          <w:lang w:val="en-US"/>
        </w:rPr>
      </w:pPr>
      <w:r w:rsidRPr="00436579">
        <w:rPr>
          <w:rFonts w:ascii="Arial" w:hAnsi="Arial" w:cs="Arial"/>
          <w:lang w:val="en-US"/>
        </w:rPr>
        <w:t xml:space="preserve">Collaboration and partnering with the local community, </w:t>
      </w:r>
      <w:proofErr w:type="spellStart"/>
      <w:r w:rsidRPr="00436579">
        <w:rPr>
          <w:rFonts w:ascii="Arial" w:hAnsi="Arial" w:cs="Arial"/>
          <w:lang w:val="en-US"/>
        </w:rPr>
        <w:t>organisations</w:t>
      </w:r>
      <w:proofErr w:type="spellEnd"/>
      <w:r w:rsidRPr="00436579">
        <w:rPr>
          <w:rFonts w:ascii="Arial" w:hAnsi="Arial" w:cs="Arial"/>
          <w:lang w:val="en-US"/>
        </w:rPr>
        <w:t xml:space="preserve"> and businesses.</w:t>
      </w:r>
    </w:p>
    <w:p w14:paraId="3622D6BB" w14:textId="791F1F8F" w:rsidR="00740116" w:rsidRDefault="00740116" w:rsidP="0084074B">
      <w:pPr>
        <w:spacing w:after="120"/>
        <w:jc w:val="both"/>
        <w:rPr>
          <w:rFonts w:ascii="Arial" w:hAnsi="Arial" w:cs="Arial"/>
          <w:lang w:val="en-US"/>
        </w:rPr>
      </w:pPr>
      <w:r w:rsidRPr="00286F2A">
        <w:rPr>
          <w:rFonts w:ascii="Arial" w:hAnsi="Arial" w:cs="Arial"/>
          <w:lang w:val="en-US"/>
        </w:rPr>
        <w:t xml:space="preserve">The </w:t>
      </w:r>
      <w:r>
        <w:rPr>
          <w:rFonts w:ascii="Arial" w:hAnsi="Arial" w:cs="Arial"/>
          <w:lang w:val="en-US"/>
        </w:rPr>
        <w:t xml:space="preserve">strategic objectives in the Policy Position align with </w:t>
      </w:r>
      <w:r w:rsidR="007E4FE2">
        <w:rPr>
          <w:rFonts w:ascii="Arial" w:hAnsi="Arial" w:cs="Arial"/>
          <w:lang w:val="en-US"/>
        </w:rPr>
        <w:t>Council</w:t>
      </w:r>
      <w:r w:rsidR="0090432E">
        <w:rPr>
          <w:rFonts w:ascii="Arial" w:hAnsi="Arial" w:cs="Arial"/>
          <w:lang w:val="en-US"/>
        </w:rPr>
        <w:t>’</w:t>
      </w:r>
      <w:r w:rsidR="007E4FE2">
        <w:rPr>
          <w:rFonts w:ascii="Arial" w:hAnsi="Arial" w:cs="Arial"/>
          <w:lang w:val="en-US"/>
        </w:rPr>
        <w:t>s</w:t>
      </w:r>
      <w:r>
        <w:rPr>
          <w:rFonts w:ascii="Arial" w:hAnsi="Arial" w:cs="Arial"/>
          <w:lang w:val="en-US"/>
        </w:rPr>
        <w:t xml:space="preserve"> five roles that form the framework of the Council Plan 2025-2029</w:t>
      </w:r>
      <w:r w:rsidR="00902D22">
        <w:rPr>
          <w:rFonts w:ascii="Arial" w:hAnsi="Arial" w:cs="Arial"/>
          <w:lang w:val="en-US"/>
        </w:rPr>
        <w:t xml:space="preserve"> which are </w:t>
      </w:r>
      <w:r w:rsidR="003A7041">
        <w:rPr>
          <w:rFonts w:ascii="Arial" w:hAnsi="Arial" w:cs="Arial"/>
          <w:lang w:val="en-US"/>
        </w:rPr>
        <w:t>plan, deliver, facilitate, partner and advocate</w:t>
      </w:r>
      <w:r>
        <w:rPr>
          <w:rFonts w:ascii="Arial" w:hAnsi="Arial" w:cs="Arial"/>
          <w:lang w:val="en-US"/>
        </w:rPr>
        <w:t>.</w:t>
      </w:r>
    </w:p>
    <w:p w14:paraId="0B8F6BCA" w14:textId="77777777" w:rsidR="006B794F" w:rsidRDefault="00CF4E06" w:rsidP="0084074B">
      <w:pPr>
        <w:jc w:val="both"/>
        <w:rPr>
          <w:rFonts w:ascii="Arial" w:hAnsi="Arial" w:cs="Arial"/>
        </w:rPr>
      </w:pPr>
      <w:r>
        <w:rPr>
          <w:rFonts w:ascii="Arial" w:hAnsi="Arial" w:cs="Arial"/>
        </w:rPr>
        <w:t>Th</w:t>
      </w:r>
      <w:r w:rsidR="006869B3">
        <w:rPr>
          <w:rFonts w:ascii="Arial" w:hAnsi="Arial" w:cs="Arial"/>
        </w:rPr>
        <w:t xml:space="preserve">is </w:t>
      </w:r>
      <w:r w:rsidR="00711C26">
        <w:rPr>
          <w:rFonts w:ascii="Arial" w:hAnsi="Arial" w:cs="Arial"/>
        </w:rPr>
        <w:t>P</w:t>
      </w:r>
      <w:r w:rsidR="006869B3">
        <w:rPr>
          <w:rFonts w:ascii="Arial" w:hAnsi="Arial" w:cs="Arial"/>
        </w:rPr>
        <w:t xml:space="preserve">olicy supports the priority in the </w:t>
      </w:r>
      <w:r w:rsidR="00BD194E">
        <w:rPr>
          <w:rFonts w:ascii="Arial" w:hAnsi="Arial" w:cs="Arial"/>
        </w:rPr>
        <w:t>Maroondah Liveability Wellbeing and Resilience Strategy 2021-2031</w:t>
      </w:r>
      <w:r w:rsidR="006869B3">
        <w:rPr>
          <w:rFonts w:ascii="Arial" w:hAnsi="Arial" w:cs="Arial"/>
        </w:rPr>
        <w:t xml:space="preserve"> which is to “</w:t>
      </w:r>
      <w:r w:rsidR="009F379D" w:rsidRPr="009F379D">
        <w:rPr>
          <w:rFonts w:ascii="Arial" w:hAnsi="Arial" w:cs="Arial"/>
        </w:rPr>
        <w:t>Work in partnership to prevent and minimise gambling related harm in the community through collective advocacy, health promotion and raising awareness around the impacts of harmful gambling behaviours.</w:t>
      </w:r>
      <w:r w:rsidR="006869B3">
        <w:rPr>
          <w:rFonts w:ascii="Arial" w:hAnsi="Arial" w:cs="Arial"/>
        </w:rPr>
        <w:t>”</w:t>
      </w:r>
    </w:p>
    <w:p w14:paraId="40DA0339" w14:textId="77777777" w:rsidR="00740116" w:rsidRPr="00F53A0B" w:rsidRDefault="00740116" w:rsidP="00FE572A">
      <w:pPr>
        <w:pStyle w:val="Heading1"/>
        <w:rPr>
          <w:rFonts w:cs="Arial"/>
          <w:lang w:val="en-US"/>
        </w:rPr>
      </w:pPr>
      <w:r w:rsidRPr="00F53A0B">
        <w:rPr>
          <w:rFonts w:cs="Arial"/>
          <w:lang w:val="en-US"/>
        </w:rPr>
        <w:t>Policy position</w:t>
      </w:r>
    </w:p>
    <w:p w14:paraId="358FA5C4" w14:textId="1AEDB17A" w:rsidR="00740116" w:rsidRPr="003770CE" w:rsidRDefault="00B73640" w:rsidP="008049AB">
      <w:pPr>
        <w:jc w:val="both"/>
        <w:rPr>
          <w:rFonts w:ascii="Arial" w:hAnsi="Arial" w:cs="Arial"/>
          <w:iCs/>
          <w:lang w:val="en-US"/>
        </w:rPr>
      </w:pPr>
      <w:r>
        <w:rPr>
          <w:rFonts w:ascii="Arial" w:hAnsi="Arial" w:cs="Arial"/>
          <w:iCs/>
          <w:lang w:val="en-US"/>
        </w:rPr>
        <w:t>While g</w:t>
      </w:r>
      <w:r w:rsidR="00740116" w:rsidRPr="003770CE">
        <w:rPr>
          <w:rFonts w:ascii="Arial" w:hAnsi="Arial" w:cs="Arial"/>
          <w:iCs/>
          <w:lang w:val="en-US"/>
        </w:rPr>
        <w:t xml:space="preserve">ambling is legal </w:t>
      </w:r>
      <w:r w:rsidR="00740116">
        <w:rPr>
          <w:rFonts w:ascii="Arial" w:hAnsi="Arial" w:cs="Arial"/>
          <w:iCs/>
          <w:lang w:val="en-US"/>
        </w:rPr>
        <w:t>in Victoria</w:t>
      </w:r>
      <w:r>
        <w:rPr>
          <w:rFonts w:ascii="Arial" w:hAnsi="Arial" w:cs="Arial"/>
          <w:iCs/>
          <w:lang w:val="en-US"/>
        </w:rPr>
        <w:t>,</w:t>
      </w:r>
      <w:r w:rsidR="00740116">
        <w:rPr>
          <w:rFonts w:ascii="Arial" w:hAnsi="Arial" w:cs="Arial"/>
          <w:iCs/>
          <w:lang w:val="en-US"/>
        </w:rPr>
        <w:t xml:space="preserve"> </w:t>
      </w:r>
      <w:r>
        <w:rPr>
          <w:rFonts w:ascii="Arial" w:hAnsi="Arial" w:cs="Arial"/>
          <w:iCs/>
          <w:lang w:val="en-US"/>
        </w:rPr>
        <w:t>g</w:t>
      </w:r>
      <w:r w:rsidR="00740116" w:rsidRPr="003770CE">
        <w:rPr>
          <w:rFonts w:ascii="Arial" w:hAnsi="Arial" w:cs="Arial"/>
        </w:rPr>
        <w:t>ambling harm is recognised as a significant global public health concern</w:t>
      </w:r>
      <w:r w:rsidR="00740116" w:rsidRPr="003770CE">
        <w:rPr>
          <w:rStyle w:val="EndnoteReference"/>
          <w:rFonts w:ascii="Arial" w:hAnsi="Arial" w:cs="Arial"/>
        </w:rPr>
        <w:endnoteReference w:id="1"/>
      </w:r>
      <w:r w:rsidR="00740116" w:rsidRPr="003770CE">
        <w:rPr>
          <w:rFonts w:ascii="Arial" w:hAnsi="Arial" w:cs="Arial"/>
          <w:iCs/>
          <w:lang w:val="en-US"/>
        </w:rPr>
        <w:t xml:space="preserve"> associated with a range of health, social and economic harms</w:t>
      </w:r>
      <w:r w:rsidR="00740116" w:rsidRPr="00925177">
        <w:rPr>
          <w:rFonts w:ascii="Arial" w:hAnsi="Arial" w:cs="Arial"/>
          <w:iCs/>
          <w:lang w:val="en-US"/>
        </w:rPr>
        <w:t xml:space="preserve"> </w:t>
      </w:r>
      <w:r w:rsidR="00740116">
        <w:rPr>
          <w:rFonts w:ascii="Arial" w:hAnsi="Arial" w:cs="Arial"/>
          <w:iCs/>
          <w:lang w:val="en-US"/>
        </w:rPr>
        <w:t>to people who gamble, their family and the wider community.</w:t>
      </w:r>
    </w:p>
    <w:p w14:paraId="4DAEA3AA" w14:textId="17C6BF8D" w:rsidR="00740116" w:rsidRDefault="00740116" w:rsidP="00536B6A">
      <w:pPr>
        <w:rPr>
          <w:rFonts w:ascii="Arial" w:hAnsi="Arial" w:cs="Arial"/>
        </w:rPr>
      </w:pPr>
      <w:r w:rsidRPr="00536B6A">
        <w:rPr>
          <w:rFonts w:ascii="Arial" w:hAnsi="Arial" w:cs="Arial"/>
        </w:rPr>
        <w:t xml:space="preserve">Council is concerned about the significant cost burden </w:t>
      </w:r>
      <w:r>
        <w:rPr>
          <w:rFonts w:ascii="Arial" w:hAnsi="Arial" w:cs="Arial"/>
        </w:rPr>
        <w:t xml:space="preserve">caused by gambling harm </w:t>
      </w:r>
      <w:r w:rsidRPr="00536B6A">
        <w:rPr>
          <w:rFonts w:ascii="Arial" w:hAnsi="Arial" w:cs="Arial"/>
          <w:iCs/>
          <w:lang w:val="en-US"/>
        </w:rPr>
        <w:t xml:space="preserve">to </w:t>
      </w:r>
      <w:r>
        <w:rPr>
          <w:rFonts w:ascii="Arial" w:hAnsi="Arial" w:cs="Arial"/>
          <w:iCs/>
          <w:lang w:val="en-US"/>
        </w:rPr>
        <w:t xml:space="preserve">the community, </w:t>
      </w:r>
      <w:r w:rsidRPr="00536B6A">
        <w:rPr>
          <w:rFonts w:ascii="Arial" w:hAnsi="Arial" w:cs="Arial"/>
          <w:iCs/>
          <w:lang w:val="en-US"/>
        </w:rPr>
        <w:t>service providers and all tiers of government</w:t>
      </w:r>
      <w:r w:rsidRPr="00536B6A">
        <w:rPr>
          <w:rFonts w:ascii="Arial" w:hAnsi="Arial" w:cs="Arial"/>
        </w:rPr>
        <w:t>.</w:t>
      </w:r>
    </w:p>
    <w:p w14:paraId="5576EAA1" w14:textId="77777777" w:rsidR="003B4844" w:rsidRPr="00536B6A" w:rsidRDefault="003B4844" w:rsidP="00536B6A">
      <w:pPr>
        <w:rPr>
          <w:rFonts w:ascii="Arial" w:hAnsi="Arial" w:cs="Arial"/>
        </w:rPr>
      </w:pPr>
    </w:p>
    <w:p w14:paraId="434E977D" w14:textId="785AC6AE" w:rsidR="00915144" w:rsidRPr="00AD48BB" w:rsidRDefault="00915144" w:rsidP="00915144">
      <w:pPr>
        <w:pStyle w:val="ListParagraph"/>
        <w:numPr>
          <w:ilvl w:val="0"/>
          <w:numId w:val="24"/>
        </w:numPr>
        <w:rPr>
          <w:rFonts w:ascii="Arial" w:hAnsi="Arial" w:cs="Arial"/>
          <w:b/>
          <w:bCs/>
        </w:rPr>
      </w:pPr>
      <w:r w:rsidRPr="00AD48BB">
        <w:rPr>
          <w:rFonts w:ascii="Arial" w:hAnsi="Arial" w:cs="Arial"/>
          <w:b/>
          <w:bCs/>
        </w:rPr>
        <w:t>Strategic planning and regulation</w:t>
      </w:r>
    </w:p>
    <w:p w14:paraId="47EB521F" w14:textId="068BCF25" w:rsidR="00740116" w:rsidRDefault="006E7240" w:rsidP="00620A8B">
      <w:pPr>
        <w:ind w:left="360"/>
        <w:jc w:val="both"/>
        <w:rPr>
          <w:rFonts w:ascii="Arial" w:hAnsi="Arial" w:cs="Arial"/>
        </w:rPr>
      </w:pPr>
      <w:r>
        <w:rPr>
          <w:rFonts w:ascii="Arial" w:hAnsi="Arial" w:cs="Arial"/>
        </w:rPr>
        <w:t xml:space="preserve">Council will undertake </w:t>
      </w:r>
      <w:r w:rsidR="00DA36BC">
        <w:rPr>
          <w:rFonts w:ascii="Arial" w:hAnsi="Arial" w:cs="Arial"/>
        </w:rPr>
        <w:t>its strategic planning and regulat</w:t>
      </w:r>
      <w:r w:rsidR="00195106">
        <w:rPr>
          <w:rFonts w:ascii="Arial" w:hAnsi="Arial" w:cs="Arial"/>
        </w:rPr>
        <w:t>ory</w:t>
      </w:r>
      <w:r w:rsidR="00DA36BC">
        <w:rPr>
          <w:rFonts w:ascii="Arial" w:hAnsi="Arial" w:cs="Arial"/>
        </w:rPr>
        <w:t xml:space="preserve"> roles to </w:t>
      </w:r>
      <w:r w:rsidR="00740116">
        <w:rPr>
          <w:rFonts w:ascii="Arial" w:hAnsi="Arial" w:cs="Arial"/>
        </w:rPr>
        <w:t>protect those most at risk of gambling harm by:</w:t>
      </w:r>
    </w:p>
    <w:p w14:paraId="29611574" w14:textId="77777777" w:rsidR="007E5CF1" w:rsidRDefault="00EB77F5" w:rsidP="00BA6800">
      <w:pPr>
        <w:pStyle w:val="ListParagraph"/>
        <w:numPr>
          <w:ilvl w:val="0"/>
          <w:numId w:val="22"/>
        </w:numPr>
        <w:spacing w:after="120"/>
        <w:ind w:left="1080"/>
        <w:contextualSpacing w:val="0"/>
        <w:jc w:val="both"/>
        <w:rPr>
          <w:rFonts w:ascii="Arial" w:hAnsi="Arial" w:cs="Arial"/>
        </w:rPr>
      </w:pPr>
      <w:r w:rsidRPr="00544E25">
        <w:rPr>
          <w:rFonts w:ascii="Arial" w:hAnsi="Arial" w:cs="Arial"/>
        </w:rPr>
        <w:t xml:space="preserve">Embedding gambling harm </w:t>
      </w:r>
      <w:r w:rsidR="00006860" w:rsidRPr="00544E25">
        <w:rPr>
          <w:rFonts w:ascii="Arial" w:hAnsi="Arial" w:cs="Arial"/>
        </w:rPr>
        <w:t xml:space="preserve">minimisation </w:t>
      </w:r>
      <w:r w:rsidRPr="00544E25">
        <w:rPr>
          <w:rFonts w:ascii="Arial" w:hAnsi="Arial" w:cs="Arial"/>
        </w:rPr>
        <w:t>as a priority area in Council</w:t>
      </w:r>
      <w:r w:rsidR="00006860" w:rsidRPr="00544E25">
        <w:rPr>
          <w:rFonts w:ascii="Arial" w:hAnsi="Arial" w:cs="Arial"/>
        </w:rPr>
        <w:t>’</w:t>
      </w:r>
      <w:r w:rsidRPr="00544E25">
        <w:rPr>
          <w:rFonts w:ascii="Arial" w:hAnsi="Arial" w:cs="Arial"/>
        </w:rPr>
        <w:t>s strategic documents, including future Council and Health and Wellbeing Plans.</w:t>
      </w:r>
    </w:p>
    <w:p w14:paraId="5AAD7CB4" w14:textId="6B6C00A1" w:rsidR="00740116" w:rsidRDefault="00740116" w:rsidP="00BA6800">
      <w:pPr>
        <w:pStyle w:val="ListParagraph"/>
        <w:numPr>
          <w:ilvl w:val="0"/>
          <w:numId w:val="22"/>
        </w:numPr>
        <w:spacing w:after="120"/>
        <w:ind w:left="1080"/>
        <w:contextualSpacing w:val="0"/>
        <w:jc w:val="both"/>
        <w:rPr>
          <w:rFonts w:ascii="Arial" w:hAnsi="Arial" w:cs="Arial"/>
        </w:rPr>
      </w:pPr>
      <w:r>
        <w:rPr>
          <w:rFonts w:ascii="Arial" w:hAnsi="Arial" w:cs="Arial"/>
        </w:rPr>
        <w:t>Managing the location and operation of EGMs through the planning process</w:t>
      </w:r>
      <w:r w:rsidRPr="0051772D">
        <w:rPr>
          <w:rFonts w:ascii="Arial" w:hAnsi="Arial" w:cs="Arial"/>
        </w:rPr>
        <w:t>.</w:t>
      </w:r>
    </w:p>
    <w:p w14:paraId="0703B99E" w14:textId="68DC665A" w:rsidR="00740116" w:rsidRDefault="00740116" w:rsidP="00BA6800">
      <w:pPr>
        <w:pStyle w:val="ListParagraph"/>
        <w:numPr>
          <w:ilvl w:val="0"/>
          <w:numId w:val="22"/>
        </w:numPr>
        <w:spacing w:after="120"/>
        <w:ind w:left="1080"/>
        <w:contextualSpacing w:val="0"/>
        <w:jc w:val="both"/>
        <w:rPr>
          <w:rFonts w:ascii="Arial" w:hAnsi="Arial" w:cs="Arial"/>
        </w:rPr>
      </w:pPr>
      <w:r>
        <w:rPr>
          <w:rFonts w:ascii="Arial" w:hAnsi="Arial" w:cs="Arial"/>
        </w:rPr>
        <w:t xml:space="preserve">Assessing the social and economic impacts of applications considered under the </w:t>
      </w:r>
      <w:r>
        <w:rPr>
          <w:rFonts w:ascii="Arial" w:hAnsi="Arial" w:cs="Arial"/>
          <w:i/>
          <w:iCs/>
        </w:rPr>
        <w:t xml:space="preserve">Gambling Regulation Act 2003 </w:t>
      </w:r>
      <w:r>
        <w:rPr>
          <w:rFonts w:ascii="Arial" w:hAnsi="Arial" w:cs="Arial"/>
        </w:rPr>
        <w:t>and Maroondah Planning Scheme.</w:t>
      </w:r>
    </w:p>
    <w:p w14:paraId="33963F4D" w14:textId="6BFB33F3" w:rsidR="00740116" w:rsidRPr="0051772D" w:rsidRDefault="00740116" w:rsidP="00BA6800">
      <w:pPr>
        <w:pStyle w:val="ListParagraph"/>
        <w:numPr>
          <w:ilvl w:val="0"/>
          <w:numId w:val="22"/>
        </w:numPr>
        <w:spacing w:after="120"/>
        <w:ind w:left="1080"/>
        <w:contextualSpacing w:val="0"/>
        <w:jc w:val="both"/>
        <w:rPr>
          <w:rFonts w:ascii="Arial" w:hAnsi="Arial" w:cs="Arial"/>
        </w:rPr>
      </w:pPr>
      <w:r>
        <w:rPr>
          <w:rFonts w:ascii="Arial" w:hAnsi="Arial" w:cs="Arial"/>
        </w:rPr>
        <w:t>Enforcing planning permit conditions.</w:t>
      </w:r>
    </w:p>
    <w:p w14:paraId="3190B0B8" w14:textId="73140C55" w:rsidR="00740116" w:rsidRDefault="00740116" w:rsidP="00591134">
      <w:pPr>
        <w:pStyle w:val="ListParagraph"/>
        <w:numPr>
          <w:ilvl w:val="0"/>
          <w:numId w:val="24"/>
        </w:numPr>
        <w:jc w:val="both"/>
        <w:rPr>
          <w:rFonts w:ascii="Arial" w:hAnsi="Arial" w:cs="Arial"/>
          <w:b/>
          <w:bCs/>
        </w:rPr>
      </w:pPr>
      <w:r w:rsidRPr="00A37D3D">
        <w:rPr>
          <w:rFonts w:ascii="Arial" w:hAnsi="Arial" w:cs="Arial"/>
          <w:b/>
          <w:bCs/>
        </w:rPr>
        <w:t>Capacity building</w:t>
      </w:r>
    </w:p>
    <w:p w14:paraId="1F145C61" w14:textId="58167EC5" w:rsidR="00740116" w:rsidRDefault="00740116" w:rsidP="00985232">
      <w:pPr>
        <w:spacing w:after="120"/>
        <w:ind w:left="360"/>
        <w:jc w:val="both"/>
        <w:rPr>
          <w:rFonts w:ascii="Arial" w:hAnsi="Arial" w:cs="Arial"/>
        </w:rPr>
      </w:pPr>
      <w:r>
        <w:rPr>
          <w:rFonts w:ascii="Arial" w:hAnsi="Arial" w:cs="Arial"/>
        </w:rPr>
        <w:t xml:space="preserve">Council will build the community’s capacity to </w:t>
      </w:r>
      <w:r w:rsidR="00504D8E">
        <w:rPr>
          <w:rFonts w:ascii="Arial" w:hAnsi="Arial" w:cs="Arial"/>
        </w:rPr>
        <w:t>enhance health and wellbeing</w:t>
      </w:r>
      <w:r>
        <w:rPr>
          <w:rFonts w:ascii="Arial" w:hAnsi="Arial" w:cs="Arial"/>
        </w:rPr>
        <w:t xml:space="preserve"> by:</w:t>
      </w:r>
    </w:p>
    <w:p w14:paraId="2D453351" w14:textId="1731DAFA" w:rsidR="00740116" w:rsidRDefault="00740116" w:rsidP="00985232">
      <w:pPr>
        <w:pStyle w:val="ListParagraph"/>
        <w:numPr>
          <w:ilvl w:val="0"/>
          <w:numId w:val="14"/>
        </w:numPr>
        <w:spacing w:after="120"/>
        <w:contextualSpacing w:val="0"/>
        <w:jc w:val="both"/>
        <w:rPr>
          <w:rFonts w:ascii="Arial" w:hAnsi="Arial" w:cs="Arial"/>
        </w:rPr>
      </w:pPr>
      <w:r>
        <w:rPr>
          <w:rFonts w:ascii="Arial" w:hAnsi="Arial" w:cs="Arial"/>
        </w:rPr>
        <w:t>Raising</w:t>
      </w:r>
      <w:r w:rsidRPr="008E0FD5">
        <w:rPr>
          <w:rFonts w:ascii="Arial" w:hAnsi="Arial" w:cs="Arial"/>
        </w:rPr>
        <w:t xml:space="preserve"> awareness of the</w:t>
      </w:r>
      <w:r w:rsidR="007E5CF1">
        <w:rPr>
          <w:rFonts w:ascii="Arial" w:hAnsi="Arial" w:cs="Arial"/>
        </w:rPr>
        <w:t xml:space="preserve"> causes of and</w:t>
      </w:r>
      <w:r w:rsidRPr="008E0FD5">
        <w:rPr>
          <w:rFonts w:ascii="Arial" w:hAnsi="Arial" w:cs="Arial"/>
        </w:rPr>
        <w:t xml:space="preserve"> risks associated with gambling.</w:t>
      </w:r>
    </w:p>
    <w:p w14:paraId="487C3CD1" w14:textId="069ED2B4" w:rsidR="00740116" w:rsidRDefault="00740116" w:rsidP="00970196">
      <w:pPr>
        <w:pStyle w:val="ListParagraph"/>
        <w:numPr>
          <w:ilvl w:val="0"/>
          <w:numId w:val="14"/>
        </w:numPr>
        <w:spacing w:after="120"/>
        <w:contextualSpacing w:val="0"/>
        <w:jc w:val="both"/>
        <w:rPr>
          <w:rFonts w:ascii="Arial" w:hAnsi="Arial" w:cs="Arial"/>
        </w:rPr>
      </w:pPr>
      <w:r w:rsidRPr="00BA6800">
        <w:rPr>
          <w:rFonts w:ascii="Arial" w:hAnsi="Arial" w:cs="Arial"/>
        </w:rPr>
        <w:t>Raising awareness of support services available to people directly and indirectly affected by gambling harm.</w:t>
      </w:r>
    </w:p>
    <w:p w14:paraId="18072776" w14:textId="6D5EE6EB" w:rsidR="00875A83" w:rsidRPr="00BA6800" w:rsidRDefault="00875A83" w:rsidP="00970196">
      <w:pPr>
        <w:pStyle w:val="ListParagraph"/>
        <w:numPr>
          <w:ilvl w:val="0"/>
          <w:numId w:val="14"/>
        </w:numPr>
        <w:spacing w:after="120"/>
        <w:contextualSpacing w:val="0"/>
        <w:jc w:val="both"/>
        <w:rPr>
          <w:rFonts w:ascii="Arial" w:hAnsi="Arial" w:cs="Arial"/>
        </w:rPr>
      </w:pPr>
      <w:r>
        <w:rPr>
          <w:rFonts w:ascii="Arial" w:hAnsi="Arial" w:cs="Arial"/>
        </w:rPr>
        <w:t xml:space="preserve">Supporting efforts by community organisations to reduce </w:t>
      </w:r>
      <w:r w:rsidR="00D8683C">
        <w:rPr>
          <w:rFonts w:ascii="Arial" w:hAnsi="Arial" w:cs="Arial"/>
        </w:rPr>
        <w:t>their reliance on gambling revenue.</w:t>
      </w:r>
    </w:p>
    <w:p w14:paraId="5FC67B2C" w14:textId="6A080509" w:rsidR="00740116" w:rsidRDefault="00740116" w:rsidP="00591134">
      <w:pPr>
        <w:pStyle w:val="ListParagraph"/>
        <w:numPr>
          <w:ilvl w:val="0"/>
          <w:numId w:val="24"/>
        </w:numPr>
        <w:spacing w:after="120"/>
        <w:contextualSpacing w:val="0"/>
        <w:jc w:val="both"/>
        <w:rPr>
          <w:rFonts w:ascii="Arial" w:hAnsi="Arial" w:cs="Arial"/>
          <w:b/>
          <w:bCs/>
        </w:rPr>
      </w:pPr>
      <w:r w:rsidRPr="00A37D3D">
        <w:rPr>
          <w:rFonts w:ascii="Arial" w:hAnsi="Arial" w:cs="Arial"/>
          <w:b/>
          <w:bCs/>
        </w:rPr>
        <w:lastRenderedPageBreak/>
        <w:t>Advocacy</w:t>
      </w:r>
    </w:p>
    <w:p w14:paraId="093F9FEC" w14:textId="5B11E5B4" w:rsidR="00740116" w:rsidRDefault="00740116" w:rsidP="0028113F">
      <w:pPr>
        <w:spacing w:after="120"/>
        <w:ind w:left="360"/>
        <w:jc w:val="both"/>
        <w:rPr>
          <w:rFonts w:ascii="Arial" w:hAnsi="Arial" w:cs="Arial"/>
        </w:rPr>
      </w:pPr>
      <w:r>
        <w:rPr>
          <w:rFonts w:ascii="Arial" w:hAnsi="Arial" w:cs="Arial"/>
        </w:rPr>
        <w:t>Council will address the community’s concerns about the harmful impacts of gambling by:</w:t>
      </w:r>
    </w:p>
    <w:p w14:paraId="179A9EED" w14:textId="7878CD14" w:rsidR="00740116" w:rsidRDefault="008811CD" w:rsidP="0028113F">
      <w:pPr>
        <w:pStyle w:val="ListParagraph"/>
        <w:numPr>
          <w:ilvl w:val="0"/>
          <w:numId w:val="15"/>
        </w:numPr>
        <w:spacing w:after="120"/>
        <w:contextualSpacing w:val="0"/>
        <w:jc w:val="both"/>
        <w:rPr>
          <w:rFonts w:ascii="Arial" w:hAnsi="Arial" w:cs="Arial"/>
        </w:rPr>
      </w:pPr>
      <w:r>
        <w:rPr>
          <w:rFonts w:ascii="Arial" w:hAnsi="Arial" w:cs="Arial"/>
        </w:rPr>
        <w:t>Advocating</w:t>
      </w:r>
      <w:r w:rsidR="00740116">
        <w:rPr>
          <w:rFonts w:ascii="Arial" w:hAnsi="Arial" w:cs="Arial"/>
        </w:rPr>
        <w:t xml:space="preserve"> for reforms to the regulatory framework that improve the design and operation of gaming venues and EGMs and reduce exposure to gambling through advertising.</w:t>
      </w:r>
    </w:p>
    <w:p w14:paraId="7A1739EC" w14:textId="0E0CEEC4" w:rsidR="00740116" w:rsidRDefault="00740116" w:rsidP="00310D34">
      <w:pPr>
        <w:pStyle w:val="ListParagraph"/>
        <w:numPr>
          <w:ilvl w:val="0"/>
          <w:numId w:val="15"/>
        </w:numPr>
        <w:spacing w:after="120"/>
        <w:contextualSpacing w:val="0"/>
        <w:jc w:val="both"/>
        <w:rPr>
          <w:rFonts w:ascii="Arial" w:hAnsi="Arial" w:cs="Arial"/>
        </w:rPr>
      </w:pPr>
      <w:r>
        <w:rPr>
          <w:rFonts w:ascii="Arial" w:hAnsi="Arial" w:cs="Arial"/>
        </w:rPr>
        <w:t xml:space="preserve">Representing the community </w:t>
      </w:r>
      <w:r w:rsidR="005A3BD3">
        <w:rPr>
          <w:rFonts w:ascii="Arial" w:hAnsi="Arial" w:cs="Arial"/>
        </w:rPr>
        <w:t xml:space="preserve">in response </w:t>
      </w:r>
      <w:r>
        <w:rPr>
          <w:rFonts w:ascii="Arial" w:hAnsi="Arial" w:cs="Arial"/>
        </w:rPr>
        <w:t xml:space="preserve">to applications considered under the </w:t>
      </w:r>
      <w:r>
        <w:rPr>
          <w:rFonts w:ascii="Arial" w:hAnsi="Arial" w:cs="Arial"/>
          <w:i/>
          <w:iCs/>
        </w:rPr>
        <w:t xml:space="preserve">Gambling Regulation Act 2003 </w:t>
      </w:r>
      <w:r>
        <w:rPr>
          <w:rFonts w:ascii="Arial" w:hAnsi="Arial" w:cs="Arial"/>
        </w:rPr>
        <w:t xml:space="preserve">and </w:t>
      </w:r>
      <w:r w:rsidR="00E51082">
        <w:rPr>
          <w:rFonts w:ascii="Arial" w:hAnsi="Arial" w:cs="Arial"/>
          <w:i/>
          <w:iCs/>
        </w:rPr>
        <w:t>Planning and Environment Act 1987</w:t>
      </w:r>
      <w:r>
        <w:rPr>
          <w:rFonts w:ascii="Arial" w:hAnsi="Arial" w:cs="Arial"/>
        </w:rPr>
        <w:t>.</w:t>
      </w:r>
    </w:p>
    <w:p w14:paraId="78D964B0" w14:textId="340966E5" w:rsidR="00740116" w:rsidRDefault="00740116" w:rsidP="00310D34">
      <w:pPr>
        <w:pStyle w:val="ListParagraph"/>
        <w:numPr>
          <w:ilvl w:val="0"/>
          <w:numId w:val="15"/>
        </w:numPr>
        <w:spacing w:after="120"/>
        <w:contextualSpacing w:val="0"/>
        <w:jc w:val="both"/>
        <w:rPr>
          <w:rFonts w:ascii="Arial" w:hAnsi="Arial" w:cs="Arial"/>
        </w:rPr>
      </w:pPr>
      <w:r>
        <w:rPr>
          <w:rFonts w:ascii="Arial" w:hAnsi="Arial" w:cs="Arial"/>
        </w:rPr>
        <w:t>Making submissions to state and federal government proposals in relation to gambling matters.</w:t>
      </w:r>
    </w:p>
    <w:p w14:paraId="7C02AAC3" w14:textId="12FF108D" w:rsidR="00B2439C" w:rsidRPr="00310D34" w:rsidRDefault="001B36A5" w:rsidP="00310D34">
      <w:pPr>
        <w:pStyle w:val="ListParagraph"/>
        <w:numPr>
          <w:ilvl w:val="0"/>
          <w:numId w:val="15"/>
        </w:numPr>
        <w:spacing w:after="120"/>
        <w:contextualSpacing w:val="0"/>
        <w:jc w:val="both"/>
        <w:rPr>
          <w:rFonts w:ascii="Arial" w:hAnsi="Arial" w:cs="Arial"/>
        </w:rPr>
      </w:pPr>
      <w:r>
        <w:rPr>
          <w:rFonts w:ascii="Arial" w:hAnsi="Arial" w:cs="Arial"/>
        </w:rPr>
        <w:t>Maintaining</w:t>
      </w:r>
      <w:r w:rsidR="00B2439C">
        <w:rPr>
          <w:rFonts w:ascii="Arial" w:hAnsi="Arial" w:cs="Arial"/>
        </w:rPr>
        <w:t xml:space="preserve"> strong partnerships with peak bodies</w:t>
      </w:r>
      <w:r w:rsidR="00BC18F5">
        <w:rPr>
          <w:rFonts w:ascii="Arial" w:hAnsi="Arial" w:cs="Arial"/>
        </w:rPr>
        <w:t xml:space="preserve"> </w:t>
      </w:r>
      <w:r w:rsidR="00FE730D">
        <w:rPr>
          <w:rFonts w:ascii="Arial" w:hAnsi="Arial" w:cs="Arial"/>
        </w:rPr>
        <w:t xml:space="preserve">such as the Alliance </w:t>
      </w:r>
      <w:r w:rsidR="00B0310C">
        <w:rPr>
          <w:rFonts w:ascii="Arial" w:hAnsi="Arial" w:cs="Arial"/>
        </w:rPr>
        <w:t>f</w:t>
      </w:r>
      <w:r w:rsidR="00FE730D">
        <w:rPr>
          <w:rFonts w:ascii="Arial" w:hAnsi="Arial" w:cs="Arial"/>
        </w:rPr>
        <w:t>or Gambling Reform</w:t>
      </w:r>
      <w:r w:rsidR="00422C6E">
        <w:rPr>
          <w:rFonts w:ascii="Arial" w:hAnsi="Arial" w:cs="Arial"/>
        </w:rPr>
        <w:t xml:space="preserve"> </w:t>
      </w:r>
      <w:r w:rsidR="00BC18F5">
        <w:rPr>
          <w:rFonts w:ascii="Arial" w:hAnsi="Arial" w:cs="Arial"/>
        </w:rPr>
        <w:t xml:space="preserve">and </w:t>
      </w:r>
      <w:r w:rsidR="005A3BD3">
        <w:rPr>
          <w:rFonts w:ascii="Arial" w:hAnsi="Arial" w:cs="Arial"/>
        </w:rPr>
        <w:t xml:space="preserve">other </w:t>
      </w:r>
      <w:r w:rsidR="00BC18F5">
        <w:rPr>
          <w:rFonts w:ascii="Arial" w:hAnsi="Arial" w:cs="Arial"/>
        </w:rPr>
        <w:t>local governments</w:t>
      </w:r>
      <w:r w:rsidR="00A876F3">
        <w:rPr>
          <w:rFonts w:ascii="Arial" w:hAnsi="Arial" w:cs="Arial"/>
        </w:rPr>
        <w:t xml:space="preserve"> to enhance advocacy impacts.</w:t>
      </w:r>
    </w:p>
    <w:p w14:paraId="772F19A3" w14:textId="2AA18C69" w:rsidR="00740116" w:rsidRPr="00A37D3D" w:rsidRDefault="00740116" w:rsidP="00591134">
      <w:pPr>
        <w:pStyle w:val="ListParagraph"/>
        <w:numPr>
          <w:ilvl w:val="0"/>
          <w:numId w:val="24"/>
        </w:numPr>
        <w:spacing w:after="120"/>
        <w:contextualSpacing w:val="0"/>
        <w:jc w:val="both"/>
        <w:rPr>
          <w:rFonts w:ascii="Arial" w:hAnsi="Arial" w:cs="Arial"/>
          <w:b/>
          <w:bCs/>
        </w:rPr>
      </w:pPr>
      <w:r w:rsidRPr="00A37D3D">
        <w:rPr>
          <w:rFonts w:ascii="Arial" w:hAnsi="Arial" w:cs="Arial"/>
          <w:b/>
          <w:bCs/>
        </w:rPr>
        <w:t>Collaboration</w:t>
      </w:r>
    </w:p>
    <w:p w14:paraId="033C654E" w14:textId="692D305E" w:rsidR="00740116" w:rsidRDefault="00740116" w:rsidP="00985232">
      <w:pPr>
        <w:spacing w:after="120"/>
        <w:ind w:left="360"/>
        <w:jc w:val="both"/>
        <w:rPr>
          <w:rFonts w:ascii="Arial" w:hAnsi="Arial" w:cs="Arial"/>
        </w:rPr>
      </w:pPr>
      <w:r>
        <w:rPr>
          <w:rFonts w:ascii="Arial" w:hAnsi="Arial" w:cs="Arial"/>
        </w:rPr>
        <w:t xml:space="preserve">Council will </w:t>
      </w:r>
      <w:r w:rsidR="00210316">
        <w:rPr>
          <w:rFonts w:ascii="Arial" w:hAnsi="Arial" w:cs="Arial"/>
        </w:rPr>
        <w:t>collaborate with our</w:t>
      </w:r>
      <w:r>
        <w:rPr>
          <w:rFonts w:ascii="Arial" w:hAnsi="Arial" w:cs="Arial"/>
        </w:rPr>
        <w:t xml:space="preserve"> stakeholders to prevent and minimise gambling harm by:</w:t>
      </w:r>
    </w:p>
    <w:p w14:paraId="249A540A" w14:textId="462A7B4F" w:rsidR="00740116" w:rsidRDefault="00740116" w:rsidP="00985232">
      <w:pPr>
        <w:pStyle w:val="ListParagraph"/>
        <w:numPr>
          <w:ilvl w:val="0"/>
          <w:numId w:val="13"/>
        </w:numPr>
        <w:spacing w:after="120"/>
        <w:ind w:left="1077" w:hanging="357"/>
        <w:contextualSpacing w:val="0"/>
        <w:jc w:val="both"/>
        <w:rPr>
          <w:rFonts w:ascii="Arial" w:hAnsi="Arial" w:cs="Arial"/>
        </w:rPr>
      </w:pPr>
      <w:r>
        <w:rPr>
          <w:rFonts w:ascii="Arial" w:hAnsi="Arial" w:cs="Arial"/>
        </w:rPr>
        <w:t xml:space="preserve">Strengthening collaborative partnerships with </w:t>
      </w:r>
      <w:r w:rsidR="00466F68">
        <w:rPr>
          <w:rFonts w:ascii="Arial" w:hAnsi="Arial" w:cs="Arial"/>
        </w:rPr>
        <w:t>agencies</w:t>
      </w:r>
      <w:r>
        <w:rPr>
          <w:rFonts w:ascii="Arial" w:hAnsi="Arial" w:cs="Arial"/>
        </w:rPr>
        <w:t xml:space="preserve"> responsible for delivering services to people affected by gambling harm.</w:t>
      </w:r>
    </w:p>
    <w:p w14:paraId="1F7BFD3F" w14:textId="097980C7" w:rsidR="00740116" w:rsidRDefault="00740116" w:rsidP="00B21D6A">
      <w:pPr>
        <w:pStyle w:val="ListParagraph"/>
        <w:numPr>
          <w:ilvl w:val="0"/>
          <w:numId w:val="13"/>
        </w:numPr>
        <w:spacing w:after="120"/>
        <w:ind w:left="1077" w:hanging="357"/>
        <w:contextualSpacing w:val="0"/>
        <w:jc w:val="both"/>
        <w:rPr>
          <w:rFonts w:ascii="Arial" w:hAnsi="Arial" w:cs="Arial"/>
        </w:rPr>
      </w:pPr>
      <w:r>
        <w:rPr>
          <w:rFonts w:ascii="Arial" w:hAnsi="Arial" w:cs="Arial"/>
        </w:rPr>
        <w:t xml:space="preserve">Collectively enhancing access to </w:t>
      </w:r>
      <w:r w:rsidR="00D71640">
        <w:rPr>
          <w:rFonts w:ascii="Arial" w:hAnsi="Arial" w:cs="Arial"/>
        </w:rPr>
        <w:t xml:space="preserve">and use of </w:t>
      </w:r>
      <w:r>
        <w:rPr>
          <w:rFonts w:ascii="Arial" w:hAnsi="Arial" w:cs="Arial"/>
        </w:rPr>
        <w:t>activities and facilities that provide social, leisure, entertainment</w:t>
      </w:r>
      <w:r w:rsidR="00F6306B">
        <w:rPr>
          <w:rFonts w:ascii="Arial" w:hAnsi="Arial" w:cs="Arial"/>
        </w:rPr>
        <w:t>, cultural</w:t>
      </w:r>
      <w:r>
        <w:rPr>
          <w:rFonts w:ascii="Arial" w:hAnsi="Arial" w:cs="Arial"/>
        </w:rPr>
        <w:t xml:space="preserve"> and recreational alternatives to gambling.</w:t>
      </w:r>
    </w:p>
    <w:p w14:paraId="2BA96F67" w14:textId="70B92EA5" w:rsidR="00B97F88" w:rsidRDefault="00740116" w:rsidP="00B97F88">
      <w:pPr>
        <w:pStyle w:val="ListParagraph"/>
        <w:numPr>
          <w:ilvl w:val="0"/>
          <w:numId w:val="13"/>
        </w:numPr>
        <w:spacing w:after="120"/>
        <w:ind w:left="1077" w:hanging="357"/>
        <w:contextualSpacing w:val="0"/>
        <w:jc w:val="both"/>
        <w:rPr>
          <w:rFonts w:ascii="Arial" w:hAnsi="Arial" w:cs="Arial"/>
        </w:rPr>
      </w:pPr>
      <w:r>
        <w:rPr>
          <w:rFonts w:ascii="Arial" w:hAnsi="Arial" w:cs="Arial"/>
        </w:rPr>
        <w:t xml:space="preserve">Collaborating with adjoining local authorities when responding to applications considered under the </w:t>
      </w:r>
      <w:r>
        <w:rPr>
          <w:rFonts w:ascii="Arial" w:hAnsi="Arial" w:cs="Arial"/>
          <w:i/>
          <w:iCs/>
        </w:rPr>
        <w:t xml:space="preserve">Gambling Regulation Act 2003 </w:t>
      </w:r>
      <w:r>
        <w:rPr>
          <w:rFonts w:ascii="Arial" w:hAnsi="Arial" w:cs="Arial"/>
        </w:rPr>
        <w:t xml:space="preserve">and </w:t>
      </w:r>
      <w:r w:rsidR="00E51082">
        <w:rPr>
          <w:rFonts w:ascii="Arial" w:hAnsi="Arial" w:cs="Arial"/>
          <w:i/>
          <w:iCs/>
        </w:rPr>
        <w:t>Planning and Environment Act 1987</w:t>
      </w:r>
      <w:r w:rsidR="00267447">
        <w:rPr>
          <w:rFonts w:ascii="Arial" w:hAnsi="Arial" w:cs="Arial"/>
          <w:i/>
          <w:iCs/>
        </w:rPr>
        <w:t>.</w:t>
      </w:r>
    </w:p>
    <w:p w14:paraId="2213B0DD" w14:textId="2104F986" w:rsidR="00B97F88" w:rsidRPr="00BA6800" w:rsidRDefault="00B14ABE" w:rsidP="00CE65C3">
      <w:pPr>
        <w:spacing w:after="120"/>
        <w:jc w:val="both"/>
        <w:rPr>
          <w:rFonts w:ascii="Arial" w:hAnsi="Arial" w:cs="Arial"/>
          <w:b/>
          <w:bCs/>
        </w:rPr>
      </w:pPr>
      <w:r>
        <w:rPr>
          <w:rFonts w:ascii="Arial" w:hAnsi="Arial" w:cs="Arial"/>
          <w:b/>
          <w:bCs/>
        </w:rPr>
        <w:t xml:space="preserve">     </w:t>
      </w:r>
      <w:r w:rsidR="00CE65C3" w:rsidRPr="00BA6800">
        <w:rPr>
          <w:rFonts w:ascii="Arial" w:hAnsi="Arial" w:cs="Arial"/>
          <w:b/>
          <w:bCs/>
        </w:rPr>
        <w:t>5. Leadership</w:t>
      </w:r>
    </w:p>
    <w:p w14:paraId="0315F3AA" w14:textId="4B4E8974" w:rsidR="00CE65C3" w:rsidRDefault="00C24164" w:rsidP="0029223E">
      <w:pPr>
        <w:spacing w:after="120"/>
        <w:ind w:left="360"/>
        <w:jc w:val="both"/>
        <w:rPr>
          <w:rFonts w:ascii="Arial" w:hAnsi="Arial" w:cs="Arial"/>
        </w:rPr>
      </w:pPr>
      <w:r>
        <w:rPr>
          <w:rFonts w:ascii="Arial" w:hAnsi="Arial" w:cs="Arial"/>
        </w:rPr>
        <w:t xml:space="preserve">     </w:t>
      </w:r>
      <w:r w:rsidR="000276FC">
        <w:rPr>
          <w:rFonts w:ascii="Arial" w:hAnsi="Arial" w:cs="Arial"/>
        </w:rPr>
        <w:t xml:space="preserve">Council </w:t>
      </w:r>
      <w:r w:rsidR="00EB77F5">
        <w:rPr>
          <w:rFonts w:ascii="Arial" w:hAnsi="Arial" w:cs="Arial"/>
        </w:rPr>
        <w:t>will demonstrate leadership through managing its facilities and programs</w:t>
      </w:r>
      <w:r w:rsidR="000276FC">
        <w:rPr>
          <w:rFonts w:ascii="Arial" w:hAnsi="Arial" w:cs="Arial"/>
        </w:rPr>
        <w:t xml:space="preserve"> to prevent and minimise</w:t>
      </w:r>
      <w:r>
        <w:rPr>
          <w:rFonts w:ascii="Arial" w:hAnsi="Arial" w:cs="Arial"/>
        </w:rPr>
        <w:t xml:space="preserve"> </w:t>
      </w:r>
      <w:r w:rsidR="000276FC">
        <w:rPr>
          <w:rFonts w:ascii="Arial" w:hAnsi="Arial" w:cs="Arial"/>
        </w:rPr>
        <w:t>harm from gambling</w:t>
      </w:r>
      <w:r w:rsidR="008D13B4">
        <w:rPr>
          <w:rFonts w:ascii="Arial" w:hAnsi="Arial" w:cs="Arial"/>
        </w:rPr>
        <w:t xml:space="preserve"> by:</w:t>
      </w:r>
    </w:p>
    <w:p w14:paraId="302D6ADF" w14:textId="661FDE98" w:rsidR="00C21455" w:rsidRDefault="005B491D" w:rsidP="002F3DB9">
      <w:pPr>
        <w:pStyle w:val="ListParagraph"/>
        <w:numPr>
          <w:ilvl w:val="0"/>
          <w:numId w:val="23"/>
        </w:numPr>
        <w:spacing w:after="120"/>
        <w:ind w:left="1071" w:hanging="357"/>
        <w:contextualSpacing w:val="0"/>
        <w:jc w:val="both"/>
        <w:rPr>
          <w:rFonts w:ascii="Arial" w:hAnsi="Arial" w:cs="Arial"/>
        </w:rPr>
      </w:pPr>
      <w:r>
        <w:rPr>
          <w:rFonts w:ascii="Arial" w:hAnsi="Arial" w:cs="Arial"/>
        </w:rPr>
        <w:t>Prohibiting</w:t>
      </w:r>
      <w:r w:rsidR="00AE075B">
        <w:rPr>
          <w:rFonts w:ascii="Arial" w:hAnsi="Arial" w:cs="Arial"/>
        </w:rPr>
        <w:t xml:space="preserve"> exposure to</w:t>
      </w:r>
      <w:r>
        <w:rPr>
          <w:rFonts w:ascii="Arial" w:hAnsi="Arial" w:cs="Arial"/>
        </w:rPr>
        <w:t xml:space="preserve"> gambling on Council-owned or managed land.</w:t>
      </w:r>
    </w:p>
    <w:p w14:paraId="28C9E4A2" w14:textId="5FCC001E" w:rsidR="0030213B" w:rsidRDefault="00EB77F5" w:rsidP="002F3DB9">
      <w:pPr>
        <w:pStyle w:val="ListParagraph"/>
        <w:numPr>
          <w:ilvl w:val="0"/>
          <w:numId w:val="23"/>
        </w:numPr>
        <w:spacing w:after="120"/>
        <w:ind w:left="1071" w:hanging="357"/>
        <w:contextualSpacing w:val="0"/>
        <w:jc w:val="both"/>
        <w:rPr>
          <w:rFonts w:ascii="Arial" w:hAnsi="Arial" w:cs="Arial"/>
        </w:rPr>
      </w:pPr>
      <w:r w:rsidRPr="002F3DB9">
        <w:rPr>
          <w:rFonts w:ascii="Arial" w:hAnsi="Arial" w:cs="Arial"/>
        </w:rPr>
        <w:t>Not</w:t>
      </w:r>
      <w:r w:rsidR="003443DA" w:rsidRPr="002F3DB9">
        <w:rPr>
          <w:rFonts w:ascii="Arial" w:hAnsi="Arial" w:cs="Arial"/>
        </w:rPr>
        <w:t xml:space="preserve"> provid</w:t>
      </w:r>
      <w:r w:rsidRPr="002F3DB9">
        <w:rPr>
          <w:rFonts w:ascii="Arial" w:hAnsi="Arial" w:cs="Arial"/>
        </w:rPr>
        <w:t>ing</w:t>
      </w:r>
      <w:r w:rsidR="003443DA" w:rsidRPr="002F3DB9">
        <w:rPr>
          <w:rFonts w:ascii="Arial" w:hAnsi="Arial" w:cs="Arial"/>
        </w:rPr>
        <w:t xml:space="preserve"> community grants, financial assistance, or in-kind support to organisations or businesses that operate EGMs</w:t>
      </w:r>
      <w:r w:rsidR="0030213B">
        <w:rPr>
          <w:rFonts w:ascii="Arial" w:hAnsi="Arial" w:cs="Arial"/>
        </w:rPr>
        <w:t>.</w:t>
      </w:r>
    </w:p>
    <w:p w14:paraId="000E4DBB" w14:textId="2671C5AF" w:rsidR="003443DA" w:rsidRPr="004C1C3D" w:rsidRDefault="0030213B" w:rsidP="002F3DB9">
      <w:pPr>
        <w:pStyle w:val="ListParagraph"/>
        <w:numPr>
          <w:ilvl w:val="0"/>
          <w:numId w:val="23"/>
        </w:numPr>
        <w:spacing w:after="120"/>
        <w:ind w:left="1071" w:hanging="357"/>
        <w:contextualSpacing w:val="0"/>
        <w:jc w:val="both"/>
        <w:rPr>
          <w:rFonts w:ascii="Arial" w:hAnsi="Arial" w:cs="Arial"/>
        </w:rPr>
      </w:pPr>
      <w:r w:rsidRPr="4CD967B0">
        <w:rPr>
          <w:rFonts w:ascii="Arial" w:hAnsi="Arial" w:cs="Arial"/>
        </w:rPr>
        <w:t>N</w:t>
      </w:r>
      <w:r w:rsidR="006F529E" w:rsidRPr="4CD967B0">
        <w:rPr>
          <w:rFonts w:ascii="Arial" w:hAnsi="Arial" w:cs="Arial"/>
        </w:rPr>
        <w:t>ot fund</w:t>
      </w:r>
      <w:r w:rsidR="00EB77F5" w:rsidRPr="4CD967B0">
        <w:rPr>
          <w:rFonts w:ascii="Arial" w:hAnsi="Arial" w:cs="Arial"/>
        </w:rPr>
        <w:t>ing</w:t>
      </w:r>
      <w:r w:rsidR="006F529E" w:rsidRPr="4CD967B0">
        <w:rPr>
          <w:rFonts w:ascii="Arial" w:hAnsi="Arial" w:cs="Arial"/>
        </w:rPr>
        <w:t xml:space="preserve"> any programs or activities held in </w:t>
      </w:r>
      <w:r w:rsidR="00C636A4" w:rsidRPr="4CD967B0">
        <w:rPr>
          <w:rFonts w:ascii="Arial" w:hAnsi="Arial" w:cs="Arial"/>
        </w:rPr>
        <w:t>facilities that operate EGMs.</w:t>
      </w:r>
      <w:r w:rsidR="003443DA" w:rsidRPr="4CD967B0">
        <w:rPr>
          <w:rFonts w:ascii="Arial" w:hAnsi="Arial" w:cs="Arial"/>
        </w:rPr>
        <w:t xml:space="preserve"> </w:t>
      </w:r>
    </w:p>
    <w:p w14:paraId="4392FEA7" w14:textId="030CD75E" w:rsidR="0030213B" w:rsidRDefault="00E80B37" w:rsidP="002F3DB9">
      <w:pPr>
        <w:pStyle w:val="ListParagraph"/>
        <w:numPr>
          <w:ilvl w:val="0"/>
          <w:numId w:val="23"/>
        </w:numPr>
        <w:spacing w:after="120"/>
        <w:ind w:left="1071" w:hanging="357"/>
        <w:contextualSpacing w:val="0"/>
        <w:jc w:val="both"/>
        <w:rPr>
          <w:rFonts w:ascii="Arial" w:hAnsi="Arial" w:cs="Arial"/>
        </w:rPr>
      </w:pPr>
      <w:r>
        <w:rPr>
          <w:rFonts w:ascii="Arial" w:hAnsi="Arial" w:cs="Arial"/>
        </w:rPr>
        <w:t>M</w:t>
      </w:r>
      <w:r w:rsidR="00CB4ADF">
        <w:rPr>
          <w:rFonts w:ascii="Arial" w:hAnsi="Arial" w:cs="Arial"/>
        </w:rPr>
        <w:t>aintain</w:t>
      </w:r>
      <w:r>
        <w:rPr>
          <w:rFonts w:ascii="Arial" w:hAnsi="Arial" w:cs="Arial"/>
        </w:rPr>
        <w:t>ing</w:t>
      </w:r>
      <w:r w:rsidR="00A500BB">
        <w:rPr>
          <w:rFonts w:ascii="Arial" w:hAnsi="Arial" w:cs="Arial"/>
        </w:rPr>
        <w:t xml:space="preserve"> </w:t>
      </w:r>
      <w:r w:rsidR="00CB4ADF">
        <w:rPr>
          <w:rFonts w:ascii="Arial" w:hAnsi="Arial" w:cs="Arial"/>
        </w:rPr>
        <w:t>independence from the gambling industry by n</w:t>
      </w:r>
      <w:r w:rsidR="003443DA" w:rsidRPr="4CD967B0">
        <w:rPr>
          <w:rFonts w:ascii="Arial" w:hAnsi="Arial" w:cs="Arial"/>
        </w:rPr>
        <w:t>ot accept</w:t>
      </w:r>
      <w:r w:rsidR="00EB77F5" w:rsidRPr="4CD967B0">
        <w:rPr>
          <w:rFonts w:ascii="Arial" w:hAnsi="Arial" w:cs="Arial"/>
        </w:rPr>
        <w:t>ing</w:t>
      </w:r>
      <w:r w:rsidR="003443DA" w:rsidRPr="4CD967B0">
        <w:rPr>
          <w:rFonts w:ascii="Arial" w:hAnsi="Arial" w:cs="Arial"/>
        </w:rPr>
        <w:t xml:space="preserve"> direct financial contributions </w:t>
      </w:r>
      <w:r w:rsidR="004F0478" w:rsidRPr="4CD967B0">
        <w:rPr>
          <w:rFonts w:ascii="Arial" w:hAnsi="Arial" w:cs="Arial"/>
        </w:rPr>
        <w:t xml:space="preserve">nor participating in the distribution of financial contributions </w:t>
      </w:r>
      <w:r w:rsidR="003443DA" w:rsidRPr="4CD967B0">
        <w:rPr>
          <w:rFonts w:ascii="Arial" w:hAnsi="Arial" w:cs="Arial"/>
        </w:rPr>
        <w:t>from the gambling industry</w:t>
      </w:r>
      <w:r w:rsidR="008B0886" w:rsidRPr="4CD967B0">
        <w:rPr>
          <w:rFonts w:ascii="Arial" w:hAnsi="Arial" w:cs="Arial"/>
        </w:rPr>
        <w:t xml:space="preserve"> </w:t>
      </w:r>
    </w:p>
    <w:p w14:paraId="3FC8AAEB" w14:textId="5407D0F2" w:rsidR="003443DA" w:rsidRPr="002F3DB9" w:rsidRDefault="0030213B" w:rsidP="002F3DB9">
      <w:pPr>
        <w:pStyle w:val="ListParagraph"/>
        <w:numPr>
          <w:ilvl w:val="0"/>
          <w:numId w:val="23"/>
        </w:numPr>
        <w:spacing w:after="120"/>
        <w:ind w:left="1071" w:hanging="357"/>
        <w:contextualSpacing w:val="0"/>
        <w:jc w:val="both"/>
        <w:rPr>
          <w:rFonts w:ascii="Arial" w:hAnsi="Arial" w:cs="Arial"/>
        </w:rPr>
      </w:pPr>
      <w:r>
        <w:rPr>
          <w:rFonts w:ascii="Arial" w:hAnsi="Arial" w:cs="Arial"/>
        </w:rPr>
        <w:t>N</w:t>
      </w:r>
      <w:r w:rsidR="003443DA" w:rsidRPr="002F3DB9">
        <w:rPr>
          <w:rFonts w:ascii="Arial" w:hAnsi="Arial" w:cs="Arial"/>
        </w:rPr>
        <w:t>ot promot</w:t>
      </w:r>
      <w:r w:rsidR="00EB77F5" w:rsidRPr="002F3DB9">
        <w:rPr>
          <w:rFonts w:ascii="Arial" w:hAnsi="Arial" w:cs="Arial"/>
        </w:rPr>
        <w:t xml:space="preserve">ing </w:t>
      </w:r>
      <w:r w:rsidR="003443DA" w:rsidRPr="002F3DB9">
        <w:rPr>
          <w:rFonts w:ascii="Arial" w:hAnsi="Arial" w:cs="Arial"/>
        </w:rPr>
        <w:t xml:space="preserve">events or activities held at venues with EGMs. </w:t>
      </w:r>
    </w:p>
    <w:p w14:paraId="1051C4C1" w14:textId="0956EE70" w:rsidR="003443DA" w:rsidRPr="002F3DB9" w:rsidRDefault="00EB77F5" w:rsidP="002F3DB9">
      <w:pPr>
        <w:pStyle w:val="ListParagraph"/>
        <w:numPr>
          <w:ilvl w:val="0"/>
          <w:numId w:val="23"/>
        </w:numPr>
        <w:spacing w:after="120"/>
        <w:ind w:left="1071" w:hanging="357"/>
        <w:contextualSpacing w:val="0"/>
        <w:jc w:val="both"/>
        <w:rPr>
          <w:rFonts w:ascii="Arial" w:hAnsi="Arial" w:cs="Arial"/>
        </w:rPr>
      </w:pPr>
      <w:r w:rsidRPr="002F3DB9">
        <w:rPr>
          <w:rFonts w:ascii="Arial" w:hAnsi="Arial" w:cs="Arial"/>
        </w:rPr>
        <w:t>N</w:t>
      </w:r>
      <w:r w:rsidR="003443DA" w:rsidRPr="002F3DB9">
        <w:rPr>
          <w:rFonts w:ascii="Arial" w:hAnsi="Arial" w:cs="Arial"/>
        </w:rPr>
        <w:t>ot hold</w:t>
      </w:r>
      <w:r w:rsidRPr="002F3DB9">
        <w:rPr>
          <w:rFonts w:ascii="Arial" w:hAnsi="Arial" w:cs="Arial"/>
        </w:rPr>
        <w:t>ing</w:t>
      </w:r>
      <w:r w:rsidR="003443DA" w:rsidRPr="002F3DB9">
        <w:rPr>
          <w:rFonts w:ascii="Arial" w:hAnsi="Arial" w:cs="Arial"/>
        </w:rPr>
        <w:t xml:space="preserve"> any activity, event, function or program at venues that operate EGMs</w:t>
      </w:r>
      <w:r w:rsidR="00BF702F">
        <w:rPr>
          <w:rFonts w:ascii="Arial" w:hAnsi="Arial" w:cs="Arial"/>
        </w:rPr>
        <w:t>.</w:t>
      </w:r>
    </w:p>
    <w:p w14:paraId="2BF5D6E3" w14:textId="60365E06" w:rsidR="003443DA" w:rsidRDefault="00EB77F5" w:rsidP="002F3DB9">
      <w:pPr>
        <w:pStyle w:val="ListParagraph"/>
        <w:numPr>
          <w:ilvl w:val="0"/>
          <w:numId w:val="23"/>
        </w:numPr>
        <w:spacing w:after="120"/>
        <w:ind w:left="1071" w:hanging="357"/>
        <w:contextualSpacing w:val="0"/>
        <w:jc w:val="both"/>
        <w:rPr>
          <w:rFonts w:ascii="Arial" w:hAnsi="Arial" w:cs="Arial"/>
        </w:rPr>
      </w:pPr>
      <w:r w:rsidRPr="4CD967B0">
        <w:rPr>
          <w:rFonts w:ascii="Arial" w:hAnsi="Arial" w:cs="Arial"/>
        </w:rPr>
        <w:t>E</w:t>
      </w:r>
      <w:r w:rsidR="00C06DDB" w:rsidRPr="4CD967B0">
        <w:rPr>
          <w:rFonts w:ascii="Arial" w:hAnsi="Arial" w:cs="Arial"/>
        </w:rPr>
        <w:t>ndeavour</w:t>
      </w:r>
      <w:r w:rsidRPr="4CD967B0">
        <w:rPr>
          <w:rFonts w:ascii="Arial" w:hAnsi="Arial" w:cs="Arial"/>
        </w:rPr>
        <w:t>ing</w:t>
      </w:r>
      <w:r w:rsidR="003443DA" w:rsidRPr="4CD967B0">
        <w:rPr>
          <w:rFonts w:ascii="Arial" w:hAnsi="Arial" w:cs="Arial"/>
        </w:rPr>
        <w:t xml:space="preserve"> to filter and block gambling related internet sites for devices connected to the Council’s core ICT Network. </w:t>
      </w:r>
    </w:p>
    <w:p w14:paraId="13BAF8F7" w14:textId="5346565F" w:rsidR="00740116" w:rsidRPr="00F53A0B" w:rsidRDefault="00740116" w:rsidP="00591134">
      <w:pPr>
        <w:pStyle w:val="Heading1"/>
        <w:spacing w:after="120"/>
        <w:jc w:val="both"/>
        <w:rPr>
          <w:rFonts w:cs="Arial"/>
          <w:lang w:val="en-US"/>
        </w:rPr>
      </w:pPr>
      <w:r w:rsidRPr="4CD967B0">
        <w:rPr>
          <w:rFonts w:cs="Arial"/>
          <w:lang w:val="en-US"/>
        </w:rPr>
        <w:t xml:space="preserve">Policy implementation </w:t>
      </w:r>
    </w:p>
    <w:p w14:paraId="02AC748D" w14:textId="66C2FBDA" w:rsidR="00740116" w:rsidRDefault="00740116" w:rsidP="000668C1">
      <w:pPr>
        <w:jc w:val="both"/>
        <w:rPr>
          <w:rFonts w:ascii="Arial" w:hAnsi="Arial" w:cs="Arial"/>
          <w:iCs/>
        </w:rPr>
      </w:pPr>
      <w:r>
        <w:rPr>
          <w:rFonts w:ascii="Arial" w:hAnsi="Arial" w:cs="Arial"/>
          <w:iCs/>
        </w:rPr>
        <w:t>The Policy will be implemented through Council’s planning, policy, programs and decision-making processes.</w:t>
      </w:r>
    </w:p>
    <w:p w14:paraId="5D6D2260" w14:textId="1F715550" w:rsidR="00740116" w:rsidRDefault="00740116" w:rsidP="00FE572A">
      <w:pPr>
        <w:rPr>
          <w:rFonts w:ascii="Arial" w:hAnsi="Arial" w:cs="Arial"/>
          <w:iCs/>
        </w:rPr>
      </w:pPr>
      <w:r>
        <w:rPr>
          <w:rFonts w:ascii="Arial" w:hAnsi="Arial" w:cs="Arial"/>
          <w:iCs/>
        </w:rPr>
        <w:t>This will involve the following:</w:t>
      </w:r>
    </w:p>
    <w:p w14:paraId="12DB0482" w14:textId="21CC3328" w:rsidR="00740116" w:rsidRPr="00893461" w:rsidRDefault="00740116" w:rsidP="00893461">
      <w:pPr>
        <w:pStyle w:val="ListParagraph"/>
        <w:numPr>
          <w:ilvl w:val="0"/>
          <w:numId w:val="10"/>
        </w:numPr>
        <w:spacing w:after="120"/>
        <w:ind w:left="1077" w:hanging="357"/>
        <w:contextualSpacing w:val="0"/>
        <w:rPr>
          <w:rFonts w:ascii="Arial" w:hAnsi="Arial" w:cs="Arial"/>
          <w:iCs/>
        </w:rPr>
      </w:pPr>
      <w:r>
        <w:rPr>
          <w:rFonts w:ascii="Arial" w:hAnsi="Arial" w:cs="Arial"/>
          <w:iCs/>
        </w:rPr>
        <w:t>Integrating</w:t>
      </w:r>
      <w:r w:rsidRPr="00893461">
        <w:rPr>
          <w:rFonts w:ascii="Arial" w:hAnsi="Arial" w:cs="Arial"/>
          <w:iCs/>
        </w:rPr>
        <w:t xml:space="preserve"> the Policy principles into all Council strategic and decision-making processes.</w:t>
      </w:r>
    </w:p>
    <w:p w14:paraId="1B1AA8E8" w14:textId="5A96C7AD" w:rsidR="00740116" w:rsidRPr="00893461" w:rsidRDefault="00740116" w:rsidP="00E51082">
      <w:pPr>
        <w:pStyle w:val="ListParagraph"/>
        <w:numPr>
          <w:ilvl w:val="0"/>
          <w:numId w:val="10"/>
        </w:numPr>
        <w:spacing w:after="120"/>
        <w:ind w:left="1077" w:hanging="357"/>
        <w:contextualSpacing w:val="0"/>
        <w:jc w:val="both"/>
        <w:rPr>
          <w:rFonts w:ascii="Arial" w:hAnsi="Arial" w:cs="Arial"/>
          <w:iCs/>
        </w:rPr>
      </w:pPr>
      <w:r w:rsidRPr="00893461">
        <w:rPr>
          <w:rFonts w:ascii="Arial" w:hAnsi="Arial" w:cs="Arial"/>
          <w:iCs/>
        </w:rPr>
        <w:t>Continu</w:t>
      </w:r>
      <w:r>
        <w:rPr>
          <w:rFonts w:ascii="Arial" w:hAnsi="Arial" w:cs="Arial"/>
          <w:iCs/>
        </w:rPr>
        <w:t>ing</w:t>
      </w:r>
      <w:r w:rsidRPr="00893461">
        <w:rPr>
          <w:rFonts w:ascii="Arial" w:hAnsi="Arial" w:cs="Arial"/>
          <w:iCs/>
        </w:rPr>
        <w:t xml:space="preserve"> to monitor trends in gambling behaviour</w:t>
      </w:r>
      <w:r>
        <w:rPr>
          <w:rFonts w:ascii="Arial" w:hAnsi="Arial" w:cs="Arial"/>
          <w:iCs/>
        </w:rPr>
        <w:t xml:space="preserve">, and </w:t>
      </w:r>
      <w:r w:rsidRPr="00893461">
        <w:rPr>
          <w:rFonts w:ascii="Arial" w:hAnsi="Arial" w:cs="Arial"/>
          <w:iCs/>
        </w:rPr>
        <w:t>the determinants</w:t>
      </w:r>
      <w:r>
        <w:rPr>
          <w:rFonts w:ascii="Arial" w:hAnsi="Arial" w:cs="Arial"/>
          <w:iCs/>
        </w:rPr>
        <w:t xml:space="preserve"> and</w:t>
      </w:r>
      <w:r w:rsidRPr="00893461">
        <w:rPr>
          <w:rFonts w:ascii="Arial" w:hAnsi="Arial" w:cs="Arial"/>
          <w:iCs/>
        </w:rPr>
        <w:t xml:space="preserve"> impacts of gambling harm on community health and wellbeing.</w:t>
      </w:r>
    </w:p>
    <w:p w14:paraId="276484DF" w14:textId="555E9BA2" w:rsidR="00740116" w:rsidRPr="00893461" w:rsidRDefault="00740116" w:rsidP="00893461">
      <w:pPr>
        <w:pStyle w:val="ListParagraph"/>
        <w:numPr>
          <w:ilvl w:val="0"/>
          <w:numId w:val="10"/>
        </w:numPr>
        <w:spacing w:after="120"/>
        <w:ind w:left="1077" w:hanging="357"/>
        <w:contextualSpacing w:val="0"/>
        <w:rPr>
          <w:rFonts w:ascii="Arial" w:hAnsi="Arial" w:cs="Arial"/>
          <w:iCs/>
        </w:rPr>
      </w:pPr>
      <w:r w:rsidRPr="00893461">
        <w:rPr>
          <w:rFonts w:ascii="Arial" w:hAnsi="Arial" w:cs="Arial"/>
          <w:iCs/>
        </w:rPr>
        <w:t>Collaborat</w:t>
      </w:r>
      <w:r>
        <w:rPr>
          <w:rFonts w:ascii="Arial" w:hAnsi="Arial" w:cs="Arial"/>
          <w:iCs/>
        </w:rPr>
        <w:t xml:space="preserve">ing </w:t>
      </w:r>
      <w:r w:rsidRPr="00893461">
        <w:rPr>
          <w:rFonts w:ascii="Arial" w:hAnsi="Arial" w:cs="Arial"/>
          <w:iCs/>
        </w:rPr>
        <w:t>with stakeholders to identify opportunities to collectively address gambling harm</w:t>
      </w:r>
      <w:r w:rsidR="00390B58">
        <w:rPr>
          <w:rFonts w:ascii="Arial" w:hAnsi="Arial" w:cs="Arial"/>
          <w:iCs/>
        </w:rPr>
        <w:t xml:space="preserve"> such as through Gambling Harm Awareness week</w:t>
      </w:r>
      <w:r w:rsidRPr="00893461">
        <w:rPr>
          <w:rFonts w:ascii="Arial" w:hAnsi="Arial" w:cs="Arial"/>
          <w:iCs/>
        </w:rPr>
        <w:t>.</w:t>
      </w:r>
    </w:p>
    <w:p w14:paraId="273FA8B1" w14:textId="497D4C52" w:rsidR="00740116" w:rsidRPr="00893461" w:rsidRDefault="00740116" w:rsidP="00893461">
      <w:pPr>
        <w:pStyle w:val="ListParagraph"/>
        <w:numPr>
          <w:ilvl w:val="0"/>
          <w:numId w:val="10"/>
        </w:numPr>
        <w:spacing w:after="120"/>
        <w:ind w:left="1077" w:hanging="357"/>
        <w:contextualSpacing w:val="0"/>
        <w:rPr>
          <w:rFonts w:ascii="Arial" w:hAnsi="Arial" w:cs="Arial"/>
          <w:iCs/>
        </w:rPr>
      </w:pPr>
      <w:r w:rsidRPr="00893461">
        <w:rPr>
          <w:rFonts w:ascii="Arial" w:hAnsi="Arial" w:cs="Arial"/>
          <w:iCs/>
        </w:rPr>
        <w:lastRenderedPageBreak/>
        <w:t>Rais</w:t>
      </w:r>
      <w:r>
        <w:rPr>
          <w:rFonts w:ascii="Arial" w:hAnsi="Arial" w:cs="Arial"/>
          <w:iCs/>
        </w:rPr>
        <w:t>ing</w:t>
      </w:r>
      <w:r w:rsidRPr="00893461">
        <w:rPr>
          <w:rFonts w:ascii="Arial" w:hAnsi="Arial" w:cs="Arial"/>
          <w:iCs/>
        </w:rPr>
        <w:t xml:space="preserve"> awareness of the Policy within the community, the gambling industry, peak bodies, local government and service providers.</w:t>
      </w:r>
    </w:p>
    <w:p w14:paraId="292C1D4E" w14:textId="77777777" w:rsidR="00740116" w:rsidRPr="00F53A0B" w:rsidRDefault="00740116" w:rsidP="00FE572A">
      <w:pPr>
        <w:pStyle w:val="Heading1"/>
        <w:rPr>
          <w:rFonts w:cs="Arial"/>
          <w:lang w:val="en-US"/>
        </w:rPr>
      </w:pPr>
      <w:r w:rsidRPr="00F53A0B">
        <w:rPr>
          <w:rFonts w:cs="Arial"/>
          <w:lang w:val="en-US"/>
        </w:rPr>
        <w:t xml:space="preserve">Roles and Responsibilities </w:t>
      </w:r>
    </w:p>
    <w:p w14:paraId="02D2E9CF" w14:textId="6DA384E3" w:rsidR="00740116" w:rsidRDefault="00740116" w:rsidP="00E94DDD">
      <w:pPr>
        <w:rPr>
          <w:rFonts w:ascii="Arial" w:hAnsi="Arial" w:cs="Arial"/>
          <w:iCs/>
          <w:lang w:eastAsia="en-AU"/>
        </w:rPr>
      </w:pPr>
      <w:r>
        <w:rPr>
          <w:rFonts w:ascii="Arial" w:hAnsi="Arial" w:cs="Arial"/>
          <w:iCs/>
          <w:lang w:eastAsia="en-AU"/>
        </w:rPr>
        <w:t>Relevant departments across Council will be responsible for implementing th</w:t>
      </w:r>
      <w:r w:rsidR="00D579EE">
        <w:rPr>
          <w:rFonts w:ascii="Arial" w:hAnsi="Arial" w:cs="Arial"/>
          <w:iCs/>
          <w:lang w:eastAsia="en-AU"/>
        </w:rPr>
        <w:t>e</w:t>
      </w:r>
      <w:r>
        <w:rPr>
          <w:rFonts w:ascii="Arial" w:hAnsi="Arial" w:cs="Arial"/>
          <w:iCs/>
          <w:lang w:eastAsia="en-AU"/>
        </w:rPr>
        <w:t xml:space="preserve"> Policy.</w:t>
      </w:r>
    </w:p>
    <w:p w14:paraId="2BBD76AF" w14:textId="77777777" w:rsidR="00740116" w:rsidRPr="00F53A0B" w:rsidRDefault="00740116" w:rsidP="00FE572A">
      <w:pPr>
        <w:pStyle w:val="Heading1"/>
        <w:rPr>
          <w:rFonts w:cs="Arial"/>
          <w:lang w:val="en-US"/>
        </w:rPr>
      </w:pPr>
      <w:r w:rsidRPr="00F53A0B">
        <w:rPr>
          <w:rFonts w:cs="Arial"/>
          <w:lang w:val="en-US"/>
        </w:rPr>
        <w:t xml:space="preserve">Related legislation </w:t>
      </w:r>
    </w:p>
    <w:p w14:paraId="055CD79B" w14:textId="6D6685E2" w:rsidR="00740116" w:rsidRPr="00A24804" w:rsidRDefault="00740116" w:rsidP="00A24804">
      <w:pPr>
        <w:spacing w:after="120"/>
        <w:rPr>
          <w:rFonts w:ascii="Arial" w:hAnsi="Arial" w:cs="Arial"/>
          <w:iCs/>
          <w:lang w:eastAsia="en-AU"/>
        </w:rPr>
      </w:pPr>
      <w:r w:rsidRPr="00A24804">
        <w:rPr>
          <w:rFonts w:ascii="Arial" w:hAnsi="Arial" w:cs="Arial"/>
          <w:iCs/>
          <w:lang w:eastAsia="en-AU"/>
        </w:rPr>
        <w:t>Planning and Environment Act 1987</w:t>
      </w:r>
    </w:p>
    <w:p w14:paraId="3C6D0701" w14:textId="2FAFCC29" w:rsidR="00740116" w:rsidRPr="00A24804" w:rsidRDefault="00740116" w:rsidP="00A24804">
      <w:pPr>
        <w:spacing w:after="120"/>
        <w:rPr>
          <w:rFonts w:ascii="Arial" w:hAnsi="Arial" w:cs="Arial"/>
          <w:iCs/>
          <w:lang w:eastAsia="en-AU"/>
        </w:rPr>
      </w:pPr>
      <w:r w:rsidRPr="00A24804">
        <w:rPr>
          <w:rFonts w:ascii="Arial" w:hAnsi="Arial" w:cs="Arial"/>
          <w:iCs/>
          <w:lang w:eastAsia="en-AU"/>
        </w:rPr>
        <w:t>Local Government Act 2020</w:t>
      </w:r>
    </w:p>
    <w:p w14:paraId="2FF0C0C8" w14:textId="3B711054" w:rsidR="00740116" w:rsidRPr="00A24804" w:rsidRDefault="00740116" w:rsidP="00A24804">
      <w:pPr>
        <w:spacing w:after="120"/>
        <w:rPr>
          <w:rFonts w:ascii="Arial" w:hAnsi="Arial" w:cs="Arial"/>
          <w:iCs/>
          <w:lang w:eastAsia="en-AU"/>
        </w:rPr>
      </w:pPr>
      <w:r w:rsidRPr="00A24804">
        <w:rPr>
          <w:rFonts w:ascii="Arial" w:hAnsi="Arial" w:cs="Arial"/>
          <w:iCs/>
          <w:lang w:eastAsia="en-AU"/>
        </w:rPr>
        <w:t>Health and Wellbeing Act 2008</w:t>
      </w:r>
    </w:p>
    <w:p w14:paraId="4BBF1510" w14:textId="21FC8208" w:rsidR="00740116" w:rsidRPr="00A24804" w:rsidRDefault="00740116" w:rsidP="00A24804">
      <w:pPr>
        <w:spacing w:after="120"/>
        <w:rPr>
          <w:rFonts w:ascii="Arial" w:hAnsi="Arial" w:cs="Arial"/>
          <w:iCs/>
          <w:lang w:eastAsia="en-AU"/>
        </w:rPr>
      </w:pPr>
      <w:r w:rsidRPr="00A24804">
        <w:rPr>
          <w:rFonts w:ascii="Arial" w:hAnsi="Arial" w:cs="Arial"/>
          <w:iCs/>
          <w:lang w:eastAsia="en-AU"/>
        </w:rPr>
        <w:t>Gambling Regulation Act 2003</w:t>
      </w:r>
    </w:p>
    <w:p w14:paraId="24976444" w14:textId="77777777" w:rsidR="00740116" w:rsidRPr="00A24804" w:rsidRDefault="00740116" w:rsidP="00A24804">
      <w:pPr>
        <w:spacing w:after="120"/>
        <w:rPr>
          <w:rFonts w:ascii="Arial" w:hAnsi="Arial" w:cs="Arial"/>
          <w:iCs/>
          <w:lang w:eastAsia="en-AU"/>
        </w:rPr>
      </w:pPr>
      <w:r w:rsidRPr="00A24804">
        <w:rPr>
          <w:rFonts w:ascii="Arial" w:hAnsi="Arial" w:cs="Arial"/>
          <w:iCs/>
          <w:lang w:eastAsia="en-AU"/>
        </w:rPr>
        <w:t xml:space="preserve">Interactive Gambling Act 2001 </w:t>
      </w:r>
    </w:p>
    <w:p w14:paraId="3953F06F" w14:textId="77777777" w:rsidR="00740116" w:rsidRPr="00A24804" w:rsidRDefault="00740116" w:rsidP="00A24804">
      <w:pPr>
        <w:spacing w:after="120"/>
        <w:rPr>
          <w:rFonts w:ascii="Arial" w:hAnsi="Arial" w:cs="Arial"/>
          <w:iCs/>
          <w:lang w:eastAsia="en-AU"/>
        </w:rPr>
      </w:pPr>
      <w:r w:rsidRPr="00A24804">
        <w:rPr>
          <w:rFonts w:ascii="Arial" w:hAnsi="Arial" w:cs="Arial"/>
          <w:iCs/>
          <w:lang w:eastAsia="en-AU"/>
        </w:rPr>
        <w:t xml:space="preserve">Gender Equality Act 2020 </w:t>
      </w:r>
    </w:p>
    <w:p w14:paraId="643B9BAD" w14:textId="77777777" w:rsidR="00740116" w:rsidRPr="00A24804" w:rsidRDefault="00740116" w:rsidP="00A24804">
      <w:pPr>
        <w:spacing w:after="120"/>
        <w:rPr>
          <w:rFonts w:ascii="Arial" w:hAnsi="Arial" w:cs="Arial"/>
          <w:iCs/>
          <w:lang w:eastAsia="en-AU"/>
        </w:rPr>
      </w:pPr>
      <w:r w:rsidRPr="00A24804">
        <w:rPr>
          <w:rFonts w:ascii="Arial" w:hAnsi="Arial" w:cs="Arial"/>
          <w:iCs/>
          <w:lang w:eastAsia="en-AU"/>
        </w:rPr>
        <w:t xml:space="preserve">Child Wellbeing and Safety Act 2005 </w:t>
      </w:r>
    </w:p>
    <w:p w14:paraId="0B31F976" w14:textId="77777777" w:rsidR="00740116" w:rsidRPr="00F53A0B" w:rsidRDefault="00740116" w:rsidP="00FE572A">
      <w:pPr>
        <w:pStyle w:val="Heading1"/>
        <w:ind w:right="-166"/>
        <w:rPr>
          <w:rFonts w:cs="Arial"/>
          <w:lang w:val="en-US"/>
        </w:rPr>
      </w:pPr>
      <w:r w:rsidRPr="00F53A0B">
        <w:rPr>
          <w:rFonts w:cs="Arial"/>
          <w:lang w:val="en-US"/>
        </w:rPr>
        <w:t xml:space="preserve">Related policies, strategies, procedures and guidelines </w:t>
      </w:r>
    </w:p>
    <w:p w14:paraId="0432FA6D" w14:textId="49621AFB" w:rsidR="00740116" w:rsidRDefault="00740116" w:rsidP="00FE572A">
      <w:pPr>
        <w:rPr>
          <w:rFonts w:ascii="Arial" w:hAnsi="Arial" w:cs="Arial"/>
          <w:iCs/>
          <w:lang w:eastAsia="en-AU"/>
        </w:rPr>
      </w:pPr>
      <w:r>
        <w:rPr>
          <w:rFonts w:ascii="Arial" w:hAnsi="Arial" w:cs="Arial"/>
          <w:iCs/>
          <w:lang w:eastAsia="en-AU"/>
        </w:rPr>
        <w:t>Maroondah 2050, Our Future Together</w:t>
      </w:r>
    </w:p>
    <w:p w14:paraId="429DA3A4" w14:textId="5A3A2890" w:rsidR="00740116" w:rsidRDefault="00740116" w:rsidP="00FE572A">
      <w:pPr>
        <w:rPr>
          <w:rFonts w:ascii="Arial" w:hAnsi="Arial" w:cs="Arial"/>
          <w:iCs/>
          <w:lang w:eastAsia="en-AU"/>
        </w:rPr>
      </w:pPr>
      <w:r>
        <w:rPr>
          <w:rFonts w:ascii="Arial" w:hAnsi="Arial" w:cs="Arial"/>
          <w:iCs/>
          <w:lang w:eastAsia="en-AU"/>
        </w:rPr>
        <w:t>Council Plan 2025-2029</w:t>
      </w:r>
    </w:p>
    <w:p w14:paraId="3C0F059A" w14:textId="2EBC6D12" w:rsidR="00740116" w:rsidRDefault="00740116" w:rsidP="00FE572A">
      <w:pPr>
        <w:rPr>
          <w:rFonts w:ascii="Arial" w:hAnsi="Arial" w:cs="Arial"/>
          <w:iCs/>
          <w:lang w:eastAsia="en-AU"/>
        </w:rPr>
      </w:pPr>
      <w:r>
        <w:rPr>
          <w:rFonts w:ascii="Arial" w:hAnsi="Arial" w:cs="Arial"/>
          <w:iCs/>
          <w:lang w:eastAsia="en-AU"/>
        </w:rPr>
        <w:t>Liveability, Wellbeing and Resilience Strategy 2021-2031</w:t>
      </w:r>
      <w:r w:rsidR="00FF4895">
        <w:rPr>
          <w:rFonts w:ascii="Arial" w:hAnsi="Arial" w:cs="Arial"/>
          <w:iCs/>
          <w:lang w:eastAsia="en-AU"/>
        </w:rPr>
        <w:t xml:space="preserve"> (Maroondah</w:t>
      </w:r>
      <w:r w:rsidR="00CB4513">
        <w:rPr>
          <w:rFonts w:ascii="Arial" w:hAnsi="Arial" w:cs="Arial"/>
          <w:iCs/>
          <w:lang w:eastAsia="en-AU"/>
        </w:rPr>
        <w:t>’s</w:t>
      </w:r>
      <w:r w:rsidR="00FF4895">
        <w:rPr>
          <w:rFonts w:ascii="Arial" w:hAnsi="Arial" w:cs="Arial"/>
          <w:iCs/>
          <w:lang w:eastAsia="en-AU"/>
        </w:rPr>
        <w:t xml:space="preserve"> Municipal Pub</w:t>
      </w:r>
      <w:r w:rsidR="00CB4513">
        <w:rPr>
          <w:rFonts w:ascii="Arial" w:hAnsi="Arial" w:cs="Arial"/>
          <w:iCs/>
          <w:lang w:eastAsia="en-AU"/>
        </w:rPr>
        <w:t>lic Health and Wellbeing Plan)</w:t>
      </w:r>
    </w:p>
    <w:p w14:paraId="1EC03A01" w14:textId="2E1F1E95" w:rsidR="00740116" w:rsidRPr="00D35A7D" w:rsidRDefault="00740116" w:rsidP="00FE572A">
      <w:pPr>
        <w:rPr>
          <w:rFonts w:ascii="Arial" w:hAnsi="Arial" w:cs="Arial"/>
          <w:iCs/>
          <w:lang w:eastAsia="en-AU"/>
        </w:rPr>
      </w:pPr>
      <w:r>
        <w:rPr>
          <w:rFonts w:ascii="Arial" w:hAnsi="Arial" w:cs="Arial"/>
          <w:iCs/>
          <w:lang w:eastAsia="en-AU"/>
        </w:rPr>
        <w:t>Maroondah Planning Scheme</w:t>
      </w:r>
    </w:p>
    <w:p w14:paraId="6C4A9820" w14:textId="77777777" w:rsidR="00740116" w:rsidRPr="00F53A0B" w:rsidRDefault="00740116" w:rsidP="00FE572A">
      <w:pPr>
        <w:pStyle w:val="Heading1"/>
        <w:rPr>
          <w:rFonts w:cs="Arial"/>
          <w:lang w:val="en-US"/>
        </w:rPr>
      </w:pPr>
      <w:r w:rsidRPr="00F53A0B">
        <w:rPr>
          <w:rFonts w:cs="Arial"/>
          <w:lang w:val="en-US"/>
        </w:rPr>
        <w:t>Definitions</w:t>
      </w:r>
    </w:p>
    <w:tbl>
      <w:tblPr>
        <w:tblStyle w:val="TableGrid"/>
        <w:tblW w:w="0" w:type="auto"/>
        <w:tblLook w:val="04A0" w:firstRow="1" w:lastRow="0" w:firstColumn="1" w:lastColumn="0" w:noHBand="0" w:noVBand="1"/>
      </w:tblPr>
      <w:tblGrid>
        <w:gridCol w:w="1980"/>
        <w:gridCol w:w="7036"/>
      </w:tblGrid>
      <w:tr w:rsidR="00740116" w:rsidRPr="00BE570F" w14:paraId="40DCFF48" w14:textId="77777777" w:rsidTr="009127F1">
        <w:tc>
          <w:tcPr>
            <w:tcW w:w="1980" w:type="dxa"/>
            <w:tcBorders>
              <w:top w:val="single" w:sz="4" w:space="0" w:color="auto"/>
              <w:left w:val="single" w:sz="4" w:space="0" w:color="auto"/>
              <w:bottom w:val="single" w:sz="4" w:space="0" w:color="auto"/>
              <w:right w:val="single" w:sz="4" w:space="0" w:color="auto"/>
            </w:tcBorders>
            <w:vAlign w:val="center"/>
          </w:tcPr>
          <w:p w14:paraId="73BE771C" w14:textId="77777777" w:rsidR="00740116" w:rsidRPr="00BE570F" w:rsidRDefault="00740116" w:rsidP="00B633A2">
            <w:pPr>
              <w:spacing w:after="120"/>
              <w:rPr>
                <w:rFonts w:ascii="Arial" w:hAnsi="Arial" w:cs="Arial"/>
                <w:b/>
                <w:bCs/>
                <w:sz w:val="22"/>
                <w:szCs w:val="22"/>
              </w:rPr>
            </w:pPr>
            <w:r w:rsidRPr="00BE570F">
              <w:rPr>
                <w:rFonts w:ascii="Arial" w:hAnsi="Arial" w:cs="Arial"/>
                <w:b/>
                <w:bCs/>
                <w:sz w:val="22"/>
                <w:szCs w:val="22"/>
              </w:rPr>
              <w:t>Advocacy</w:t>
            </w:r>
          </w:p>
        </w:tc>
        <w:tc>
          <w:tcPr>
            <w:tcW w:w="7036" w:type="dxa"/>
            <w:tcBorders>
              <w:top w:val="single" w:sz="4" w:space="0" w:color="auto"/>
              <w:left w:val="single" w:sz="4" w:space="0" w:color="auto"/>
              <w:bottom w:val="single" w:sz="4" w:space="0" w:color="auto"/>
              <w:right w:val="single" w:sz="4" w:space="0" w:color="auto"/>
            </w:tcBorders>
          </w:tcPr>
          <w:p w14:paraId="6CEC5099" w14:textId="77777777" w:rsidR="00740116" w:rsidRPr="00BE570F" w:rsidRDefault="00740116" w:rsidP="00B633A2">
            <w:pPr>
              <w:spacing w:after="120"/>
              <w:rPr>
                <w:rFonts w:ascii="Arial" w:hAnsi="Arial" w:cs="Arial"/>
                <w:sz w:val="22"/>
                <w:szCs w:val="22"/>
              </w:rPr>
            </w:pPr>
            <w:r w:rsidRPr="00BE570F">
              <w:rPr>
                <w:rFonts w:ascii="Arial" w:hAnsi="Arial" w:cs="Arial"/>
                <w:sz w:val="22"/>
                <w:szCs w:val="22"/>
              </w:rPr>
              <w:t>Public support for or recommendation of a particular cause or policy.</w:t>
            </w:r>
          </w:p>
        </w:tc>
      </w:tr>
      <w:tr w:rsidR="00740116" w:rsidRPr="00BE570F" w14:paraId="57CCBF20" w14:textId="77777777" w:rsidTr="009127F1">
        <w:tc>
          <w:tcPr>
            <w:tcW w:w="1980" w:type="dxa"/>
            <w:tcBorders>
              <w:bottom w:val="single" w:sz="4" w:space="0" w:color="auto"/>
            </w:tcBorders>
            <w:vAlign w:val="center"/>
          </w:tcPr>
          <w:p w14:paraId="66D71827" w14:textId="77777777" w:rsidR="00740116" w:rsidRPr="00BE570F" w:rsidRDefault="00740116" w:rsidP="00B633A2">
            <w:pPr>
              <w:spacing w:after="120"/>
              <w:rPr>
                <w:rFonts w:ascii="Arial" w:hAnsi="Arial" w:cs="Arial"/>
                <w:b/>
                <w:bCs/>
                <w:sz w:val="22"/>
                <w:szCs w:val="22"/>
              </w:rPr>
            </w:pPr>
            <w:r w:rsidRPr="00BE570F">
              <w:rPr>
                <w:rFonts w:ascii="Arial" w:hAnsi="Arial" w:cs="Arial"/>
                <w:b/>
                <w:bCs/>
                <w:sz w:val="22"/>
                <w:szCs w:val="22"/>
              </w:rPr>
              <w:t>Community</w:t>
            </w:r>
          </w:p>
        </w:tc>
        <w:tc>
          <w:tcPr>
            <w:tcW w:w="7036" w:type="dxa"/>
            <w:tcBorders>
              <w:bottom w:val="single" w:sz="4" w:space="0" w:color="auto"/>
            </w:tcBorders>
          </w:tcPr>
          <w:p w14:paraId="64C671CC" w14:textId="3C8ACE39" w:rsidR="00740116" w:rsidRPr="00BE570F" w:rsidRDefault="00740116" w:rsidP="00B633A2">
            <w:pPr>
              <w:spacing w:after="120"/>
              <w:rPr>
                <w:rFonts w:ascii="Arial" w:hAnsi="Arial" w:cs="Arial"/>
                <w:sz w:val="22"/>
                <w:szCs w:val="22"/>
              </w:rPr>
            </w:pPr>
            <w:r w:rsidRPr="00BE570F">
              <w:rPr>
                <w:rFonts w:ascii="Arial" w:hAnsi="Arial" w:cs="Arial"/>
                <w:sz w:val="22"/>
                <w:szCs w:val="22"/>
              </w:rPr>
              <w:t>People who have a stake and interest in the City of Maroondah, including those:</w:t>
            </w:r>
          </w:p>
          <w:p w14:paraId="2C0892F3" w14:textId="18F4C98C" w:rsidR="00740116" w:rsidRPr="00BE570F" w:rsidRDefault="00740116" w:rsidP="00431144">
            <w:pPr>
              <w:pStyle w:val="ListParagraph"/>
              <w:numPr>
                <w:ilvl w:val="0"/>
                <w:numId w:val="7"/>
              </w:numPr>
              <w:spacing w:after="120"/>
              <w:contextualSpacing w:val="0"/>
              <w:jc w:val="both"/>
              <w:rPr>
                <w:rFonts w:ascii="Arial" w:hAnsi="Arial" w:cs="Arial"/>
                <w:sz w:val="22"/>
                <w:szCs w:val="22"/>
              </w:rPr>
            </w:pPr>
            <w:r w:rsidRPr="00BE570F">
              <w:rPr>
                <w:rFonts w:ascii="Arial" w:hAnsi="Arial" w:cs="Arial"/>
                <w:sz w:val="22"/>
                <w:szCs w:val="22"/>
              </w:rPr>
              <w:t>who live, work, study, conduct business or provide services in the municipality,</w:t>
            </w:r>
          </w:p>
          <w:p w14:paraId="5FFA4712" w14:textId="2022101A" w:rsidR="00740116" w:rsidRPr="00BE570F" w:rsidRDefault="00740116" w:rsidP="00431144">
            <w:pPr>
              <w:pStyle w:val="ListParagraph"/>
              <w:numPr>
                <w:ilvl w:val="0"/>
                <w:numId w:val="7"/>
              </w:numPr>
              <w:spacing w:after="120"/>
              <w:contextualSpacing w:val="0"/>
              <w:jc w:val="both"/>
              <w:rPr>
                <w:rFonts w:ascii="Arial" w:hAnsi="Arial" w:cs="Arial"/>
                <w:sz w:val="22"/>
                <w:szCs w:val="22"/>
              </w:rPr>
            </w:pPr>
            <w:r w:rsidRPr="00BE570F">
              <w:rPr>
                <w:rFonts w:ascii="Arial" w:hAnsi="Arial" w:cs="Arial"/>
                <w:sz w:val="22"/>
                <w:szCs w:val="22"/>
              </w:rPr>
              <w:t>involved in local community groups or organisations,</w:t>
            </w:r>
          </w:p>
          <w:p w14:paraId="1F8572BB" w14:textId="6180E314" w:rsidR="00740116" w:rsidRPr="00BE570F" w:rsidRDefault="00740116" w:rsidP="00431144">
            <w:pPr>
              <w:pStyle w:val="ListParagraph"/>
              <w:numPr>
                <w:ilvl w:val="0"/>
                <w:numId w:val="7"/>
              </w:numPr>
              <w:spacing w:after="120"/>
              <w:contextualSpacing w:val="0"/>
              <w:jc w:val="both"/>
              <w:rPr>
                <w:rFonts w:ascii="Arial" w:hAnsi="Arial" w:cs="Arial"/>
                <w:sz w:val="22"/>
                <w:szCs w:val="22"/>
              </w:rPr>
            </w:pPr>
            <w:r w:rsidRPr="00BE570F">
              <w:rPr>
                <w:rFonts w:ascii="Arial" w:hAnsi="Arial" w:cs="Arial"/>
                <w:sz w:val="22"/>
                <w:szCs w:val="22"/>
              </w:rPr>
              <w:t>who visit, use or enjoy the services, facilities and public places located within the municipality,</w:t>
            </w:r>
          </w:p>
          <w:p w14:paraId="6EF2BC37" w14:textId="42E578D1" w:rsidR="00740116" w:rsidRPr="00BE570F" w:rsidRDefault="00740116" w:rsidP="00431144">
            <w:pPr>
              <w:pStyle w:val="ListParagraph"/>
              <w:numPr>
                <w:ilvl w:val="0"/>
                <w:numId w:val="7"/>
              </w:numPr>
              <w:spacing w:after="120"/>
              <w:contextualSpacing w:val="0"/>
              <w:jc w:val="both"/>
              <w:rPr>
                <w:rFonts w:ascii="Arial" w:hAnsi="Arial" w:cs="Arial"/>
                <w:sz w:val="22"/>
                <w:szCs w:val="22"/>
              </w:rPr>
            </w:pPr>
            <w:r w:rsidRPr="00BE570F">
              <w:rPr>
                <w:rFonts w:ascii="Arial" w:hAnsi="Arial" w:cs="Arial"/>
                <w:sz w:val="22"/>
                <w:szCs w:val="22"/>
              </w:rPr>
              <w:t>who share an interest, a sense of identity or a shared common goal, and</w:t>
            </w:r>
          </w:p>
          <w:p w14:paraId="5D8F26B4" w14:textId="7858CABB" w:rsidR="00740116" w:rsidRPr="00BE570F" w:rsidRDefault="00740116" w:rsidP="00431144">
            <w:pPr>
              <w:pStyle w:val="ListParagraph"/>
              <w:numPr>
                <w:ilvl w:val="0"/>
                <w:numId w:val="7"/>
              </w:numPr>
              <w:spacing w:after="120"/>
              <w:contextualSpacing w:val="0"/>
              <w:jc w:val="both"/>
              <w:rPr>
                <w:rFonts w:ascii="Arial" w:hAnsi="Arial" w:cs="Arial"/>
                <w:sz w:val="22"/>
                <w:szCs w:val="22"/>
              </w:rPr>
            </w:pPr>
            <w:r w:rsidRPr="00BE570F">
              <w:rPr>
                <w:rFonts w:ascii="Arial" w:hAnsi="Arial" w:cs="Arial"/>
                <w:sz w:val="22"/>
                <w:szCs w:val="22"/>
              </w:rPr>
              <w:t>providing gambling activities.</w:t>
            </w:r>
          </w:p>
        </w:tc>
      </w:tr>
      <w:tr w:rsidR="00740116" w:rsidRPr="00BE570F" w14:paraId="08618D27" w14:textId="77777777" w:rsidTr="009127F1">
        <w:tc>
          <w:tcPr>
            <w:tcW w:w="1980" w:type="dxa"/>
            <w:vAlign w:val="center"/>
          </w:tcPr>
          <w:p w14:paraId="68FDE6E9" w14:textId="77777777" w:rsidR="00740116" w:rsidRPr="00BE570F" w:rsidRDefault="00740116" w:rsidP="00B633A2">
            <w:pPr>
              <w:spacing w:after="120"/>
              <w:rPr>
                <w:rFonts w:ascii="Arial" w:hAnsi="Arial" w:cs="Arial"/>
                <w:b/>
                <w:bCs/>
                <w:sz w:val="22"/>
                <w:szCs w:val="22"/>
              </w:rPr>
            </w:pPr>
            <w:r w:rsidRPr="00BE570F">
              <w:rPr>
                <w:rFonts w:ascii="Arial" w:hAnsi="Arial" w:cs="Arial"/>
                <w:b/>
                <w:bCs/>
                <w:sz w:val="22"/>
                <w:szCs w:val="22"/>
              </w:rPr>
              <w:t>Electronic gaming machine</w:t>
            </w:r>
          </w:p>
        </w:tc>
        <w:tc>
          <w:tcPr>
            <w:tcW w:w="7036" w:type="dxa"/>
          </w:tcPr>
          <w:p w14:paraId="6F9072DA" w14:textId="23105AFD" w:rsidR="00740116" w:rsidRPr="00BE570F" w:rsidRDefault="001B10AE" w:rsidP="00B633A2">
            <w:pPr>
              <w:spacing w:after="120"/>
              <w:rPr>
                <w:rFonts w:ascii="Arial" w:hAnsi="Arial" w:cs="Arial"/>
                <w:sz w:val="22"/>
                <w:szCs w:val="22"/>
              </w:rPr>
            </w:pPr>
            <w:r>
              <w:rPr>
                <w:rFonts w:ascii="Arial" w:hAnsi="Arial" w:cs="Arial"/>
                <w:sz w:val="22"/>
                <w:szCs w:val="22"/>
              </w:rPr>
              <w:t>A</w:t>
            </w:r>
            <w:r w:rsidR="00740116" w:rsidRPr="00BE570F">
              <w:rPr>
                <w:rFonts w:ascii="Arial" w:hAnsi="Arial" w:cs="Arial"/>
                <w:sz w:val="22"/>
                <w:szCs w:val="22"/>
              </w:rPr>
              <w:t xml:space="preserve"> computerised gambling device </w:t>
            </w:r>
            <w:r w:rsidR="00E26D6E">
              <w:rPr>
                <w:rFonts w:ascii="Arial" w:hAnsi="Arial" w:cs="Arial"/>
                <w:sz w:val="22"/>
                <w:szCs w:val="22"/>
              </w:rPr>
              <w:t>with</w:t>
            </w:r>
            <w:r w:rsidR="00740116" w:rsidRPr="00BE570F">
              <w:rPr>
                <w:rFonts w:ascii="Arial" w:hAnsi="Arial" w:cs="Arial"/>
                <w:sz w:val="22"/>
                <w:szCs w:val="22"/>
              </w:rPr>
              <w:t xml:space="preserve"> a video screen displaying symbols on simulated reels. Cash is inserted into the machine and buttons are used to place bets. The machine randomly determines the position of symbols on the screen. Wins are returned as credits back into the machine.</w:t>
            </w:r>
          </w:p>
          <w:p w14:paraId="1392F8DA" w14:textId="691D6462" w:rsidR="00740116" w:rsidRPr="00BE570F" w:rsidRDefault="00E26D6E" w:rsidP="00B633A2">
            <w:pPr>
              <w:spacing w:after="120"/>
              <w:rPr>
                <w:rFonts w:ascii="Arial" w:hAnsi="Arial" w:cs="Arial"/>
                <w:b/>
                <w:bCs/>
                <w:sz w:val="22"/>
                <w:szCs w:val="22"/>
              </w:rPr>
            </w:pPr>
            <w:r>
              <w:rPr>
                <w:rFonts w:ascii="Arial" w:hAnsi="Arial" w:cs="Arial"/>
                <w:sz w:val="22"/>
                <w:szCs w:val="22"/>
              </w:rPr>
              <w:t>Also</w:t>
            </w:r>
            <w:r w:rsidR="00740116" w:rsidRPr="00BE570F">
              <w:rPr>
                <w:rFonts w:ascii="Arial" w:hAnsi="Arial" w:cs="Arial"/>
                <w:sz w:val="22"/>
                <w:szCs w:val="22"/>
              </w:rPr>
              <w:t xml:space="preserve"> referred to as EGMs, pokies, </w:t>
            </w:r>
            <w:proofErr w:type="spellStart"/>
            <w:r w:rsidR="00740116" w:rsidRPr="00BE570F">
              <w:rPr>
                <w:rFonts w:ascii="Arial" w:hAnsi="Arial" w:cs="Arial"/>
                <w:sz w:val="22"/>
                <w:szCs w:val="22"/>
              </w:rPr>
              <w:t>pokie</w:t>
            </w:r>
            <w:proofErr w:type="spellEnd"/>
            <w:r w:rsidR="00740116" w:rsidRPr="00BE570F">
              <w:rPr>
                <w:rFonts w:ascii="Arial" w:hAnsi="Arial" w:cs="Arial"/>
                <w:sz w:val="22"/>
                <w:szCs w:val="22"/>
              </w:rPr>
              <w:t xml:space="preserve"> machines</w:t>
            </w:r>
            <w:r>
              <w:rPr>
                <w:rFonts w:ascii="Arial" w:hAnsi="Arial" w:cs="Arial"/>
                <w:sz w:val="22"/>
                <w:szCs w:val="22"/>
              </w:rPr>
              <w:t xml:space="preserve"> or poker machines</w:t>
            </w:r>
            <w:r w:rsidR="00740116" w:rsidRPr="00BE570F">
              <w:rPr>
                <w:rFonts w:ascii="Arial" w:hAnsi="Arial" w:cs="Arial"/>
                <w:sz w:val="22"/>
                <w:szCs w:val="22"/>
              </w:rPr>
              <w:t>.</w:t>
            </w:r>
          </w:p>
        </w:tc>
      </w:tr>
      <w:tr w:rsidR="00740116" w:rsidRPr="00BE570F" w14:paraId="1C16899D" w14:textId="77777777" w:rsidTr="009127F1">
        <w:tc>
          <w:tcPr>
            <w:tcW w:w="1980" w:type="dxa"/>
            <w:vAlign w:val="center"/>
          </w:tcPr>
          <w:p w14:paraId="4944E9E0" w14:textId="77777777" w:rsidR="00740116" w:rsidRPr="00BE570F" w:rsidRDefault="00740116" w:rsidP="00B633A2">
            <w:pPr>
              <w:spacing w:after="120"/>
              <w:rPr>
                <w:rFonts w:ascii="Arial" w:hAnsi="Arial" w:cs="Arial"/>
                <w:b/>
                <w:bCs/>
                <w:sz w:val="22"/>
                <w:szCs w:val="22"/>
              </w:rPr>
            </w:pPr>
            <w:r w:rsidRPr="00BE570F">
              <w:rPr>
                <w:rFonts w:ascii="Arial" w:hAnsi="Arial" w:cs="Arial"/>
                <w:b/>
                <w:bCs/>
                <w:sz w:val="22"/>
                <w:szCs w:val="22"/>
              </w:rPr>
              <w:t>Gambling</w:t>
            </w:r>
          </w:p>
        </w:tc>
        <w:tc>
          <w:tcPr>
            <w:tcW w:w="7036" w:type="dxa"/>
          </w:tcPr>
          <w:p w14:paraId="73CD0A71" w14:textId="27B6F081" w:rsidR="00740116" w:rsidRPr="00BE570F" w:rsidRDefault="007F200F" w:rsidP="006704B3">
            <w:pPr>
              <w:spacing w:after="120"/>
              <w:rPr>
                <w:rFonts w:ascii="Arial" w:hAnsi="Arial" w:cs="Arial"/>
                <w:b/>
                <w:bCs/>
                <w:sz w:val="22"/>
                <w:szCs w:val="22"/>
              </w:rPr>
            </w:pPr>
            <w:r w:rsidRPr="00BE570F">
              <w:rPr>
                <w:rFonts w:ascii="Arial" w:hAnsi="Arial" w:cs="Arial"/>
                <w:sz w:val="22"/>
                <w:szCs w:val="22"/>
              </w:rPr>
              <w:t>The placement of a wager or bet on the outcome of a future uncertain event. Gambling includes gaming and wagering activities.</w:t>
            </w:r>
            <w:r w:rsidR="001501AB" w:rsidRPr="00BE570F">
              <w:rPr>
                <w:rStyle w:val="EndnoteReference"/>
                <w:rFonts w:ascii="Arial" w:hAnsi="Arial" w:cs="Arial"/>
                <w:sz w:val="22"/>
                <w:szCs w:val="22"/>
              </w:rPr>
              <w:endnoteReference w:id="2"/>
            </w:r>
          </w:p>
        </w:tc>
      </w:tr>
      <w:tr w:rsidR="00D16744" w:rsidRPr="00BE570F" w14:paraId="521B89A6" w14:textId="77777777" w:rsidTr="009127F1">
        <w:tc>
          <w:tcPr>
            <w:tcW w:w="1980" w:type="dxa"/>
            <w:vAlign w:val="center"/>
          </w:tcPr>
          <w:p w14:paraId="15E3E78B" w14:textId="77777777" w:rsidR="00740116" w:rsidRPr="00BE570F" w:rsidRDefault="00740116" w:rsidP="00B633A2">
            <w:pPr>
              <w:spacing w:after="120"/>
              <w:rPr>
                <w:rFonts w:ascii="Arial" w:hAnsi="Arial" w:cs="Arial"/>
                <w:b/>
                <w:bCs/>
                <w:sz w:val="22"/>
                <w:szCs w:val="22"/>
              </w:rPr>
            </w:pPr>
            <w:r w:rsidRPr="00BE570F">
              <w:rPr>
                <w:rFonts w:ascii="Arial" w:hAnsi="Arial" w:cs="Arial"/>
                <w:b/>
                <w:bCs/>
                <w:sz w:val="22"/>
                <w:szCs w:val="22"/>
              </w:rPr>
              <w:lastRenderedPageBreak/>
              <w:t>Gambling-related harm</w:t>
            </w:r>
          </w:p>
        </w:tc>
        <w:tc>
          <w:tcPr>
            <w:tcW w:w="7036" w:type="dxa"/>
          </w:tcPr>
          <w:p w14:paraId="4AD53A17" w14:textId="77777777" w:rsidR="00F75187" w:rsidRDefault="00740116" w:rsidP="00B633A2">
            <w:pPr>
              <w:spacing w:after="120"/>
              <w:rPr>
                <w:rFonts w:ascii="Arial" w:hAnsi="Arial" w:cs="Arial"/>
                <w:sz w:val="22"/>
                <w:szCs w:val="22"/>
              </w:rPr>
            </w:pPr>
            <w:r w:rsidRPr="00BE570F">
              <w:rPr>
                <w:rFonts w:ascii="Arial" w:hAnsi="Arial" w:cs="Arial"/>
                <w:sz w:val="22"/>
                <w:szCs w:val="22"/>
              </w:rPr>
              <w:t>Any initial or exacerbated adverse consequence due to an engagement with gambling that leads to a decrement to the health or wellbeing of an individual, family unit, community or population.</w:t>
            </w:r>
            <w:r w:rsidRPr="00BE570F">
              <w:rPr>
                <w:rStyle w:val="EndnoteReference"/>
                <w:rFonts w:ascii="Arial" w:hAnsi="Arial" w:cs="Arial"/>
                <w:iCs/>
                <w:sz w:val="22"/>
                <w:szCs w:val="22"/>
              </w:rPr>
              <w:endnoteReference w:id="3"/>
            </w:r>
            <w:r w:rsidRPr="00BE570F">
              <w:rPr>
                <w:rFonts w:ascii="Arial" w:hAnsi="Arial" w:cs="Arial"/>
                <w:sz w:val="22"/>
                <w:szCs w:val="22"/>
              </w:rPr>
              <w:t xml:space="preserve"> </w:t>
            </w:r>
          </w:p>
          <w:p w14:paraId="633678ED" w14:textId="7A7DE55E" w:rsidR="00740116" w:rsidRPr="00BE570F" w:rsidRDefault="00740116" w:rsidP="00B633A2">
            <w:pPr>
              <w:spacing w:after="120"/>
              <w:rPr>
                <w:rFonts w:ascii="Arial" w:hAnsi="Arial" w:cs="Arial"/>
                <w:sz w:val="22"/>
                <w:szCs w:val="22"/>
              </w:rPr>
            </w:pPr>
            <w:r w:rsidRPr="00BE570F">
              <w:rPr>
                <w:rFonts w:ascii="Arial" w:hAnsi="Arial" w:cs="Arial"/>
                <w:sz w:val="22"/>
                <w:szCs w:val="22"/>
              </w:rPr>
              <w:t>These harms include relationship breakdown, compromised mental and physical health and wellbeing, financial losses, demand for services, lost work productivity and crime.</w:t>
            </w:r>
          </w:p>
          <w:p w14:paraId="3BCA11D9" w14:textId="7AFFDDC7" w:rsidR="00740116" w:rsidRPr="00BE570F" w:rsidRDefault="00740116" w:rsidP="00B633A2">
            <w:pPr>
              <w:spacing w:after="120"/>
              <w:rPr>
                <w:rFonts w:ascii="Arial" w:hAnsi="Arial" w:cs="Arial"/>
                <w:sz w:val="22"/>
                <w:szCs w:val="22"/>
              </w:rPr>
            </w:pPr>
            <w:r w:rsidRPr="00BE570F">
              <w:rPr>
                <w:rFonts w:ascii="Arial" w:hAnsi="Arial" w:cs="Arial"/>
                <w:sz w:val="22"/>
                <w:szCs w:val="22"/>
              </w:rPr>
              <w:t xml:space="preserve">Gambling-related harm can be divided into seven key areas: Financial harm, relationship disruption, emotional or psychological distress, decrements to health, cultural harm, reduced work or study performance and criminal activity. These harms can further be considered as general harms (which occur at any time), crisis harms, which are </w:t>
            </w:r>
            <w:r w:rsidR="00911548" w:rsidRPr="00BE570F">
              <w:rPr>
                <w:rFonts w:ascii="Arial" w:hAnsi="Arial" w:cs="Arial"/>
                <w:sz w:val="22"/>
                <w:szCs w:val="22"/>
              </w:rPr>
              <w:t>acute and occur in specific situations</w:t>
            </w:r>
            <w:r w:rsidR="00DF45CE" w:rsidRPr="00BE570F">
              <w:rPr>
                <w:rFonts w:ascii="Arial" w:hAnsi="Arial" w:cs="Arial"/>
                <w:sz w:val="22"/>
                <w:szCs w:val="22"/>
              </w:rPr>
              <w:t xml:space="preserve"> and may be </w:t>
            </w:r>
            <w:r w:rsidRPr="00BE570F">
              <w:rPr>
                <w:rFonts w:ascii="Arial" w:hAnsi="Arial" w:cs="Arial"/>
                <w:sz w:val="22"/>
                <w:szCs w:val="22"/>
              </w:rPr>
              <w:t>associated with attempts to seek help, and legacy harms which occur long after gambling has ceased.</w:t>
            </w:r>
            <w:r w:rsidRPr="00BE570F">
              <w:rPr>
                <w:rStyle w:val="EndnoteReference"/>
                <w:rFonts w:ascii="Arial" w:hAnsi="Arial" w:cs="Arial"/>
                <w:sz w:val="22"/>
                <w:szCs w:val="22"/>
              </w:rPr>
              <w:endnoteReference w:id="4"/>
            </w:r>
          </w:p>
        </w:tc>
      </w:tr>
      <w:tr w:rsidR="00BC04EA" w:rsidRPr="00BE570F" w14:paraId="3BF7A3E2" w14:textId="77777777" w:rsidTr="009127F1">
        <w:tc>
          <w:tcPr>
            <w:tcW w:w="1980" w:type="dxa"/>
            <w:vAlign w:val="center"/>
          </w:tcPr>
          <w:p w14:paraId="7E47F0F7" w14:textId="66852E7E" w:rsidR="00BC04EA" w:rsidRPr="00BA6800" w:rsidRDefault="00BC04EA" w:rsidP="00B633A2">
            <w:pPr>
              <w:spacing w:after="120"/>
              <w:rPr>
                <w:rFonts w:ascii="Arial" w:hAnsi="Arial" w:cs="Arial"/>
                <w:b/>
                <w:bCs/>
                <w:sz w:val="22"/>
                <w:szCs w:val="22"/>
              </w:rPr>
            </w:pPr>
            <w:r w:rsidRPr="00BA6800">
              <w:rPr>
                <w:rFonts w:ascii="Arial" w:hAnsi="Arial" w:cs="Arial"/>
                <w:b/>
                <w:bCs/>
                <w:sz w:val="22"/>
                <w:szCs w:val="22"/>
              </w:rPr>
              <w:t>Gaming</w:t>
            </w:r>
          </w:p>
        </w:tc>
        <w:tc>
          <w:tcPr>
            <w:tcW w:w="7036" w:type="dxa"/>
          </w:tcPr>
          <w:p w14:paraId="28F4373B" w14:textId="28C5EC9B" w:rsidR="00BC04EA" w:rsidRPr="00BA6800" w:rsidRDefault="007759C3" w:rsidP="00B633A2">
            <w:pPr>
              <w:spacing w:after="120"/>
              <w:rPr>
                <w:rFonts w:ascii="Arial" w:hAnsi="Arial" w:cs="Arial"/>
                <w:sz w:val="22"/>
                <w:szCs w:val="22"/>
              </w:rPr>
            </w:pPr>
            <w:r w:rsidRPr="00BA6800">
              <w:rPr>
                <w:rFonts w:ascii="Arial" w:hAnsi="Arial" w:cs="Arial"/>
                <w:sz w:val="22"/>
                <w:szCs w:val="22"/>
              </w:rPr>
              <w:t xml:space="preserve">All legal forms of gambling other than wagering, such as lotteries, </w:t>
            </w:r>
            <w:r w:rsidR="001A75C1">
              <w:rPr>
                <w:rFonts w:ascii="Arial" w:hAnsi="Arial" w:cs="Arial"/>
                <w:sz w:val="22"/>
                <w:szCs w:val="22"/>
              </w:rPr>
              <w:t>EGMs</w:t>
            </w:r>
            <w:r w:rsidRPr="00BA6800">
              <w:rPr>
                <w:rFonts w:ascii="Arial" w:hAnsi="Arial" w:cs="Arial"/>
                <w:sz w:val="22"/>
                <w:szCs w:val="22"/>
              </w:rPr>
              <w:t>, casino, interactive gaming and minor gaming.</w:t>
            </w:r>
            <w:r w:rsidR="00E46A2D" w:rsidRPr="00BA6800">
              <w:rPr>
                <w:rStyle w:val="EndnoteReference"/>
                <w:rFonts w:ascii="Arial" w:hAnsi="Arial" w:cs="Arial"/>
                <w:sz w:val="22"/>
                <w:szCs w:val="22"/>
              </w:rPr>
              <w:endnoteReference w:id="5"/>
            </w:r>
          </w:p>
        </w:tc>
      </w:tr>
      <w:tr w:rsidR="00F35E82" w:rsidRPr="00BE570F" w14:paraId="0F9449DF" w14:textId="77777777" w:rsidTr="009127F1">
        <w:tc>
          <w:tcPr>
            <w:tcW w:w="1980" w:type="dxa"/>
            <w:vAlign w:val="center"/>
          </w:tcPr>
          <w:p w14:paraId="7007DF85" w14:textId="77777777" w:rsidR="00F35E82" w:rsidRPr="00BE570F" w:rsidRDefault="00F35E82" w:rsidP="00B633A2">
            <w:pPr>
              <w:spacing w:after="120"/>
              <w:rPr>
                <w:rFonts w:ascii="Arial" w:hAnsi="Arial" w:cs="Arial"/>
                <w:b/>
                <w:bCs/>
                <w:sz w:val="22"/>
                <w:szCs w:val="22"/>
              </w:rPr>
            </w:pPr>
            <w:r w:rsidRPr="00BE570F">
              <w:rPr>
                <w:rFonts w:ascii="Arial" w:hAnsi="Arial" w:cs="Arial"/>
                <w:b/>
                <w:bCs/>
                <w:sz w:val="22"/>
                <w:szCs w:val="22"/>
              </w:rPr>
              <w:t>Gaming venue</w:t>
            </w:r>
          </w:p>
        </w:tc>
        <w:tc>
          <w:tcPr>
            <w:tcW w:w="7036" w:type="dxa"/>
          </w:tcPr>
          <w:p w14:paraId="7916F590" w14:textId="7B79D6BB" w:rsidR="00F35E82" w:rsidRPr="00BE570F" w:rsidRDefault="00F35E82" w:rsidP="00B633A2">
            <w:pPr>
              <w:spacing w:after="120"/>
              <w:rPr>
                <w:rFonts w:ascii="Arial" w:hAnsi="Arial" w:cs="Arial"/>
                <w:sz w:val="22"/>
                <w:szCs w:val="22"/>
              </w:rPr>
            </w:pPr>
            <w:r w:rsidRPr="00BE570F">
              <w:rPr>
                <w:rFonts w:ascii="Arial" w:hAnsi="Arial" w:cs="Arial"/>
                <w:sz w:val="22"/>
                <w:szCs w:val="22"/>
              </w:rPr>
              <w:t>A gaming venue is classified as a ‘gaming premise’ under the Maroondah Planning Scheme. The definition of a ‘gaming premise’ is ‘land used for gambling by gaming, and where there is the ability to receive a monetary reward’.</w:t>
            </w:r>
          </w:p>
          <w:p w14:paraId="00D78615" w14:textId="77777777" w:rsidR="00F35E82" w:rsidRPr="00BE570F" w:rsidRDefault="00F35E82" w:rsidP="00B633A2">
            <w:pPr>
              <w:spacing w:after="120"/>
              <w:rPr>
                <w:rFonts w:ascii="Arial" w:hAnsi="Arial" w:cs="Arial"/>
                <w:sz w:val="22"/>
                <w:szCs w:val="22"/>
              </w:rPr>
            </w:pPr>
            <w:r w:rsidRPr="001A75C1">
              <w:rPr>
                <w:rFonts w:ascii="Arial" w:hAnsi="Arial" w:cs="Arial"/>
                <w:i/>
                <w:iCs/>
                <w:sz w:val="22"/>
                <w:szCs w:val="22"/>
              </w:rPr>
              <w:t>The Gambling Regulation Act 2003</w:t>
            </w:r>
            <w:r w:rsidRPr="00BE570F">
              <w:rPr>
                <w:rFonts w:ascii="Arial" w:hAnsi="Arial" w:cs="Arial"/>
                <w:sz w:val="22"/>
                <w:szCs w:val="22"/>
              </w:rPr>
              <w:t xml:space="preserve"> permits the use of EGMs in venues with a pub licence (hotel operating under a General Liquor Licence), club licence (operating under a Full Club Liquor Licence) and racing club licence (operating under a Full Club Liquor Licence).</w:t>
            </w:r>
          </w:p>
          <w:p w14:paraId="673F9557" w14:textId="77777777" w:rsidR="00F35E82" w:rsidRPr="00BE570F" w:rsidRDefault="00F35E82" w:rsidP="00B633A2">
            <w:pPr>
              <w:spacing w:after="120"/>
              <w:rPr>
                <w:rFonts w:ascii="Arial" w:hAnsi="Arial" w:cs="Arial"/>
                <w:sz w:val="22"/>
                <w:szCs w:val="22"/>
              </w:rPr>
            </w:pPr>
            <w:r w:rsidRPr="00914854">
              <w:rPr>
                <w:rFonts w:ascii="Arial" w:hAnsi="Arial" w:cs="Arial"/>
                <w:i/>
                <w:iCs/>
                <w:sz w:val="22"/>
                <w:szCs w:val="22"/>
              </w:rPr>
              <w:t>The Gambling Regulation Act 2003</w:t>
            </w:r>
            <w:r w:rsidRPr="00BE570F">
              <w:rPr>
                <w:rFonts w:ascii="Arial" w:hAnsi="Arial" w:cs="Arial"/>
                <w:sz w:val="22"/>
                <w:szCs w:val="22"/>
              </w:rPr>
              <w:t xml:space="preserve"> defines a club as a ‘club, society or other association of persons by whatever name called and whether incorporated or unincorporated’.</w:t>
            </w:r>
          </w:p>
          <w:p w14:paraId="0D510FEA" w14:textId="77777777" w:rsidR="00F35E82" w:rsidRPr="00BE570F" w:rsidRDefault="00F35E82" w:rsidP="00B633A2">
            <w:pPr>
              <w:spacing w:after="120"/>
              <w:rPr>
                <w:rFonts w:ascii="Arial" w:hAnsi="Arial" w:cs="Arial"/>
                <w:sz w:val="22"/>
                <w:szCs w:val="22"/>
              </w:rPr>
            </w:pPr>
            <w:r w:rsidRPr="00BE570F">
              <w:rPr>
                <w:rFonts w:ascii="Arial" w:hAnsi="Arial" w:cs="Arial"/>
                <w:sz w:val="22"/>
                <w:szCs w:val="22"/>
              </w:rPr>
              <w:t xml:space="preserve">There is no definition of a hotel or racing club under the </w:t>
            </w:r>
            <w:r w:rsidRPr="00914854">
              <w:rPr>
                <w:rFonts w:ascii="Arial" w:hAnsi="Arial" w:cs="Arial"/>
                <w:i/>
                <w:iCs/>
                <w:sz w:val="22"/>
                <w:szCs w:val="22"/>
              </w:rPr>
              <w:t>Gambling Regulation Act 2003</w:t>
            </w:r>
            <w:r w:rsidRPr="00BE570F">
              <w:rPr>
                <w:rFonts w:ascii="Arial" w:hAnsi="Arial" w:cs="Arial"/>
                <w:sz w:val="22"/>
                <w:szCs w:val="22"/>
              </w:rPr>
              <w:t>.</w:t>
            </w:r>
          </w:p>
          <w:p w14:paraId="79DC32C3" w14:textId="77777777" w:rsidR="00F35E82" w:rsidRPr="00BE570F" w:rsidRDefault="00F35E82" w:rsidP="00B633A2">
            <w:pPr>
              <w:spacing w:after="120"/>
              <w:rPr>
                <w:rFonts w:ascii="Arial" w:hAnsi="Arial" w:cs="Arial"/>
                <w:sz w:val="22"/>
                <w:szCs w:val="22"/>
              </w:rPr>
            </w:pPr>
            <w:r w:rsidRPr="00BE570F">
              <w:rPr>
                <w:rFonts w:ascii="Arial" w:hAnsi="Arial" w:cs="Arial"/>
                <w:sz w:val="22"/>
                <w:szCs w:val="22"/>
              </w:rPr>
              <w:t>Some clubs operating EGMs in Victoria provide sporting activities such as golf, tennis or bowls.</w:t>
            </w:r>
          </w:p>
        </w:tc>
      </w:tr>
      <w:tr w:rsidR="00E265F8" w:rsidRPr="00BE570F" w14:paraId="2DCAB922" w14:textId="77777777" w:rsidTr="009127F1">
        <w:tc>
          <w:tcPr>
            <w:tcW w:w="1980" w:type="dxa"/>
            <w:vAlign w:val="center"/>
          </w:tcPr>
          <w:p w14:paraId="5E77ACDE" w14:textId="77777777" w:rsidR="00E265F8" w:rsidRPr="00BE570F" w:rsidRDefault="00E265F8" w:rsidP="00B633A2">
            <w:pPr>
              <w:spacing w:after="120"/>
              <w:rPr>
                <w:rFonts w:ascii="Arial" w:hAnsi="Arial" w:cs="Arial"/>
                <w:b/>
                <w:bCs/>
                <w:sz w:val="22"/>
                <w:szCs w:val="22"/>
              </w:rPr>
            </w:pPr>
            <w:r w:rsidRPr="00BE570F">
              <w:rPr>
                <w:rFonts w:ascii="Arial" w:hAnsi="Arial" w:cs="Arial"/>
                <w:b/>
                <w:bCs/>
                <w:sz w:val="22"/>
                <w:szCs w:val="22"/>
              </w:rPr>
              <w:t>Harm prevention</w:t>
            </w:r>
          </w:p>
        </w:tc>
        <w:tc>
          <w:tcPr>
            <w:tcW w:w="7036" w:type="dxa"/>
          </w:tcPr>
          <w:p w14:paraId="302F9DEF" w14:textId="6B3139F3" w:rsidR="00E265F8" w:rsidRPr="00BE570F" w:rsidRDefault="00914854" w:rsidP="00B633A2">
            <w:pPr>
              <w:spacing w:after="120"/>
              <w:rPr>
                <w:rFonts w:ascii="Arial" w:hAnsi="Arial" w:cs="Arial"/>
                <w:sz w:val="22"/>
                <w:szCs w:val="22"/>
              </w:rPr>
            </w:pPr>
            <w:r>
              <w:rPr>
                <w:rFonts w:ascii="Arial" w:hAnsi="Arial" w:cs="Arial"/>
                <w:sz w:val="22"/>
                <w:szCs w:val="22"/>
              </w:rPr>
              <w:t>A</w:t>
            </w:r>
            <w:r w:rsidR="00E265F8" w:rsidRPr="00BE570F">
              <w:rPr>
                <w:rFonts w:ascii="Arial" w:hAnsi="Arial" w:cs="Arial"/>
                <w:sz w:val="22"/>
                <w:szCs w:val="22"/>
              </w:rPr>
              <w:t xml:space="preserve"> range of non-statutory measures which seek to avoid the risk of gambling-related harm from occurring in the first place. These measures focus on protecting those most at risk of gambling-related harm by avoiding access to opportunities to gamble.</w:t>
            </w:r>
          </w:p>
        </w:tc>
      </w:tr>
      <w:tr w:rsidR="00E265F8" w:rsidRPr="00BE570F" w14:paraId="15606CBA" w14:textId="77777777" w:rsidTr="009127F1">
        <w:tc>
          <w:tcPr>
            <w:tcW w:w="1980" w:type="dxa"/>
            <w:vAlign w:val="center"/>
          </w:tcPr>
          <w:p w14:paraId="552D28FD" w14:textId="77777777" w:rsidR="00E265F8" w:rsidRPr="00BE570F" w:rsidRDefault="00E265F8" w:rsidP="00B633A2">
            <w:pPr>
              <w:spacing w:after="120"/>
              <w:rPr>
                <w:rFonts w:ascii="Arial" w:hAnsi="Arial" w:cs="Arial"/>
                <w:b/>
                <w:bCs/>
                <w:sz w:val="22"/>
                <w:szCs w:val="22"/>
              </w:rPr>
            </w:pPr>
            <w:r w:rsidRPr="00BE570F">
              <w:rPr>
                <w:rFonts w:ascii="Arial" w:hAnsi="Arial" w:cs="Arial"/>
                <w:b/>
                <w:bCs/>
                <w:sz w:val="22"/>
                <w:szCs w:val="22"/>
              </w:rPr>
              <w:t>Partnership</w:t>
            </w:r>
          </w:p>
        </w:tc>
        <w:tc>
          <w:tcPr>
            <w:tcW w:w="7036" w:type="dxa"/>
          </w:tcPr>
          <w:p w14:paraId="408A515E" w14:textId="021EC8DD" w:rsidR="00E265F8" w:rsidRPr="00BE570F" w:rsidRDefault="00E265F8" w:rsidP="00B633A2">
            <w:pPr>
              <w:spacing w:after="120"/>
              <w:rPr>
                <w:rFonts w:ascii="Arial" w:hAnsi="Arial" w:cs="Arial"/>
                <w:sz w:val="22"/>
                <w:szCs w:val="22"/>
              </w:rPr>
            </w:pPr>
            <w:r w:rsidRPr="00BE570F">
              <w:rPr>
                <w:rFonts w:ascii="Arial" w:hAnsi="Arial" w:cs="Arial"/>
                <w:sz w:val="22"/>
                <w:szCs w:val="22"/>
              </w:rPr>
              <w:t xml:space="preserve">A relationship between the Maroondah City Council and stakeholders, and between stakeholders themselves involving shared responsibilities for implementing a range of actions that seek to achieve a common goal such as </w:t>
            </w:r>
            <w:r w:rsidR="00BD64AC">
              <w:rPr>
                <w:rFonts w:ascii="Arial" w:hAnsi="Arial" w:cs="Arial"/>
                <w:sz w:val="22"/>
                <w:szCs w:val="22"/>
              </w:rPr>
              <w:t>preventing and minimising gambling harm</w:t>
            </w:r>
            <w:r w:rsidRPr="00BE570F">
              <w:rPr>
                <w:rFonts w:ascii="Arial" w:hAnsi="Arial" w:cs="Arial"/>
                <w:sz w:val="22"/>
                <w:szCs w:val="22"/>
              </w:rPr>
              <w:t>.</w:t>
            </w:r>
          </w:p>
        </w:tc>
      </w:tr>
      <w:tr w:rsidR="00E265F8" w:rsidRPr="00BE570F" w14:paraId="3ED57F1F" w14:textId="77777777" w:rsidTr="009127F1">
        <w:tc>
          <w:tcPr>
            <w:tcW w:w="1980" w:type="dxa"/>
            <w:vAlign w:val="center"/>
          </w:tcPr>
          <w:p w14:paraId="2F37CC6D" w14:textId="77777777" w:rsidR="00E265F8" w:rsidRPr="00BE570F" w:rsidRDefault="00E265F8" w:rsidP="00B633A2">
            <w:pPr>
              <w:spacing w:after="120"/>
              <w:rPr>
                <w:rFonts w:ascii="Arial" w:hAnsi="Arial" w:cs="Arial"/>
                <w:b/>
                <w:bCs/>
                <w:sz w:val="22"/>
                <w:szCs w:val="22"/>
              </w:rPr>
            </w:pPr>
            <w:r w:rsidRPr="00BE570F">
              <w:rPr>
                <w:rFonts w:ascii="Arial" w:hAnsi="Arial" w:cs="Arial"/>
                <w:b/>
                <w:bCs/>
                <w:sz w:val="22"/>
                <w:szCs w:val="22"/>
              </w:rPr>
              <w:t>Policy</w:t>
            </w:r>
          </w:p>
        </w:tc>
        <w:tc>
          <w:tcPr>
            <w:tcW w:w="7036" w:type="dxa"/>
          </w:tcPr>
          <w:p w14:paraId="0AAA3590" w14:textId="568BBB22" w:rsidR="00E265F8" w:rsidRPr="00BE570F" w:rsidRDefault="00E265F8" w:rsidP="00B633A2">
            <w:pPr>
              <w:spacing w:after="120"/>
              <w:rPr>
                <w:rFonts w:ascii="Arial" w:hAnsi="Arial" w:cs="Arial"/>
                <w:sz w:val="22"/>
                <w:szCs w:val="22"/>
              </w:rPr>
            </w:pPr>
            <w:r w:rsidRPr="00BE570F">
              <w:rPr>
                <w:rFonts w:ascii="Arial" w:hAnsi="Arial" w:cs="Arial"/>
                <w:sz w:val="22"/>
                <w:szCs w:val="22"/>
              </w:rPr>
              <w:t xml:space="preserve">Sets out </w:t>
            </w:r>
            <w:r w:rsidR="00604D74">
              <w:rPr>
                <w:rFonts w:ascii="Arial" w:hAnsi="Arial" w:cs="Arial"/>
                <w:sz w:val="22"/>
                <w:szCs w:val="22"/>
              </w:rPr>
              <w:t>Council’s</w:t>
            </w:r>
            <w:r w:rsidRPr="00BE570F">
              <w:rPr>
                <w:rFonts w:ascii="Arial" w:hAnsi="Arial" w:cs="Arial"/>
                <w:sz w:val="22"/>
                <w:szCs w:val="22"/>
              </w:rPr>
              <w:t xml:space="preserve"> </w:t>
            </w:r>
            <w:r w:rsidR="00AD0B3D">
              <w:rPr>
                <w:rFonts w:ascii="Arial" w:hAnsi="Arial" w:cs="Arial"/>
                <w:sz w:val="22"/>
                <w:szCs w:val="22"/>
              </w:rPr>
              <w:t xml:space="preserve">position </w:t>
            </w:r>
            <w:r w:rsidRPr="00BE570F">
              <w:rPr>
                <w:rFonts w:ascii="Arial" w:hAnsi="Arial" w:cs="Arial"/>
                <w:sz w:val="22"/>
                <w:szCs w:val="22"/>
              </w:rPr>
              <w:t xml:space="preserve">with respect to a particular matter. It includes a set of principles </w:t>
            </w:r>
            <w:r w:rsidR="00604D74">
              <w:rPr>
                <w:rFonts w:ascii="Arial" w:hAnsi="Arial" w:cs="Arial"/>
                <w:sz w:val="22"/>
                <w:szCs w:val="22"/>
              </w:rPr>
              <w:t xml:space="preserve">and strategic objectives </w:t>
            </w:r>
            <w:r w:rsidRPr="00BE570F">
              <w:rPr>
                <w:rFonts w:ascii="Arial" w:hAnsi="Arial" w:cs="Arial"/>
                <w:sz w:val="22"/>
                <w:szCs w:val="22"/>
              </w:rPr>
              <w:t>that provide a definite direction for the organisation.</w:t>
            </w:r>
          </w:p>
        </w:tc>
      </w:tr>
      <w:tr w:rsidR="00E265F8" w:rsidRPr="00BE570F" w14:paraId="51546FDD" w14:textId="77777777" w:rsidTr="009127F1">
        <w:tc>
          <w:tcPr>
            <w:tcW w:w="1980" w:type="dxa"/>
            <w:vAlign w:val="center"/>
          </w:tcPr>
          <w:p w14:paraId="6DE5BB02" w14:textId="77777777" w:rsidR="00E265F8" w:rsidRPr="00BE570F" w:rsidRDefault="00E265F8" w:rsidP="00B633A2">
            <w:pPr>
              <w:spacing w:after="120"/>
              <w:rPr>
                <w:rFonts w:ascii="Arial" w:hAnsi="Arial" w:cs="Arial"/>
                <w:b/>
                <w:bCs/>
                <w:sz w:val="22"/>
                <w:szCs w:val="22"/>
              </w:rPr>
            </w:pPr>
            <w:r w:rsidRPr="00BE570F">
              <w:rPr>
                <w:rFonts w:ascii="Arial" w:hAnsi="Arial" w:cs="Arial"/>
                <w:b/>
                <w:bCs/>
                <w:sz w:val="22"/>
                <w:szCs w:val="22"/>
              </w:rPr>
              <w:t>Stakeholder</w:t>
            </w:r>
          </w:p>
        </w:tc>
        <w:tc>
          <w:tcPr>
            <w:tcW w:w="7036" w:type="dxa"/>
          </w:tcPr>
          <w:p w14:paraId="2144393C" w14:textId="15FD67D1" w:rsidR="00E265F8" w:rsidRPr="00BE570F" w:rsidRDefault="00E265F8" w:rsidP="00B633A2">
            <w:pPr>
              <w:spacing w:after="120"/>
              <w:rPr>
                <w:rFonts w:ascii="Arial" w:hAnsi="Arial" w:cs="Arial"/>
                <w:sz w:val="22"/>
                <w:szCs w:val="22"/>
              </w:rPr>
            </w:pPr>
            <w:r w:rsidRPr="00BE570F">
              <w:rPr>
                <w:rFonts w:ascii="Arial" w:hAnsi="Arial" w:cs="Arial"/>
                <w:sz w:val="22"/>
                <w:szCs w:val="22"/>
              </w:rPr>
              <w:t xml:space="preserve">An individual or group identified with a strong interest in a particular topic </w:t>
            </w:r>
            <w:proofErr w:type="gramStart"/>
            <w:r w:rsidRPr="00BE570F">
              <w:rPr>
                <w:rFonts w:ascii="Arial" w:hAnsi="Arial" w:cs="Arial"/>
                <w:sz w:val="22"/>
                <w:szCs w:val="22"/>
              </w:rPr>
              <w:t>in regard to</w:t>
            </w:r>
            <w:proofErr w:type="gramEnd"/>
            <w:r w:rsidRPr="00BE570F">
              <w:rPr>
                <w:rFonts w:ascii="Arial" w:hAnsi="Arial" w:cs="Arial"/>
                <w:sz w:val="22"/>
                <w:szCs w:val="22"/>
              </w:rPr>
              <w:t xml:space="preserve"> </w:t>
            </w:r>
            <w:r w:rsidR="00FD2A4C">
              <w:rPr>
                <w:rFonts w:ascii="Arial" w:hAnsi="Arial" w:cs="Arial"/>
                <w:sz w:val="22"/>
                <w:szCs w:val="22"/>
              </w:rPr>
              <w:t xml:space="preserve">Council’s </w:t>
            </w:r>
            <w:r w:rsidRPr="00BE570F">
              <w:rPr>
                <w:rFonts w:ascii="Arial" w:hAnsi="Arial" w:cs="Arial"/>
                <w:sz w:val="22"/>
                <w:szCs w:val="22"/>
              </w:rPr>
              <w:t>decision-making and</w:t>
            </w:r>
            <w:r w:rsidR="00FD2A4C">
              <w:rPr>
                <w:rFonts w:ascii="Arial" w:hAnsi="Arial" w:cs="Arial"/>
                <w:sz w:val="22"/>
                <w:szCs w:val="22"/>
              </w:rPr>
              <w:t>/or</w:t>
            </w:r>
            <w:r w:rsidRPr="00BE570F">
              <w:rPr>
                <w:rFonts w:ascii="Arial" w:hAnsi="Arial" w:cs="Arial"/>
                <w:sz w:val="22"/>
                <w:szCs w:val="22"/>
              </w:rPr>
              <w:t xml:space="preserve"> are affected by the outcome of any decisions.</w:t>
            </w:r>
          </w:p>
        </w:tc>
      </w:tr>
      <w:tr w:rsidR="00B048B1" w:rsidRPr="00BE570F" w14:paraId="6CED0EB5" w14:textId="77777777" w:rsidTr="009127F1">
        <w:tc>
          <w:tcPr>
            <w:tcW w:w="1980" w:type="dxa"/>
            <w:vAlign w:val="center"/>
          </w:tcPr>
          <w:p w14:paraId="4990A540" w14:textId="77777777" w:rsidR="00B048B1" w:rsidRPr="00BE570F" w:rsidRDefault="00B048B1" w:rsidP="00B633A2">
            <w:pPr>
              <w:spacing w:after="120"/>
              <w:rPr>
                <w:rFonts w:ascii="Arial" w:hAnsi="Arial" w:cs="Arial"/>
                <w:b/>
                <w:bCs/>
                <w:sz w:val="22"/>
                <w:szCs w:val="22"/>
              </w:rPr>
            </w:pPr>
            <w:r w:rsidRPr="00BE570F">
              <w:rPr>
                <w:rFonts w:ascii="Arial" w:hAnsi="Arial" w:cs="Arial"/>
                <w:b/>
                <w:bCs/>
                <w:sz w:val="22"/>
                <w:szCs w:val="22"/>
              </w:rPr>
              <w:t>Vulnerable groups</w:t>
            </w:r>
          </w:p>
        </w:tc>
        <w:tc>
          <w:tcPr>
            <w:tcW w:w="7036" w:type="dxa"/>
          </w:tcPr>
          <w:p w14:paraId="4D20586C" w14:textId="77777777" w:rsidR="00B048B1" w:rsidRPr="00BE570F" w:rsidRDefault="00B048B1" w:rsidP="00B633A2">
            <w:pPr>
              <w:spacing w:after="120"/>
              <w:rPr>
                <w:rFonts w:ascii="Arial" w:hAnsi="Arial" w:cs="Arial"/>
                <w:sz w:val="22"/>
                <w:szCs w:val="22"/>
              </w:rPr>
            </w:pPr>
            <w:r w:rsidRPr="00BE570F">
              <w:rPr>
                <w:rFonts w:ascii="Arial" w:hAnsi="Arial" w:cs="Arial"/>
                <w:sz w:val="22"/>
                <w:szCs w:val="22"/>
              </w:rPr>
              <w:t xml:space="preserve">Groups within the community at an elevated risk of gambling-related harms </w:t>
            </w:r>
            <w:proofErr w:type="gramStart"/>
            <w:r w:rsidRPr="00BE570F">
              <w:rPr>
                <w:rFonts w:ascii="Arial" w:hAnsi="Arial" w:cs="Arial"/>
                <w:sz w:val="22"/>
                <w:szCs w:val="22"/>
              </w:rPr>
              <w:t>as a result of</w:t>
            </w:r>
            <w:proofErr w:type="gramEnd"/>
            <w:r w:rsidRPr="00BE570F">
              <w:rPr>
                <w:rFonts w:ascii="Arial" w:hAnsi="Arial" w:cs="Arial"/>
                <w:sz w:val="22"/>
                <w:szCs w:val="22"/>
              </w:rPr>
              <w:t xml:space="preserve"> their age, socio-economic status, gender, cultural and linguistic background or exposure to opportunities to gamble.</w:t>
            </w:r>
          </w:p>
        </w:tc>
      </w:tr>
      <w:tr w:rsidR="00BC04EA" w:rsidRPr="00BE570F" w14:paraId="6DFD792E" w14:textId="77777777" w:rsidTr="009127F1">
        <w:tc>
          <w:tcPr>
            <w:tcW w:w="1980" w:type="dxa"/>
            <w:vAlign w:val="center"/>
          </w:tcPr>
          <w:p w14:paraId="06A8D85C" w14:textId="104C061D" w:rsidR="00BC04EA" w:rsidRPr="00337D3A" w:rsidRDefault="00BC04EA" w:rsidP="00B633A2">
            <w:pPr>
              <w:spacing w:after="120"/>
              <w:rPr>
                <w:rFonts w:ascii="Arial" w:hAnsi="Arial" w:cs="Arial"/>
                <w:b/>
                <w:bCs/>
                <w:sz w:val="22"/>
                <w:szCs w:val="22"/>
              </w:rPr>
            </w:pPr>
            <w:r w:rsidRPr="00337D3A">
              <w:rPr>
                <w:rFonts w:ascii="Arial" w:hAnsi="Arial" w:cs="Arial"/>
                <w:b/>
                <w:bCs/>
                <w:sz w:val="22"/>
                <w:szCs w:val="22"/>
              </w:rPr>
              <w:lastRenderedPageBreak/>
              <w:t>Wagering</w:t>
            </w:r>
          </w:p>
        </w:tc>
        <w:tc>
          <w:tcPr>
            <w:tcW w:w="7036" w:type="dxa"/>
          </w:tcPr>
          <w:p w14:paraId="16810084" w14:textId="1A875BF4" w:rsidR="00BC04EA" w:rsidRPr="00337D3A" w:rsidRDefault="004C4BC0" w:rsidP="00B633A2">
            <w:pPr>
              <w:spacing w:after="120"/>
              <w:rPr>
                <w:rFonts w:ascii="Arial" w:hAnsi="Arial" w:cs="Arial"/>
                <w:sz w:val="22"/>
                <w:szCs w:val="22"/>
              </w:rPr>
            </w:pPr>
            <w:r w:rsidRPr="00BE570F">
              <w:rPr>
                <w:rFonts w:ascii="Arial" w:hAnsi="Arial" w:cs="Arial"/>
                <w:sz w:val="22"/>
                <w:szCs w:val="22"/>
              </w:rPr>
              <w:t>All legal forms of gambling on racing, sporting events and other approved events (e.g., elections). Wagering includes all the racing and sports betting activities.</w:t>
            </w:r>
            <w:r w:rsidR="000E4D0A" w:rsidRPr="00BE570F">
              <w:rPr>
                <w:rStyle w:val="EndnoteReference"/>
                <w:rFonts w:ascii="Arial" w:hAnsi="Arial" w:cs="Arial"/>
                <w:sz w:val="22"/>
                <w:szCs w:val="22"/>
              </w:rPr>
              <w:endnoteReference w:id="6"/>
            </w:r>
          </w:p>
        </w:tc>
      </w:tr>
    </w:tbl>
    <w:p w14:paraId="3B2D3803" w14:textId="6F4F1DB1" w:rsidR="00FE572A" w:rsidRPr="004B5399" w:rsidRDefault="00FE572A" w:rsidP="00FE572A">
      <w:pPr>
        <w:pStyle w:val="Heading1"/>
        <w:rPr>
          <w:rFonts w:cs="Arial"/>
          <w:lang w:val="en-US"/>
        </w:rPr>
      </w:pPr>
      <w:r w:rsidRPr="004B5399">
        <w:rPr>
          <w:rFonts w:cs="Arial"/>
          <w:lang w:val="en-US"/>
        </w:rPr>
        <w:t>Supporting document</w:t>
      </w:r>
    </w:p>
    <w:p w14:paraId="46938C5A" w14:textId="20D8F31A" w:rsidR="00BE34CA" w:rsidRPr="00591134" w:rsidRDefault="00BE34CA" w:rsidP="4CD967B0">
      <w:pPr>
        <w:rPr>
          <w:rFonts w:ascii="Arial" w:hAnsi="Arial" w:cs="Arial"/>
          <w:i/>
          <w:iCs/>
          <w:lang w:val="en-US"/>
        </w:rPr>
      </w:pPr>
      <w:r w:rsidRPr="4CD967B0">
        <w:rPr>
          <w:rFonts w:ascii="Arial" w:hAnsi="Arial" w:cs="Arial"/>
          <w:i/>
          <w:iCs/>
          <w:lang w:val="en-US"/>
        </w:rPr>
        <w:t xml:space="preserve">Maroondah </w:t>
      </w:r>
      <w:r w:rsidR="001843A8" w:rsidRPr="4CD967B0">
        <w:rPr>
          <w:rFonts w:ascii="Arial" w:hAnsi="Arial" w:cs="Arial"/>
          <w:i/>
          <w:iCs/>
          <w:lang w:val="en-US"/>
        </w:rPr>
        <w:t xml:space="preserve">Gambling </w:t>
      </w:r>
      <w:r w:rsidR="000A23EF" w:rsidRPr="4CD967B0">
        <w:rPr>
          <w:rFonts w:ascii="Arial" w:hAnsi="Arial" w:cs="Arial"/>
          <w:i/>
          <w:iCs/>
          <w:lang w:val="en-US"/>
        </w:rPr>
        <w:t xml:space="preserve">Harm Prevention and </w:t>
      </w:r>
      <w:proofErr w:type="spellStart"/>
      <w:r w:rsidR="000A23EF" w:rsidRPr="4CD967B0">
        <w:rPr>
          <w:rFonts w:ascii="Arial" w:hAnsi="Arial" w:cs="Arial"/>
          <w:i/>
          <w:iCs/>
          <w:lang w:val="en-US"/>
        </w:rPr>
        <w:t>Minimisation</w:t>
      </w:r>
      <w:proofErr w:type="spellEnd"/>
      <w:r w:rsidR="000A23EF" w:rsidRPr="4CD967B0">
        <w:rPr>
          <w:rFonts w:ascii="Arial" w:hAnsi="Arial" w:cs="Arial"/>
          <w:i/>
          <w:iCs/>
          <w:lang w:val="en-US"/>
        </w:rPr>
        <w:t xml:space="preserve"> </w:t>
      </w:r>
      <w:r w:rsidR="001843A8" w:rsidRPr="4CD967B0">
        <w:rPr>
          <w:rFonts w:ascii="Arial" w:hAnsi="Arial" w:cs="Arial"/>
          <w:i/>
          <w:iCs/>
          <w:lang w:val="en-US"/>
        </w:rPr>
        <w:t>Policy 2026 Background Report</w:t>
      </w:r>
    </w:p>
    <w:p w14:paraId="07E9DE5D" w14:textId="77777777" w:rsidR="008C2F49" w:rsidRDefault="008C2F49" w:rsidP="00544B85">
      <w:pPr>
        <w:ind w:left="-1134" w:right="-1039"/>
      </w:pPr>
    </w:p>
    <w:p w14:paraId="320441C5" w14:textId="77777777" w:rsidR="00544B85" w:rsidRPr="008C2F49" w:rsidRDefault="008C2F49" w:rsidP="008C2F49">
      <w:pPr>
        <w:tabs>
          <w:tab w:val="left" w:pos="5940"/>
        </w:tabs>
      </w:pPr>
      <w:r>
        <w:tab/>
      </w:r>
    </w:p>
    <w:sectPr w:rsidR="00544B85" w:rsidRPr="008C2F49" w:rsidSect="008C2F49">
      <w:headerReference w:type="default" r:id="rId8"/>
      <w:footerReference w:type="default" r:id="rId9"/>
      <w:headerReference w:type="first" r:id="rId10"/>
      <w:footerReference w:type="first" r:id="rId11"/>
      <w:endnotePr>
        <w:numFmt w:val="decimal"/>
      </w:endnotePr>
      <w:pgSz w:w="11906" w:h="16838"/>
      <w:pgMar w:top="1701" w:right="720" w:bottom="426"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3ED1" w14:textId="77777777" w:rsidR="00F2618F" w:rsidRDefault="00F2618F" w:rsidP="00231237">
      <w:pPr>
        <w:spacing w:after="0" w:line="240" w:lineRule="auto"/>
      </w:pPr>
      <w:r>
        <w:separator/>
      </w:r>
    </w:p>
  </w:endnote>
  <w:endnote w:type="continuationSeparator" w:id="0">
    <w:p w14:paraId="269D61E3" w14:textId="77777777" w:rsidR="00F2618F" w:rsidRDefault="00F2618F" w:rsidP="00231237">
      <w:pPr>
        <w:spacing w:after="0" w:line="240" w:lineRule="auto"/>
      </w:pPr>
      <w:r>
        <w:continuationSeparator/>
      </w:r>
    </w:p>
  </w:endnote>
  <w:endnote w:id="1">
    <w:p w14:paraId="5838797E" w14:textId="77777777" w:rsidR="00740116" w:rsidRPr="00337D3A" w:rsidRDefault="00740116" w:rsidP="00DD20A3">
      <w:pPr>
        <w:pStyle w:val="EndnoteText"/>
        <w:rPr>
          <w:rFonts w:ascii="Arial" w:hAnsi="Arial" w:cs="Arial"/>
          <w:color w:val="000000" w:themeColor="text1"/>
          <w:sz w:val="18"/>
          <w:szCs w:val="18"/>
        </w:rPr>
      </w:pPr>
      <w:r w:rsidRPr="00337D3A">
        <w:rPr>
          <w:rStyle w:val="EndnoteReference"/>
          <w:rFonts w:ascii="Arial" w:hAnsi="Arial" w:cs="Arial"/>
          <w:color w:val="000000" w:themeColor="text1"/>
          <w:sz w:val="18"/>
          <w:szCs w:val="18"/>
        </w:rPr>
        <w:endnoteRef/>
      </w:r>
      <w:r w:rsidRPr="00337D3A">
        <w:rPr>
          <w:rFonts w:ascii="Arial" w:hAnsi="Arial" w:cs="Arial"/>
          <w:color w:val="000000" w:themeColor="text1"/>
          <w:sz w:val="18"/>
          <w:szCs w:val="18"/>
        </w:rPr>
        <w:t xml:space="preserve"> </w:t>
      </w:r>
      <w:hyperlink r:id="rId1" w:history="1">
        <w:r w:rsidRPr="00337D3A">
          <w:rPr>
            <w:rFonts w:ascii="Arial" w:hAnsi="Arial" w:cs="Arial"/>
            <w:color w:val="000000" w:themeColor="text1"/>
            <w:sz w:val="18"/>
            <w:szCs w:val="18"/>
            <w:u w:val="single"/>
          </w:rPr>
          <w:t>Global Local: Gambling (lgiu.org)</w:t>
        </w:r>
      </w:hyperlink>
    </w:p>
  </w:endnote>
  <w:endnote w:id="2">
    <w:p w14:paraId="01BB6710" w14:textId="69F73129" w:rsidR="001501AB" w:rsidRPr="00BA6800" w:rsidRDefault="001501AB">
      <w:pPr>
        <w:pStyle w:val="EndnoteText"/>
        <w:rPr>
          <w:rFonts w:ascii="Arial" w:hAnsi="Arial" w:cs="Arial"/>
          <w:sz w:val="18"/>
          <w:szCs w:val="18"/>
          <w:lang w:val="en-US"/>
        </w:rPr>
      </w:pPr>
      <w:r w:rsidRPr="00BA6800">
        <w:rPr>
          <w:rStyle w:val="EndnoteReference"/>
          <w:rFonts w:ascii="Arial" w:hAnsi="Arial" w:cs="Arial"/>
          <w:sz w:val="18"/>
          <w:szCs w:val="18"/>
        </w:rPr>
        <w:endnoteRef/>
      </w:r>
      <w:r w:rsidRPr="00BA6800">
        <w:rPr>
          <w:rFonts w:ascii="Arial" w:hAnsi="Arial" w:cs="Arial"/>
          <w:sz w:val="18"/>
          <w:szCs w:val="18"/>
        </w:rPr>
        <w:t xml:space="preserve"> </w:t>
      </w:r>
      <w:r w:rsidRPr="00BA6800">
        <w:rPr>
          <w:rFonts w:ascii="Arial" w:hAnsi="Arial" w:cs="Arial"/>
          <w:sz w:val="18"/>
          <w:szCs w:val="18"/>
          <w:lang w:val="en-US"/>
        </w:rPr>
        <w:t>Australian Gambling Statistics 40</w:t>
      </w:r>
      <w:r w:rsidRPr="00BA6800">
        <w:rPr>
          <w:rFonts w:ascii="Arial" w:hAnsi="Arial" w:cs="Arial"/>
          <w:sz w:val="18"/>
          <w:szCs w:val="18"/>
          <w:vertAlign w:val="superscript"/>
          <w:lang w:val="en-US"/>
        </w:rPr>
        <w:t>th</w:t>
      </w:r>
      <w:r w:rsidRPr="00BA6800">
        <w:rPr>
          <w:rFonts w:ascii="Arial" w:hAnsi="Arial" w:cs="Arial"/>
          <w:sz w:val="18"/>
          <w:szCs w:val="18"/>
          <w:lang w:val="en-US"/>
        </w:rPr>
        <w:t xml:space="preserve"> Edition</w:t>
      </w:r>
    </w:p>
  </w:endnote>
  <w:endnote w:id="3">
    <w:p w14:paraId="057C7AA7" w14:textId="77777777" w:rsidR="00740116" w:rsidRPr="00337D3A" w:rsidRDefault="00740116" w:rsidP="00D16744">
      <w:pPr>
        <w:pStyle w:val="EndnoteText"/>
        <w:rPr>
          <w:rFonts w:ascii="Arial" w:hAnsi="Arial" w:cs="Arial"/>
          <w:sz w:val="18"/>
          <w:szCs w:val="18"/>
        </w:rPr>
      </w:pPr>
      <w:r w:rsidRPr="00337D3A">
        <w:rPr>
          <w:rStyle w:val="EndnoteReference"/>
          <w:rFonts w:ascii="Arial" w:eastAsiaTheme="majorEastAsia" w:hAnsi="Arial" w:cs="Arial"/>
          <w:sz w:val="18"/>
          <w:szCs w:val="18"/>
        </w:rPr>
        <w:endnoteRef/>
      </w:r>
      <w:r w:rsidRPr="00337D3A">
        <w:rPr>
          <w:rFonts w:ascii="Arial" w:hAnsi="Arial" w:cs="Arial"/>
          <w:sz w:val="18"/>
          <w:szCs w:val="18"/>
        </w:rPr>
        <w:t xml:space="preserve"> Browne, M, Langham, E, Rawat, V, Greer, N, Li, E, Rose, J, Rockloff, M, Donaldson, P, Thorne, H, Goodwin, B, Bryden, G &amp; Best, T 2016, Assessing gambling-related harm in Victoria: a public health perspective, Victorian Responsible Gambling Foundation, Melbourne.</w:t>
      </w:r>
    </w:p>
  </w:endnote>
  <w:endnote w:id="4">
    <w:p w14:paraId="137A07E0" w14:textId="2AA1BFDD" w:rsidR="00740116" w:rsidRPr="00337D3A" w:rsidRDefault="00740116" w:rsidP="00D16744">
      <w:pPr>
        <w:pStyle w:val="EndnoteText"/>
        <w:rPr>
          <w:rFonts w:ascii="Arial" w:hAnsi="Arial" w:cs="Arial"/>
          <w:sz w:val="18"/>
          <w:szCs w:val="18"/>
        </w:rPr>
      </w:pPr>
      <w:r w:rsidRPr="00337D3A">
        <w:rPr>
          <w:rStyle w:val="EndnoteReference"/>
          <w:rFonts w:ascii="Arial" w:hAnsi="Arial" w:cs="Arial"/>
          <w:sz w:val="18"/>
          <w:szCs w:val="18"/>
        </w:rPr>
        <w:endnoteRef/>
      </w:r>
      <w:r w:rsidRPr="00337D3A">
        <w:rPr>
          <w:rFonts w:ascii="Arial" w:hAnsi="Arial" w:cs="Arial"/>
          <w:sz w:val="18"/>
          <w:szCs w:val="18"/>
        </w:rPr>
        <w:t xml:space="preserve"> </w:t>
      </w:r>
      <w:hyperlink r:id="rId2" w:history="1">
        <w:r w:rsidR="00DF45CE" w:rsidRPr="00337D3A">
          <w:rPr>
            <w:rStyle w:val="Hyperlink"/>
            <w:rFonts w:ascii="Arial" w:hAnsi="Arial" w:cs="Arial"/>
            <w:sz w:val="18"/>
            <w:szCs w:val="18"/>
          </w:rPr>
          <w:t>https://www.gamblingcommission.gov.uk/report/measuring-the-adverse-consequences-from-gambling</w:t>
        </w:r>
      </w:hyperlink>
      <w:r w:rsidR="00DF45CE" w:rsidRPr="00337D3A">
        <w:rPr>
          <w:rFonts w:ascii="Arial" w:hAnsi="Arial" w:cs="Arial"/>
          <w:sz w:val="18"/>
          <w:szCs w:val="18"/>
        </w:rPr>
        <w:t xml:space="preserve"> </w:t>
      </w:r>
    </w:p>
  </w:endnote>
  <w:endnote w:id="5">
    <w:p w14:paraId="1879DD14" w14:textId="44E7163E" w:rsidR="00E46A2D" w:rsidRPr="00BA6800" w:rsidRDefault="00E46A2D">
      <w:pPr>
        <w:pStyle w:val="EndnoteText"/>
        <w:rPr>
          <w:rFonts w:ascii="Arial" w:hAnsi="Arial" w:cs="Arial"/>
          <w:sz w:val="18"/>
          <w:szCs w:val="18"/>
          <w:lang w:val="en-US"/>
        </w:rPr>
      </w:pPr>
      <w:r w:rsidRPr="00BA6800">
        <w:rPr>
          <w:rStyle w:val="EndnoteReference"/>
          <w:rFonts w:ascii="Arial" w:hAnsi="Arial" w:cs="Arial"/>
          <w:sz w:val="18"/>
          <w:szCs w:val="18"/>
        </w:rPr>
        <w:endnoteRef/>
      </w:r>
      <w:r w:rsidRPr="00BA6800">
        <w:rPr>
          <w:rFonts w:ascii="Arial" w:hAnsi="Arial" w:cs="Arial"/>
          <w:sz w:val="18"/>
          <w:szCs w:val="18"/>
        </w:rPr>
        <w:t xml:space="preserve"> </w:t>
      </w:r>
      <w:r w:rsidRPr="00BA6800">
        <w:rPr>
          <w:rFonts w:ascii="Arial" w:hAnsi="Arial" w:cs="Arial"/>
          <w:sz w:val="18"/>
          <w:szCs w:val="18"/>
          <w:lang w:val="en-US"/>
        </w:rPr>
        <w:t>Australian Gambling Statistics 40</w:t>
      </w:r>
      <w:r w:rsidRPr="00BA6800">
        <w:rPr>
          <w:rFonts w:ascii="Arial" w:hAnsi="Arial" w:cs="Arial"/>
          <w:sz w:val="18"/>
          <w:szCs w:val="18"/>
          <w:vertAlign w:val="superscript"/>
          <w:lang w:val="en-US"/>
        </w:rPr>
        <w:t>th</w:t>
      </w:r>
      <w:r w:rsidRPr="00BA6800">
        <w:rPr>
          <w:rFonts w:ascii="Arial" w:hAnsi="Arial" w:cs="Arial"/>
          <w:sz w:val="18"/>
          <w:szCs w:val="18"/>
          <w:lang w:val="en-US"/>
        </w:rPr>
        <w:t xml:space="preserve"> Edition</w:t>
      </w:r>
    </w:p>
  </w:endnote>
  <w:endnote w:id="6">
    <w:p w14:paraId="644DC349" w14:textId="1772CE8D" w:rsidR="000E4D0A" w:rsidRPr="00BA6800" w:rsidRDefault="000E4D0A">
      <w:pPr>
        <w:pStyle w:val="EndnoteText"/>
        <w:rPr>
          <w:rFonts w:ascii="Arial" w:hAnsi="Arial" w:cs="Arial"/>
          <w:lang w:val="en-US"/>
        </w:rPr>
      </w:pPr>
      <w:r w:rsidRPr="00BA6800">
        <w:rPr>
          <w:rStyle w:val="EndnoteReference"/>
          <w:rFonts w:ascii="Arial" w:hAnsi="Arial" w:cs="Arial"/>
          <w:sz w:val="18"/>
          <w:szCs w:val="18"/>
        </w:rPr>
        <w:endnoteRef/>
      </w:r>
      <w:r w:rsidRPr="00BA6800">
        <w:rPr>
          <w:rFonts w:ascii="Arial" w:hAnsi="Arial" w:cs="Arial"/>
          <w:sz w:val="18"/>
          <w:szCs w:val="18"/>
        </w:rPr>
        <w:t xml:space="preserve"> </w:t>
      </w:r>
      <w:r w:rsidR="004C4BC0" w:rsidRPr="00BA6800">
        <w:rPr>
          <w:rFonts w:ascii="Arial" w:hAnsi="Arial" w:cs="Arial"/>
          <w:sz w:val="18"/>
          <w:szCs w:val="18"/>
          <w:lang w:val="en-US"/>
        </w:rPr>
        <w:t xml:space="preserve">Australian Gambling </w:t>
      </w:r>
      <w:r w:rsidR="00E46A2D" w:rsidRPr="00BA6800">
        <w:rPr>
          <w:rFonts w:ascii="Arial" w:hAnsi="Arial" w:cs="Arial"/>
          <w:sz w:val="18"/>
          <w:szCs w:val="18"/>
          <w:lang w:val="en-US"/>
        </w:rPr>
        <w:t>Statistics</w:t>
      </w:r>
      <w:r w:rsidR="004C4BC0" w:rsidRPr="00BA6800">
        <w:rPr>
          <w:rFonts w:ascii="Arial" w:hAnsi="Arial" w:cs="Arial"/>
          <w:sz w:val="18"/>
          <w:szCs w:val="18"/>
          <w:lang w:val="en-US"/>
        </w:rPr>
        <w:t xml:space="preserve"> </w:t>
      </w:r>
      <w:r w:rsidR="00E46A2D" w:rsidRPr="00BA6800">
        <w:rPr>
          <w:rFonts w:ascii="Arial" w:hAnsi="Arial" w:cs="Arial"/>
          <w:sz w:val="18"/>
          <w:szCs w:val="18"/>
          <w:lang w:val="en-US"/>
        </w:rPr>
        <w:t>40</w:t>
      </w:r>
      <w:r w:rsidR="00E46A2D" w:rsidRPr="00BA6800">
        <w:rPr>
          <w:rFonts w:ascii="Arial" w:hAnsi="Arial" w:cs="Arial"/>
          <w:sz w:val="18"/>
          <w:szCs w:val="18"/>
          <w:vertAlign w:val="superscript"/>
          <w:lang w:val="en-US"/>
        </w:rPr>
        <w:t>th</w:t>
      </w:r>
      <w:r w:rsidR="00E46A2D" w:rsidRPr="00BA6800">
        <w:rPr>
          <w:rFonts w:ascii="Arial" w:hAnsi="Arial" w:cs="Arial"/>
          <w:sz w:val="18"/>
          <w:szCs w:val="18"/>
          <w:lang w:val="en-US"/>
        </w:rPr>
        <w:t xml:space="preserve"> Edition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2"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8931"/>
      <w:gridCol w:w="1843"/>
    </w:tblGrid>
    <w:tr w:rsidR="00FE572A" w:rsidRPr="007A7659" w14:paraId="5F2F491D" w14:textId="77777777" w:rsidTr="008C2F49">
      <w:tc>
        <w:tcPr>
          <w:tcW w:w="8931" w:type="dxa"/>
          <w:tcBorders>
            <w:top w:val="nil"/>
            <w:left w:val="nil"/>
            <w:bottom w:val="nil"/>
            <w:right w:val="nil"/>
          </w:tcBorders>
        </w:tcPr>
        <w:p w14:paraId="3E3CAA76" w14:textId="77777777" w:rsidR="00FE572A" w:rsidRPr="00E25368" w:rsidRDefault="00FE572A" w:rsidP="00FE572A">
          <w:pPr>
            <w:rPr>
              <w:rFonts w:cs="Arial"/>
              <w:color w:val="FFFFFF" w:themeColor="background1"/>
              <w:sz w:val="10"/>
              <w:szCs w:val="10"/>
            </w:rPr>
          </w:pPr>
        </w:p>
        <w:p w14:paraId="386456D8" w14:textId="77777777" w:rsidR="00FE572A" w:rsidRPr="000E28CC" w:rsidRDefault="00FE572A" w:rsidP="00FE572A">
          <w:pPr>
            <w:rPr>
              <w:rStyle w:val="Style4Char"/>
              <w:b/>
              <w:i w:val="0"/>
              <w:color w:val="FFFFFF" w:themeColor="background1"/>
              <w:u w:val="none"/>
              <w:lang w:val="en-US"/>
            </w:rPr>
          </w:pPr>
          <w:r w:rsidRPr="000E28CC">
            <w:rPr>
              <w:rFonts w:cs="Arial"/>
              <w:color w:val="FFFFFF" w:themeColor="background1"/>
              <w:sz w:val="16"/>
              <w:szCs w:val="16"/>
            </w:rPr>
            <w:t>All printed copies of this p</w:t>
          </w:r>
          <w:r w:rsidR="008C2F49">
            <w:rPr>
              <w:rFonts w:cs="Arial"/>
              <w:color w:val="FFFFFF" w:themeColor="background1"/>
              <w:sz w:val="16"/>
              <w:szCs w:val="16"/>
            </w:rPr>
            <w:t>olicy</w:t>
          </w:r>
          <w:r w:rsidRPr="000E28CC">
            <w:rPr>
              <w:rFonts w:cs="Arial"/>
              <w:color w:val="FFFFFF" w:themeColor="background1"/>
              <w:sz w:val="16"/>
              <w:szCs w:val="16"/>
            </w:rPr>
            <w:t xml:space="preserve"> are uncontrolled. Please check </w:t>
          </w:r>
          <w:r w:rsidR="008C2F49">
            <w:rPr>
              <w:rFonts w:cs="Arial"/>
              <w:color w:val="FFFFFF" w:themeColor="background1"/>
              <w:sz w:val="16"/>
              <w:szCs w:val="16"/>
            </w:rPr>
            <w:t>Council’s website</w:t>
          </w:r>
          <w:r w:rsidRPr="000E28CC">
            <w:rPr>
              <w:rFonts w:cs="Arial"/>
              <w:color w:val="FFFFFF" w:themeColor="background1"/>
              <w:sz w:val="16"/>
              <w:szCs w:val="16"/>
            </w:rPr>
            <w:t xml:space="preserve"> for the most recent version of this policy.</w:t>
          </w:r>
        </w:p>
      </w:tc>
      <w:tc>
        <w:tcPr>
          <w:tcW w:w="1843" w:type="dxa"/>
          <w:tcBorders>
            <w:left w:val="nil"/>
            <w:bottom w:val="nil"/>
            <w:right w:val="nil"/>
          </w:tcBorders>
        </w:tcPr>
        <w:sdt>
          <w:sdtPr>
            <w:id w:val="1849592111"/>
            <w:docPartObj>
              <w:docPartGallery w:val="Page Numbers (Top of Page)"/>
              <w:docPartUnique/>
            </w:docPartObj>
          </w:sdtPr>
          <w:sdtEndPr>
            <w:rPr>
              <w:color w:val="FFFFFF" w:themeColor="background1"/>
              <w:sz w:val="16"/>
              <w:szCs w:val="16"/>
            </w:rPr>
          </w:sdtEndPr>
          <w:sdtContent>
            <w:p w14:paraId="7C647E79" w14:textId="77777777" w:rsidR="00FE572A" w:rsidRPr="00E25368" w:rsidRDefault="00FE572A" w:rsidP="00FE572A">
              <w:pPr>
                <w:jc w:val="right"/>
                <w:rPr>
                  <w:sz w:val="10"/>
                  <w:szCs w:val="10"/>
                </w:rPr>
              </w:pPr>
            </w:p>
            <w:p w14:paraId="3654D847" w14:textId="77777777" w:rsidR="00FE572A" w:rsidRPr="00E25368" w:rsidRDefault="00FE572A" w:rsidP="00FE572A">
              <w:pPr>
                <w:pStyle w:val="NoSpacing"/>
                <w:jc w:val="right"/>
                <w:rPr>
                  <w:color w:val="FFFFFF" w:themeColor="background1"/>
                  <w:sz w:val="16"/>
                  <w:szCs w:val="16"/>
                </w:rPr>
              </w:pPr>
              <w:r w:rsidRPr="00E25368">
                <w:rPr>
                  <w:color w:val="FFFFFF" w:themeColor="background1"/>
                  <w:sz w:val="16"/>
                  <w:szCs w:val="16"/>
                </w:rPr>
                <w:t xml:space="preserve">Page </w:t>
              </w:r>
              <w:r w:rsidRPr="00E25368">
                <w:rPr>
                  <w:color w:val="FFFFFF" w:themeColor="background1"/>
                  <w:sz w:val="16"/>
                  <w:szCs w:val="16"/>
                </w:rPr>
                <w:fldChar w:fldCharType="begin"/>
              </w:r>
              <w:r w:rsidRPr="00E25368">
                <w:rPr>
                  <w:color w:val="FFFFFF" w:themeColor="background1"/>
                  <w:sz w:val="16"/>
                  <w:szCs w:val="16"/>
                </w:rPr>
                <w:instrText xml:space="preserve"> PAGE </w:instrText>
              </w:r>
              <w:r w:rsidRPr="00E25368">
                <w:rPr>
                  <w:color w:val="FFFFFF" w:themeColor="background1"/>
                  <w:sz w:val="16"/>
                  <w:szCs w:val="16"/>
                </w:rPr>
                <w:fldChar w:fldCharType="separate"/>
              </w:r>
              <w:r w:rsidR="008C2F49">
                <w:rPr>
                  <w:noProof/>
                  <w:color w:val="FFFFFF" w:themeColor="background1"/>
                  <w:sz w:val="16"/>
                  <w:szCs w:val="16"/>
                </w:rPr>
                <w:t>2</w:t>
              </w:r>
              <w:r w:rsidRPr="00E25368">
                <w:rPr>
                  <w:color w:val="FFFFFF" w:themeColor="background1"/>
                  <w:sz w:val="16"/>
                  <w:szCs w:val="16"/>
                </w:rPr>
                <w:fldChar w:fldCharType="end"/>
              </w:r>
              <w:r w:rsidRPr="00E25368">
                <w:rPr>
                  <w:color w:val="FFFFFF" w:themeColor="background1"/>
                  <w:sz w:val="16"/>
                  <w:szCs w:val="16"/>
                </w:rPr>
                <w:t xml:space="preserve"> of </w:t>
              </w:r>
              <w:r w:rsidRPr="00E25368">
                <w:rPr>
                  <w:color w:val="FFFFFF" w:themeColor="background1"/>
                  <w:sz w:val="16"/>
                  <w:szCs w:val="16"/>
                </w:rPr>
                <w:fldChar w:fldCharType="begin"/>
              </w:r>
              <w:r w:rsidRPr="00E25368">
                <w:rPr>
                  <w:color w:val="FFFFFF" w:themeColor="background1"/>
                  <w:sz w:val="16"/>
                  <w:szCs w:val="16"/>
                </w:rPr>
                <w:instrText xml:space="preserve"> NUMPAGES  </w:instrText>
              </w:r>
              <w:r w:rsidRPr="00E25368">
                <w:rPr>
                  <w:color w:val="FFFFFF" w:themeColor="background1"/>
                  <w:sz w:val="16"/>
                  <w:szCs w:val="16"/>
                </w:rPr>
                <w:fldChar w:fldCharType="separate"/>
              </w:r>
              <w:r w:rsidR="008C2F49">
                <w:rPr>
                  <w:noProof/>
                  <w:color w:val="FFFFFF" w:themeColor="background1"/>
                  <w:sz w:val="16"/>
                  <w:szCs w:val="16"/>
                </w:rPr>
                <w:t>2</w:t>
              </w:r>
              <w:r w:rsidRPr="00E25368">
                <w:rPr>
                  <w:color w:val="FFFFFF" w:themeColor="background1"/>
                  <w:sz w:val="16"/>
                  <w:szCs w:val="16"/>
                </w:rPr>
                <w:fldChar w:fldCharType="end"/>
              </w:r>
            </w:p>
          </w:sdtContent>
        </w:sdt>
        <w:p w14:paraId="6FF9DA0E" w14:textId="77777777" w:rsidR="00FE572A" w:rsidRPr="00E25368" w:rsidRDefault="00FE572A" w:rsidP="00FE572A">
          <w:pPr>
            <w:jc w:val="right"/>
            <w:rPr>
              <w:rStyle w:val="Style4Char"/>
              <w:i w:val="0"/>
              <w:color w:val="FFFFFF" w:themeColor="background1"/>
              <w:sz w:val="16"/>
              <w:szCs w:val="16"/>
              <w:u w:val="none"/>
              <w:lang w:val="en-US"/>
            </w:rPr>
          </w:pPr>
          <w:r w:rsidRPr="00E25368">
            <w:rPr>
              <w:rStyle w:val="Style4Char"/>
              <w:i w:val="0"/>
              <w:color w:val="FFFFFF" w:themeColor="background1"/>
              <w:sz w:val="16"/>
              <w:szCs w:val="16"/>
              <w:u w:val="none"/>
              <w:lang w:val="en-US"/>
            </w:rPr>
            <w:t xml:space="preserve"> </w:t>
          </w:r>
        </w:p>
      </w:tc>
    </w:tr>
  </w:tbl>
  <w:p w14:paraId="3414CB75" w14:textId="77777777" w:rsidR="00231237" w:rsidRDefault="00231237">
    <w:pPr>
      <w:pStyle w:val="Footer"/>
    </w:pPr>
    <w:r>
      <w:rPr>
        <w:noProof/>
        <w:lang w:eastAsia="en-AU"/>
      </w:rPr>
      <w:drawing>
        <wp:anchor distT="0" distB="0" distL="114300" distR="114300" simplePos="0" relativeHeight="251656192" behindDoc="1" locked="0" layoutInCell="1" allowOverlap="1" wp14:anchorId="25FBC2EB" wp14:editId="46716825">
          <wp:simplePos x="0" y="0"/>
          <wp:positionH relativeFrom="column">
            <wp:posOffset>-195580</wp:posOffset>
          </wp:positionH>
          <wp:positionV relativeFrom="paragraph">
            <wp:posOffset>-323660</wp:posOffset>
          </wp:positionV>
          <wp:extent cx="7060565" cy="307288"/>
          <wp:effectExtent l="0" t="0" r="0" b="0"/>
          <wp:wrapNone/>
          <wp:docPr id="715995873" name="Picture 715995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060565" cy="30728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43CF" w14:textId="77777777" w:rsidR="000E28CC" w:rsidRDefault="000E28CC" w:rsidP="008C2F49">
    <w:pPr>
      <w:tabs>
        <w:tab w:val="left" w:pos="2025"/>
      </w:tabs>
      <w:rPr>
        <w:b/>
      </w:rPr>
    </w:pPr>
    <w:r>
      <w:rPr>
        <w:noProof/>
        <w:lang w:eastAsia="en-AU"/>
      </w:rPr>
      <w:drawing>
        <wp:anchor distT="0" distB="0" distL="114300" distR="114300" simplePos="0" relativeHeight="251658240" behindDoc="1" locked="0" layoutInCell="1" allowOverlap="1" wp14:anchorId="70772DC8" wp14:editId="2724383C">
          <wp:simplePos x="0" y="0"/>
          <wp:positionH relativeFrom="margin">
            <wp:posOffset>-255270</wp:posOffset>
          </wp:positionH>
          <wp:positionV relativeFrom="paragraph">
            <wp:posOffset>188595</wp:posOffset>
          </wp:positionV>
          <wp:extent cx="7168224" cy="1734878"/>
          <wp:effectExtent l="0" t="0" r="0" b="0"/>
          <wp:wrapNone/>
          <wp:docPr id="1121169838" name="Picture 112116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168224" cy="1734878"/>
                  </a:xfrm>
                  <a:prstGeom prst="rect">
                    <a:avLst/>
                  </a:prstGeom>
                  <a:noFill/>
                  <a:ln>
                    <a:noFill/>
                  </a:ln>
                </pic:spPr>
              </pic:pic>
            </a:graphicData>
          </a:graphic>
          <wp14:sizeRelH relativeFrom="page">
            <wp14:pctWidth>0</wp14:pctWidth>
          </wp14:sizeRelH>
          <wp14:sizeRelV relativeFrom="page">
            <wp14:pctHeight>0</wp14:pctHeight>
          </wp14:sizeRelV>
        </wp:anchor>
      </w:drawing>
    </w:r>
    <w:r w:rsidR="008C2F49">
      <w:rPr>
        <w:b/>
      </w:rPr>
      <w:tab/>
    </w:r>
  </w:p>
  <w:p w14:paraId="35701A04" w14:textId="77777777" w:rsidR="000E28CC" w:rsidRPr="000E28CC" w:rsidRDefault="000E28CC" w:rsidP="000E28CC">
    <w:pPr>
      <w:ind w:left="-142"/>
      <w:rPr>
        <w:b/>
        <w:color w:val="FFFFFF" w:themeColor="background1"/>
      </w:rPr>
    </w:pPr>
    <w:r w:rsidRPr="000E28CC">
      <w:rPr>
        <w:b/>
        <w:color w:val="FFFFFF" w:themeColor="background1"/>
      </w:rPr>
      <w:t>Policy Control Schedule</w:t>
    </w:r>
  </w:p>
  <w:tbl>
    <w:tblPr>
      <w:tblStyle w:val="TableGrid"/>
      <w:tblW w:w="10915" w:type="dxa"/>
      <w:tblInd w:w="-14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685"/>
      <w:gridCol w:w="2668"/>
      <w:gridCol w:w="4003"/>
      <w:gridCol w:w="1559"/>
    </w:tblGrid>
    <w:tr w:rsidR="008C2F49" w:rsidRPr="007A7659" w14:paraId="3D539541" w14:textId="77777777" w:rsidTr="008C2F49">
      <w:tc>
        <w:tcPr>
          <w:tcW w:w="9356" w:type="dxa"/>
          <w:gridSpan w:val="3"/>
        </w:tcPr>
        <w:p w14:paraId="28A2DFAD" w14:textId="77777777" w:rsidR="008C2F49" w:rsidRPr="00C14AD0" w:rsidRDefault="008C2F49" w:rsidP="000E28CC">
          <w:pPr>
            <w:ind w:right="317"/>
            <w:rPr>
              <w:rStyle w:val="Style4Char"/>
              <w:b/>
              <w:i w:val="0"/>
              <w:color w:val="FFFFFF" w:themeColor="background1"/>
              <w:u w:val="none"/>
              <w:lang w:val="en-US"/>
            </w:rPr>
          </w:pPr>
          <w:r w:rsidRPr="00C14AD0">
            <w:rPr>
              <w:rStyle w:val="Style4Char"/>
              <w:b/>
              <w:i w:val="0"/>
              <w:color w:val="FFFFFF" w:themeColor="background1"/>
              <w:u w:val="none"/>
              <w:lang w:val="en-US"/>
            </w:rPr>
            <w:t>Policy Title:</w:t>
          </w:r>
        </w:p>
        <w:p w14:paraId="0B6BA99F" w14:textId="702DBDC1" w:rsidR="008C2F49" w:rsidRPr="00C14AD0" w:rsidRDefault="00C14AD0" w:rsidP="000E28CC">
          <w:pPr>
            <w:rPr>
              <w:rStyle w:val="Style4Char"/>
              <w:i w:val="0"/>
              <w:color w:val="FFFFFF" w:themeColor="background1"/>
              <w:u w:val="none"/>
              <w:lang w:val="en-US"/>
            </w:rPr>
          </w:pPr>
          <w:r w:rsidRPr="00C14AD0">
            <w:rPr>
              <w:rStyle w:val="Style4Char"/>
              <w:i w:val="0"/>
              <w:color w:val="FFFFFF" w:themeColor="background1"/>
              <w:u w:val="none"/>
              <w:lang w:val="en-US"/>
            </w:rPr>
            <w:t>Ma</w:t>
          </w:r>
          <w:r w:rsidRPr="00C14AD0">
            <w:rPr>
              <w:rStyle w:val="Style4Char"/>
              <w:i w:val="0"/>
              <w:color w:val="FFFFFF" w:themeColor="background1"/>
              <w:lang w:val="en-US"/>
            </w:rPr>
            <w:t xml:space="preserve">roondah Gambling Harm Prevention and </w:t>
          </w:r>
          <w:proofErr w:type="spellStart"/>
          <w:r w:rsidRPr="00C14AD0">
            <w:rPr>
              <w:rStyle w:val="Style4Char"/>
              <w:i w:val="0"/>
              <w:color w:val="FFFFFF" w:themeColor="background1"/>
              <w:lang w:val="en-US"/>
            </w:rPr>
            <w:t>Minimisation</w:t>
          </w:r>
          <w:proofErr w:type="spellEnd"/>
          <w:r w:rsidRPr="00C14AD0">
            <w:rPr>
              <w:rStyle w:val="Style4Char"/>
              <w:i w:val="0"/>
              <w:color w:val="FFFFFF" w:themeColor="background1"/>
              <w:lang w:val="en-US"/>
            </w:rPr>
            <w:t xml:space="preserve"> Policy 2026</w:t>
          </w:r>
          <w:r w:rsidR="008C2F49" w:rsidRPr="00C14AD0">
            <w:rPr>
              <w:rStyle w:val="Style4Char"/>
              <w:i w:val="0"/>
              <w:color w:val="FFFFFF" w:themeColor="background1"/>
              <w:u w:val="none"/>
              <w:lang w:val="en-US"/>
            </w:rPr>
            <w:t xml:space="preserve"> </w:t>
          </w:r>
        </w:p>
      </w:tc>
      <w:tc>
        <w:tcPr>
          <w:tcW w:w="1559" w:type="dxa"/>
        </w:tcPr>
        <w:p w14:paraId="3C56EDF6"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Policy type:</w:t>
          </w:r>
        </w:p>
        <w:p w14:paraId="6DF3CEDB" w14:textId="77777777" w:rsidR="008C2F49" w:rsidRPr="000E28CC" w:rsidRDefault="008C2F49" w:rsidP="000E28CC">
          <w:pPr>
            <w:rPr>
              <w:rStyle w:val="Style4Char"/>
              <w:i w:val="0"/>
              <w:color w:val="FFFFFF" w:themeColor="background1"/>
              <w:u w:val="none"/>
              <w:lang w:val="en-US"/>
            </w:rPr>
          </w:pPr>
          <w:r w:rsidRPr="000E28CC">
            <w:rPr>
              <w:rStyle w:val="Style4Char"/>
              <w:i w:val="0"/>
              <w:color w:val="FFFFFF" w:themeColor="background1"/>
              <w:u w:val="none"/>
              <w:lang w:val="en-US"/>
            </w:rPr>
            <w:t>&lt;&lt; Insert text &gt;&gt;</w:t>
          </w:r>
        </w:p>
      </w:tc>
    </w:tr>
    <w:tr w:rsidR="008C2F49" w:rsidRPr="007A7659" w14:paraId="62F24565" w14:textId="77777777" w:rsidTr="008C2F49">
      <w:tc>
        <w:tcPr>
          <w:tcW w:w="5353" w:type="dxa"/>
          <w:gridSpan w:val="2"/>
        </w:tcPr>
        <w:p w14:paraId="4A91B574" w14:textId="77777777" w:rsidR="008C2F49" w:rsidRDefault="008C2F49" w:rsidP="000E28CC">
          <w:pPr>
            <w:tabs>
              <w:tab w:val="center" w:pos="2877"/>
            </w:tabs>
            <w:rPr>
              <w:rStyle w:val="Style4Char"/>
              <w:i w:val="0"/>
              <w:color w:val="FFFFFF" w:themeColor="background1"/>
              <w:u w:val="none"/>
              <w:lang w:val="en-US"/>
            </w:rPr>
          </w:pPr>
          <w:r w:rsidRPr="000E28CC">
            <w:rPr>
              <w:rStyle w:val="Style4Char"/>
              <w:b/>
              <w:i w:val="0"/>
              <w:color w:val="FFFFFF" w:themeColor="background1"/>
              <w:u w:val="none"/>
              <w:lang w:val="en-US"/>
            </w:rPr>
            <w:t>Current version approved:</w:t>
          </w:r>
          <w:r w:rsidRPr="000E28CC">
            <w:rPr>
              <w:rStyle w:val="Style4Char"/>
              <w:i w:val="0"/>
              <w:color w:val="FFFFFF" w:themeColor="background1"/>
              <w:u w:val="none"/>
              <w:lang w:val="en-US"/>
            </w:rPr>
            <w:t xml:space="preserve">  </w:t>
          </w:r>
        </w:p>
        <w:p w14:paraId="52EB10FC" w14:textId="77777777" w:rsidR="008C2F49" w:rsidRPr="000E28CC" w:rsidRDefault="008C2F49" w:rsidP="000E28CC">
          <w:pPr>
            <w:tabs>
              <w:tab w:val="center" w:pos="2877"/>
            </w:tabs>
            <w:rPr>
              <w:rStyle w:val="Style4Char"/>
              <w:i w:val="0"/>
              <w:color w:val="FFFFFF" w:themeColor="background1"/>
              <w:u w:val="none"/>
              <w:lang w:val="en-US"/>
            </w:rPr>
          </w:pPr>
          <w:r w:rsidRPr="000E28CC">
            <w:rPr>
              <w:rStyle w:val="Style4Char"/>
              <w:i w:val="0"/>
              <w:color w:val="FFFFFF" w:themeColor="background1"/>
              <w:u w:val="none"/>
              <w:lang w:val="en-US"/>
            </w:rPr>
            <w:t>&lt;&lt; Insert text &gt;&gt;</w:t>
          </w:r>
        </w:p>
      </w:tc>
      <w:tc>
        <w:tcPr>
          <w:tcW w:w="4003" w:type="dxa"/>
        </w:tcPr>
        <w:p w14:paraId="1EF77854" w14:textId="77777777" w:rsidR="008C2F49" w:rsidRPr="000E28CC" w:rsidRDefault="008C2F49" w:rsidP="000E28CC">
          <w:pPr>
            <w:rPr>
              <w:rStyle w:val="Style4Char"/>
              <w:i w:val="0"/>
              <w:color w:val="FFFFFF" w:themeColor="background1"/>
              <w:u w:val="none"/>
              <w:lang w:val="en-US"/>
            </w:rPr>
          </w:pPr>
          <w:r w:rsidRPr="000E28CC">
            <w:rPr>
              <w:rStyle w:val="Style4Char"/>
              <w:b/>
              <w:i w:val="0"/>
              <w:color w:val="FFFFFF" w:themeColor="background1"/>
              <w:u w:val="none"/>
              <w:lang w:val="en-US"/>
            </w:rPr>
            <w:t>Current version number:</w:t>
          </w:r>
          <w:r w:rsidRPr="000E28CC">
            <w:rPr>
              <w:rStyle w:val="Style4Char"/>
              <w:i w:val="0"/>
              <w:color w:val="FFFFFF" w:themeColor="background1"/>
              <w:u w:val="none"/>
              <w:lang w:val="en-US"/>
            </w:rPr>
            <w:t xml:space="preserve">  </w:t>
          </w:r>
        </w:p>
        <w:p w14:paraId="16CFEDC2" w14:textId="77777777" w:rsidR="008C2F49" w:rsidRPr="000E28CC" w:rsidRDefault="008C2F49" w:rsidP="000E28CC">
          <w:pPr>
            <w:rPr>
              <w:rStyle w:val="Style4Char"/>
              <w:i w:val="0"/>
              <w:color w:val="FFFFFF" w:themeColor="background1"/>
              <w:u w:val="none"/>
              <w:lang w:val="en-US"/>
            </w:rPr>
          </w:pPr>
          <w:r w:rsidRPr="000E28CC">
            <w:rPr>
              <w:rStyle w:val="Style4Char"/>
              <w:i w:val="0"/>
              <w:color w:val="FFFFFF" w:themeColor="background1"/>
              <w:u w:val="none"/>
              <w:lang w:val="en-US"/>
            </w:rPr>
            <w:t>&lt;&lt; Insert text &gt;&gt;</w:t>
          </w:r>
        </w:p>
      </w:tc>
      <w:tc>
        <w:tcPr>
          <w:tcW w:w="1559" w:type="dxa"/>
        </w:tcPr>
        <w:p w14:paraId="41E0EAA4"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Policy review date:</w:t>
          </w:r>
        </w:p>
        <w:p w14:paraId="6C967423" w14:textId="77777777" w:rsidR="008C2F49" w:rsidRPr="000E28CC" w:rsidRDefault="008C2F49" w:rsidP="000E28CC">
          <w:pPr>
            <w:rPr>
              <w:rStyle w:val="Style4Char"/>
              <w:i w:val="0"/>
              <w:color w:val="FFFFFF" w:themeColor="background1"/>
              <w:u w:val="none"/>
              <w:lang w:val="en-US"/>
            </w:rPr>
          </w:pPr>
          <w:r w:rsidRPr="000E28CC">
            <w:rPr>
              <w:rStyle w:val="Style4Char"/>
              <w:i w:val="0"/>
              <w:color w:val="FFFFFF" w:themeColor="background1"/>
              <w:u w:val="none"/>
              <w:lang w:val="en-US"/>
            </w:rPr>
            <w:t>&lt;&lt; Insert text &gt;&gt;</w:t>
          </w:r>
        </w:p>
      </w:tc>
    </w:tr>
    <w:tr w:rsidR="008C2F49" w:rsidRPr="007A7659" w14:paraId="51CD6C22" w14:textId="77777777" w:rsidTr="008C2F49">
      <w:tc>
        <w:tcPr>
          <w:tcW w:w="2685" w:type="dxa"/>
          <w:tcBorders>
            <w:bottom w:val="single" w:sz="4" w:space="0" w:color="E7E6E6" w:themeColor="background2"/>
          </w:tcBorders>
        </w:tcPr>
        <w:p w14:paraId="035D1614"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Parent policy:</w:t>
          </w:r>
        </w:p>
        <w:p w14:paraId="25249D56" w14:textId="77777777" w:rsidR="008C2F49" w:rsidRPr="000E28CC" w:rsidRDefault="008C2F49" w:rsidP="000E28CC">
          <w:pPr>
            <w:rPr>
              <w:rStyle w:val="Style4Char"/>
              <w:i w:val="0"/>
              <w:color w:val="FFFFFF" w:themeColor="background1"/>
              <w:u w:val="none"/>
              <w:lang w:val="en-US"/>
            </w:rPr>
          </w:pPr>
          <w:r w:rsidRPr="000E28CC">
            <w:rPr>
              <w:rStyle w:val="Style4Char"/>
              <w:i w:val="0"/>
              <w:color w:val="FFFFFF" w:themeColor="background1"/>
              <w:u w:val="none"/>
              <w:lang w:val="en-US"/>
            </w:rPr>
            <w:t>&lt;&lt; Insert text &gt;&gt;</w:t>
          </w:r>
        </w:p>
      </w:tc>
      <w:tc>
        <w:tcPr>
          <w:tcW w:w="2668" w:type="dxa"/>
          <w:tcBorders>
            <w:bottom w:val="single" w:sz="4" w:space="0" w:color="E7E6E6" w:themeColor="background2"/>
          </w:tcBorders>
        </w:tcPr>
        <w:p w14:paraId="08B4BC32"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Child policy/policies:</w:t>
          </w:r>
        </w:p>
        <w:p w14:paraId="18A47660" w14:textId="77777777" w:rsidR="008C2F49" w:rsidRPr="000E28CC" w:rsidRDefault="008C2F49" w:rsidP="000E28CC">
          <w:pPr>
            <w:rPr>
              <w:rStyle w:val="Style4Char"/>
              <w:i w:val="0"/>
              <w:color w:val="FFFFFF" w:themeColor="background1"/>
              <w:u w:val="none"/>
              <w:lang w:val="en-US"/>
            </w:rPr>
          </w:pPr>
          <w:r w:rsidRPr="000E28CC">
            <w:rPr>
              <w:rStyle w:val="Style4Char"/>
              <w:i w:val="0"/>
              <w:color w:val="FFFFFF" w:themeColor="background1"/>
              <w:u w:val="none"/>
              <w:lang w:val="en-US"/>
            </w:rPr>
            <w:t>&lt;&lt; Insert text &gt;&gt;</w:t>
          </w:r>
        </w:p>
      </w:tc>
      <w:tc>
        <w:tcPr>
          <w:tcW w:w="5562" w:type="dxa"/>
          <w:gridSpan w:val="2"/>
          <w:tcBorders>
            <w:bottom w:val="single" w:sz="4" w:space="0" w:color="E7E6E6" w:themeColor="background2"/>
          </w:tcBorders>
        </w:tcPr>
        <w:p w14:paraId="785DFACB" w14:textId="77777777" w:rsidR="008C2F49" w:rsidRPr="000E28CC" w:rsidRDefault="008C2F49" w:rsidP="000E28CC">
          <w:pPr>
            <w:rPr>
              <w:rStyle w:val="Style4Char"/>
              <w:b/>
              <w:i w:val="0"/>
              <w:color w:val="FFFFFF" w:themeColor="background1"/>
              <w:u w:val="none"/>
              <w:lang w:val="en-US"/>
            </w:rPr>
          </w:pPr>
          <w:r w:rsidRPr="000E28CC">
            <w:rPr>
              <w:rStyle w:val="Style4Char"/>
              <w:b/>
              <w:i w:val="0"/>
              <w:color w:val="FFFFFF" w:themeColor="background1"/>
              <w:u w:val="none"/>
              <w:lang w:val="en-US"/>
            </w:rPr>
            <w:t>Policy responsibility:</w:t>
          </w:r>
        </w:p>
        <w:p w14:paraId="486B273F" w14:textId="77777777" w:rsidR="008C2F49" w:rsidRPr="000E28CC" w:rsidRDefault="008C2F49" w:rsidP="000E28CC">
          <w:pPr>
            <w:rPr>
              <w:rStyle w:val="Style4Char"/>
              <w:b/>
              <w:i w:val="0"/>
              <w:color w:val="FFFFFF" w:themeColor="background1"/>
              <w:u w:val="none"/>
              <w:lang w:val="en-US"/>
            </w:rPr>
          </w:pPr>
          <w:r w:rsidRPr="000E28CC">
            <w:rPr>
              <w:rStyle w:val="Style4Char"/>
              <w:i w:val="0"/>
              <w:color w:val="FFFFFF" w:themeColor="background1"/>
              <w:u w:val="none"/>
              <w:lang w:val="en-US"/>
            </w:rPr>
            <w:t>&lt;&lt; Insert text &gt;&gt;</w:t>
          </w:r>
        </w:p>
      </w:tc>
    </w:tr>
    <w:tr w:rsidR="00E25368" w:rsidRPr="007A7659" w14:paraId="6FCC93A3" w14:textId="77777777" w:rsidTr="008C2F49">
      <w:tc>
        <w:tcPr>
          <w:tcW w:w="9356" w:type="dxa"/>
          <w:gridSpan w:val="3"/>
          <w:tcBorders>
            <w:left w:val="nil"/>
            <w:bottom w:val="nil"/>
            <w:right w:val="nil"/>
          </w:tcBorders>
        </w:tcPr>
        <w:p w14:paraId="50BA42CC" w14:textId="77777777" w:rsidR="00E25368" w:rsidRPr="00E25368" w:rsidRDefault="00E25368" w:rsidP="000E28CC">
          <w:pPr>
            <w:rPr>
              <w:rFonts w:cs="Arial"/>
              <w:color w:val="FFFFFF" w:themeColor="background1"/>
              <w:sz w:val="10"/>
              <w:szCs w:val="10"/>
            </w:rPr>
          </w:pPr>
        </w:p>
        <w:p w14:paraId="14A15BE9" w14:textId="77777777" w:rsidR="00E25368" w:rsidRPr="000E28CC" w:rsidRDefault="00E25368" w:rsidP="000E28CC">
          <w:pPr>
            <w:rPr>
              <w:rStyle w:val="Style4Char"/>
              <w:b/>
              <w:i w:val="0"/>
              <w:color w:val="FFFFFF" w:themeColor="background1"/>
              <w:u w:val="none"/>
              <w:lang w:val="en-US"/>
            </w:rPr>
          </w:pPr>
          <w:r w:rsidRPr="000E28CC">
            <w:rPr>
              <w:rFonts w:cs="Arial"/>
              <w:color w:val="FFFFFF" w:themeColor="background1"/>
              <w:sz w:val="16"/>
              <w:szCs w:val="16"/>
            </w:rPr>
            <w:t xml:space="preserve">All printed copies of this </w:t>
          </w:r>
          <w:r w:rsidR="008C2F49">
            <w:rPr>
              <w:rFonts w:cs="Arial"/>
              <w:color w:val="FFFFFF" w:themeColor="background1"/>
              <w:sz w:val="16"/>
              <w:szCs w:val="16"/>
            </w:rPr>
            <w:t>policy</w:t>
          </w:r>
          <w:r w:rsidRPr="000E28CC">
            <w:rPr>
              <w:rFonts w:cs="Arial"/>
              <w:color w:val="FFFFFF" w:themeColor="background1"/>
              <w:sz w:val="16"/>
              <w:szCs w:val="16"/>
            </w:rPr>
            <w:t xml:space="preserve"> are uncontrolled. Please check </w:t>
          </w:r>
          <w:r w:rsidR="008C2F49">
            <w:rPr>
              <w:rFonts w:cs="Arial"/>
              <w:color w:val="FFFFFF" w:themeColor="background1"/>
              <w:sz w:val="16"/>
              <w:szCs w:val="16"/>
            </w:rPr>
            <w:t>Council’s website</w:t>
          </w:r>
          <w:r w:rsidRPr="000E28CC">
            <w:rPr>
              <w:rFonts w:cs="Arial"/>
              <w:color w:val="FFFFFF" w:themeColor="background1"/>
              <w:sz w:val="16"/>
              <w:szCs w:val="16"/>
            </w:rPr>
            <w:t xml:space="preserve"> for the most recent version of this policy.</w:t>
          </w:r>
        </w:p>
      </w:tc>
      <w:tc>
        <w:tcPr>
          <w:tcW w:w="1559" w:type="dxa"/>
          <w:tcBorders>
            <w:left w:val="nil"/>
            <w:bottom w:val="nil"/>
            <w:right w:val="nil"/>
          </w:tcBorders>
        </w:tcPr>
        <w:sdt>
          <w:sdtPr>
            <w:id w:val="23835476"/>
            <w:docPartObj>
              <w:docPartGallery w:val="Page Numbers (Top of Page)"/>
              <w:docPartUnique/>
            </w:docPartObj>
          </w:sdtPr>
          <w:sdtEndPr>
            <w:rPr>
              <w:color w:val="FFFFFF" w:themeColor="background1"/>
              <w:sz w:val="16"/>
              <w:szCs w:val="16"/>
            </w:rPr>
          </w:sdtEndPr>
          <w:sdtContent>
            <w:p w14:paraId="0D4FBE48" w14:textId="77777777" w:rsidR="00E25368" w:rsidRPr="00E25368" w:rsidRDefault="00E25368" w:rsidP="00E25368">
              <w:pPr>
                <w:jc w:val="right"/>
                <w:rPr>
                  <w:sz w:val="10"/>
                  <w:szCs w:val="10"/>
                </w:rPr>
              </w:pPr>
            </w:p>
            <w:p w14:paraId="47439251" w14:textId="77777777" w:rsidR="00E25368" w:rsidRPr="00E25368" w:rsidRDefault="00E25368" w:rsidP="00E25368">
              <w:pPr>
                <w:pStyle w:val="NoSpacing"/>
                <w:jc w:val="right"/>
                <w:rPr>
                  <w:color w:val="FFFFFF" w:themeColor="background1"/>
                  <w:sz w:val="16"/>
                  <w:szCs w:val="16"/>
                </w:rPr>
              </w:pPr>
              <w:r w:rsidRPr="00E25368">
                <w:rPr>
                  <w:color w:val="FFFFFF" w:themeColor="background1"/>
                  <w:sz w:val="16"/>
                  <w:szCs w:val="16"/>
                </w:rPr>
                <w:t xml:space="preserve">Page </w:t>
              </w:r>
              <w:r w:rsidRPr="00E25368">
                <w:rPr>
                  <w:color w:val="FFFFFF" w:themeColor="background1"/>
                  <w:sz w:val="16"/>
                  <w:szCs w:val="16"/>
                </w:rPr>
                <w:fldChar w:fldCharType="begin"/>
              </w:r>
              <w:r w:rsidRPr="00E25368">
                <w:rPr>
                  <w:color w:val="FFFFFF" w:themeColor="background1"/>
                  <w:sz w:val="16"/>
                  <w:szCs w:val="16"/>
                </w:rPr>
                <w:instrText xml:space="preserve"> PAGE </w:instrText>
              </w:r>
              <w:r w:rsidRPr="00E25368">
                <w:rPr>
                  <w:color w:val="FFFFFF" w:themeColor="background1"/>
                  <w:sz w:val="16"/>
                  <w:szCs w:val="16"/>
                </w:rPr>
                <w:fldChar w:fldCharType="separate"/>
              </w:r>
              <w:r w:rsidR="008C2F49">
                <w:rPr>
                  <w:noProof/>
                  <w:color w:val="FFFFFF" w:themeColor="background1"/>
                  <w:sz w:val="16"/>
                  <w:szCs w:val="16"/>
                </w:rPr>
                <w:t>1</w:t>
              </w:r>
              <w:r w:rsidRPr="00E25368">
                <w:rPr>
                  <w:color w:val="FFFFFF" w:themeColor="background1"/>
                  <w:sz w:val="16"/>
                  <w:szCs w:val="16"/>
                </w:rPr>
                <w:fldChar w:fldCharType="end"/>
              </w:r>
              <w:r w:rsidRPr="00E25368">
                <w:rPr>
                  <w:color w:val="FFFFFF" w:themeColor="background1"/>
                  <w:sz w:val="16"/>
                  <w:szCs w:val="16"/>
                </w:rPr>
                <w:t xml:space="preserve"> of </w:t>
              </w:r>
              <w:r w:rsidRPr="00E25368">
                <w:rPr>
                  <w:color w:val="FFFFFF" w:themeColor="background1"/>
                  <w:sz w:val="16"/>
                  <w:szCs w:val="16"/>
                </w:rPr>
                <w:fldChar w:fldCharType="begin"/>
              </w:r>
              <w:r w:rsidRPr="00E25368">
                <w:rPr>
                  <w:color w:val="FFFFFF" w:themeColor="background1"/>
                  <w:sz w:val="16"/>
                  <w:szCs w:val="16"/>
                </w:rPr>
                <w:instrText xml:space="preserve"> NUMPAGES  </w:instrText>
              </w:r>
              <w:r w:rsidRPr="00E25368">
                <w:rPr>
                  <w:color w:val="FFFFFF" w:themeColor="background1"/>
                  <w:sz w:val="16"/>
                  <w:szCs w:val="16"/>
                </w:rPr>
                <w:fldChar w:fldCharType="separate"/>
              </w:r>
              <w:r w:rsidR="008C2F49">
                <w:rPr>
                  <w:noProof/>
                  <w:color w:val="FFFFFF" w:themeColor="background1"/>
                  <w:sz w:val="16"/>
                  <w:szCs w:val="16"/>
                </w:rPr>
                <w:t>2</w:t>
              </w:r>
              <w:r w:rsidRPr="00E25368">
                <w:rPr>
                  <w:color w:val="FFFFFF" w:themeColor="background1"/>
                  <w:sz w:val="16"/>
                  <w:szCs w:val="16"/>
                </w:rPr>
                <w:fldChar w:fldCharType="end"/>
              </w:r>
            </w:p>
          </w:sdtContent>
        </w:sdt>
        <w:p w14:paraId="0651162E" w14:textId="77777777" w:rsidR="00E25368" w:rsidRPr="00E25368" w:rsidRDefault="00E25368" w:rsidP="00E25368">
          <w:pPr>
            <w:jc w:val="right"/>
            <w:rPr>
              <w:rStyle w:val="Style4Char"/>
              <w:i w:val="0"/>
              <w:color w:val="FFFFFF" w:themeColor="background1"/>
              <w:sz w:val="16"/>
              <w:szCs w:val="16"/>
              <w:u w:val="none"/>
              <w:lang w:val="en-US"/>
            </w:rPr>
          </w:pPr>
          <w:r w:rsidRPr="00E25368">
            <w:rPr>
              <w:rStyle w:val="Style4Char"/>
              <w:i w:val="0"/>
              <w:color w:val="FFFFFF" w:themeColor="background1"/>
              <w:sz w:val="16"/>
              <w:szCs w:val="16"/>
              <w:u w:val="none"/>
              <w:lang w:val="en-US"/>
            </w:rPr>
            <w:t xml:space="preserve"> </w:t>
          </w:r>
        </w:p>
      </w:tc>
    </w:tr>
  </w:tbl>
  <w:p w14:paraId="1648C582" w14:textId="77777777" w:rsidR="000E28CC" w:rsidRPr="000E28CC" w:rsidRDefault="000E28CC" w:rsidP="00FE572A">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914B" w14:textId="77777777" w:rsidR="00F2618F" w:rsidRDefault="00F2618F" w:rsidP="00231237">
      <w:pPr>
        <w:spacing w:after="0" w:line="240" w:lineRule="auto"/>
      </w:pPr>
      <w:r>
        <w:separator/>
      </w:r>
    </w:p>
  </w:footnote>
  <w:footnote w:type="continuationSeparator" w:id="0">
    <w:p w14:paraId="3A4BCC2E" w14:textId="77777777" w:rsidR="00F2618F" w:rsidRDefault="00F2618F" w:rsidP="00231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6F4F" w14:textId="21480A85" w:rsidR="000E28CC" w:rsidRDefault="000E28CC">
    <w:pPr>
      <w:pStyle w:val="Header"/>
    </w:pPr>
    <w:r w:rsidRPr="000E28CC">
      <w:rPr>
        <w:noProof/>
        <w:lang w:eastAsia="en-AU"/>
      </w:rPr>
      <mc:AlternateContent>
        <mc:Choice Requires="wps">
          <w:drawing>
            <wp:anchor distT="45720" distB="45720" distL="114300" distR="114300" simplePos="0" relativeHeight="251658243" behindDoc="0" locked="0" layoutInCell="1" allowOverlap="1" wp14:anchorId="336BA157" wp14:editId="4319683D">
              <wp:simplePos x="0" y="0"/>
              <wp:positionH relativeFrom="margin">
                <wp:posOffset>-156474</wp:posOffset>
              </wp:positionH>
              <wp:positionV relativeFrom="paragraph">
                <wp:posOffset>-96520</wp:posOffset>
              </wp:positionV>
              <wp:extent cx="6642100" cy="361950"/>
              <wp:effectExtent l="0" t="0" r="0" b="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361950"/>
                      </a:xfrm>
                      <a:prstGeom prst="rect">
                        <a:avLst/>
                      </a:prstGeom>
                      <a:noFill/>
                      <a:ln w="9525">
                        <a:noFill/>
                        <a:miter lim="800000"/>
                        <a:headEnd/>
                        <a:tailEnd/>
                      </a:ln>
                    </wps:spPr>
                    <wps:txbx>
                      <w:txbxContent>
                        <w:p w14:paraId="338E22E6" w14:textId="74C54323" w:rsidR="000E28CC" w:rsidRPr="00221929" w:rsidRDefault="002521A9" w:rsidP="000E28CC">
                          <w:pPr>
                            <w:rPr>
                              <w:rFonts w:ascii="Arial" w:hAnsi="Arial" w:cs="Arial"/>
                              <w:b/>
                              <w:color w:val="FFFFFF" w:themeColor="background1"/>
                              <w:sz w:val="32"/>
                              <w:lang w:val="en-US"/>
                            </w:rPr>
                          </w:pPr>
                          <w:r w:rsidRPr="002521A9">
                            <w:rPr>
                              <w:rFonts w:ascii="Arial" w:hAnsi="Arial" w:cs="Arial"/>
                              <w:b/>
                              <w:color w:val="FFFFFF" w:themeColor="background1"/>
                              <w:sz w:val="24"/>
                              <w:szCs w:val="14"/>
                              <w:lang w:val="en-US"/>
                            </w:rPr>
                            <w:t xml:space="preserve">Maroondah Gambling Harm Prevention and </w:t>
                          </w:r>
                          <w:proofErr w:type="spellStart"/>
                          <w:r w:rsidRPr="002521A9">
                            <w:rPr>
                              <w:rFonts w:ascii="Arial" w:hAnsi="Arial" w:cs="Arial"/>
                              <w:b/>
                              <w:color w:val="FFFFFF" w:themeColor="background1"/>
                              <w:sz w:val="24"/>
                              <w:szCs w:val="14"/>
                              <w:lang w:val="en-US"/>
                            </w:rPr>
                            <w:t>Minimisation</w:t>
                          </w:r>
                          <w:proofErr w:type="spellEnd"/>
                          <w:r w:rsidRPr="002521A9">
                            <w:rPr>
                              <w:rFonts w:ascii="Arial" w:hAnsi="Arial" w:cs="Arial"/>
                              <w:b/>
                              <w:color w:val="FFFFFF" w:themeColor="background1"/>
                              <w:sz w:val="24"/>
                              <w:szCs w:val="14"/>
                              <w:lang w:val="en-US"/>
                            </w:rPr>
                            <w:t xml:space="preserve"> Policy 2026</w:t>
                          </w:r>
                          <w:r w:rsidR="00221929">
                            <w:rPr>
                              <w:rFonts w:ascii="Arial" w:hAnsi="Arial" w:cs="Arial"/>
                              <w:b/>
                              <w:color w:val="FFFFFF" w:themeColor="background1"/>
                              <w:sz w:val="32"/>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BA157" id="_x0000_t202" coordsize="21600,21600" o:spt="202" path="m,l,21600r21600,l21600,xe">
              <v:stroke joinstyle="miter"/>
              <v:path gradientshapeok="t" o:connecttype="rect"/>
            </v:shapetype>
            <v:shape id="Text Box 2" o:spid="_x0000_s1026" type="#_x0000_t202" style="position:absolute;margin-left:-12.3pt;margin-top:-7.6pt;width:523pt;height:2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" filled="f" stroked="f">
              <v:textbox>
                <w:txbxContent>
                  <w:p w14:paraId="338E22E6" w14:textId="74C54323" w:rsidR="000E28CC" w:rsidRPr="00221929" w:rsidRDefault="002521A9" w:rsidP="000E28CC">
                    <w:pPr>
                      <w:rPr>
                        <w:rFonts w:ascii="Arial" w:hAnsi="Arial" w:cs="Arial"/>
                        <w:b/>
                        <w:color w:val="FFFFFF" w:themeColor="background1"/>
                        <w:sz w:val="32"/>
                        <w:lang w:val="en-US"/>
                      </w:rPr>
                    </w:pPr>
                    <w:r w:rsidRPr="002521A9">
                      <w:rPr>
                        <w:rFonts w:ascii="Arial" w:hAnsi="Arial" w:cs="Arial"/>
                        <w:b/>
                        <w:color w:val="FFFFFF" w:themeColor="background1"/>
                        <w:sz w:val="24"/>
                        <w:szCs w:val="14"/>
                        <w:lang w:val="en-US"/>
                      </w:rPr>
                      <w:t xml:space="preserve">Maroondah Gambling Harm Prevention and </w:t>
                    </w:r>
                    <w:proofErr w:type="spellStart"/>
                    <w:r w:rsidRPr="002521A9">
                      <w:rPr>
                        <w:rFonts w:ascii="Arial" w:hAnsi="Arial" w:cs="Arial"/>
                        <w:b/>
                        <w:color w:val="FFFFFF" w:themeColor="background1"/>
                        <w:sz w:val="24"/>
                        <w:szCs w:val="14"/>
                        <w:lang w:val="en-US"/>
                      </w:rPr>
                      <w:t>Minimisation</w:t>
                    </w:r>
                    <w:proofErr w:type="spellEnd"/>
                    <w:r w:rsidRPr="002521A9">
                      <w:rPr>
                        <w:rFonts w:ascii="Arial" w:hAnsi="Arial" w:cs="Arial"/>
                        <w:b/>
                        <w:color w:val="FFFFFF" w:themeColor="background1"/>
                        <w:sz w:val="24"/>
                        <w:szCs w:val="14"/>
                        <w:lang w:val="en-US"/>
                      </w:rPr>
                      <w:t xml:space="preserve"> Policy 2026</w:t>
                    </w:r>
                    <w:r w:rsidR="00221929">
                      <w:rPr>
                        <w:rFonts w:ascii="Arial" w:hAnsi="Arial" w:cs="Arial"/>
                        <w:b/>
                        <w:color w:val="FFFFFF" w:themeColor="background1"/>
                        <w:sz w:val="32"/>
                        <w:lang w:val="en-US"/>
                      </w:rPr>
                      <w:t xml:space="preserve"> </w:t>
                    </w:r>
                  </w:p>
                </w:txbxContent>
              </v:textbox>
              <w10:wrap type="square" anchorx="margin"/>
            </v:shape>
          </w:pict>
        </mc:Fallback>
      </mc:AlternateContent>
    </w:r>
    <w:r w:rsidRPr="000E28CC">
      <w:rPr>
        <w:noProof/>
        <w:lang w:eastAsia="en-AU"/>
      </w:rPr>
      <w:drawing>
        <wp:anchor distT="0" distB="0" distL="114300" distR="114300" simplePos="0" relativeHeight="251658244" behindDoc="1" locked="0" layoutInCell="1" allowOverlap="1" wp14:anchorId="40C0B9A3" wp14:editId="3C9E7503">
          <wp:simplePos x="0" y="0"/>
          <wp:positionH relativeFrom="margin">
            <wp:posOffset>-258792</wp:posOffset>
          </wp:positionH>
          <wp:positionV relativeFrom="paragraph">
            <wp:posOffset>-225293</wp:posOffset>
          </wp:positionV>
          <wp:extent cx="7162800" cy="595222"/>
          <wp:effectExtent l="0" t="0" r="0" b="0"/>
          <wp:wrapNone/>
          <wp:docPr id="764375781" name="Picture 76437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71888"/>
                  <a:stretch/>
                </pic:blipFill>
                <pic:spPr bwMode="auto">
                  <a:xfrm>
                    <a:off x="0" y="0"/>
                    <a:ext cx="7162800" cy="595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41F3" w14:textId="25976151" w:rsidR="00231237" w:rsidRDefault="00012B98" w:rsidP="00231237">
    <w:pPr>
      <w:pStyle w:val="Header"/>
    </w:pPr>
    <w:r>
      <w:rPr>
        <w:noProof/>
        <w:lang w:eastAsia="en-AU"/>
      </w:rPr>
      <w:drawing>
        <wp:anchor distT="0" distB="0" distL="114300" distR="114300" simplePos="0" relativeHeight="251658242" behindDoc="1" locked="0" layoutInCell="1" allowOverlap="1" wp14:anchorId="292684C3" wp14:editId="36F23A6C">
          <wp:simplePos x="0" y="0"/>
          <wp:positionH relativeFrom="margin">
            <wp:posOffset>-114300</wp:posOffset>
          </wp:positionH>
          <wp:positionV relativeFrom="paragraph">
            <wp:posOffset>102871</wp:posOffset>
          </wp:positionV>
          <wp:extent cx="7163426" cy="1981200"/>
          <wp:effectExtent l="0" t="0" r="0" b="0"/>
          <wp:wrapNone/>
          <wp:docPr id="1130012644" name="Picture 113001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7882" cy="1982433"/>
                  </a:xfrm>
                  <a:prstGeom prst="rect">
                    <a:avLst/>
                  </a:prstGeom>
                  <a:noFill/>
                  <a:ln>
                    <a:noFill/>
                  </a:ln>
                </pic:spPr>
              </pic:pic>
            </a:graphicData>
          </a:graphic>
          <wp14:sizeRelH relativeFrom="page">
            <wp14:pctWidth>0</wp14:pctWidth>
          </wp14:sizeRelH>
          <wp14:sizeRelV relativeFrom="page">
            <wp14:pctHeight>0</wp14:pctHeight>
          </wp14:sizeRelV>
        </wp:anchor>
      </w:drawing>
    </w:r>
    <w:r w:rsidR="000E28CC">
      <w:rPr>
        <w:noProof/>
        <w:lang w:eastAsia="en-AU"/>
      </w:rPr>
      <mc:AlternateContent>
        <mc:Choice Requires="wps">
          <w:drawing>
            <wp:anchor distT="45720" distB="45720" distL="114300" distR="114300" simplePos="0" relativeHeight="251658241" behindDoc="0" locked="0" layoutInCell="1" allowOverlap="1" wp14:anchorId="07B524D1" wp14:editId="5C1248C1">
              <wp:simplePos x="0" y="0"/>
              <wp:positionH relativeFrom="margin">
                <wp:align>right</wp:align>
              </wp:positionH>
              <wp:positionV relativeFrom="paragraph">
                <wp:posOffset>283210</wp:posOffset>
              </wp:positionV>
              <wp:extent cx="6642100" cy="2019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2019300"/>
                      </a:xfrm>
                      <a:prstGeom prst="rect">
                        <a:avLst/>
                      </a:prstGeom>
                      <a:noFill/>
                      <a:ln w="9525">
                        <a:noFill/>
                        <a:miter lim="800000"/>
                        <a:headEnd/>
                        <a:tailEnd/>
                      </a:ln>
                    </wps:spPr>
                    <wps:txbx>
                      <w:txbxContent>
                        <w:p w14:paraId="487DF971" w14:textId="77777777" w:rsidR="000E28CC" w:rsidRDefault="000E28CC" w:rsidP="00231237">
                          <w:pPr>
                            <w:rPr>
                              <w:rFonts w:ascii="Arial" w:hAnsi="Arial" w:cs="Arial"/>
                              <w:b/>
                              <w:color w:val="FFFFFF" w:themeColor="background1"/>
                              <w:sz w:val="46"/>
                            </w:rPr>
                          </w:pPr>
                        </w:p>
                        <w:p w14:paraId="23D73F64" w14:textId="6FF59AFD" w:rsidR="00231237" w:rsidRDefault="00DC7A00" w:rsidP="00231237">
                          <w:pPr>
                            <w:rPr>
                              <w:rFonts w:ascii="Arial" w:hAnsi="Arial" w:cs="Arial"/>
                              <w:b/>
                              <w:color w:val="FFFFFF" w:themeColor="background1"/>
                              <w:sz w:val="46"/>
                            </w:rPr>
                          </w:pPr>
                          <w:r>
                            <w:rPr>
                              <w:rFonts w:ascii="Arial" w:hAnsi="Arial" w:cs="Arial"/>
                              <w:b/>
                              <w:color w:val="FFFFFF" w:themeColor="background1"/>
                              <w:sz w:val="46"/>
                            </w:rPr>
                            <w:t xml:space="preserve">Maroondah </w:t>
                          </w:r>
                          <w:r w:rsidR="00012B98">
                            <w:rPr>
                              <w:rFonts w:ascii="Arial" w:hAnsi="Arial" w:cs="Arial"/>
                              <w:b/>
                              <w:color w:val="FFFFFF" w:themeColor="background1"/>
                              <w:sz w:val="46"/>
                            </w:rPr>
                            <w:t>Gambling Harm Prevention and Minimisation Policy</w:t>
                          </w:r>
                          <w:r>
                            <w:rPr>
                              <w:rFonts w:ascii="Arial" w:hAnsi="Arial" w:cs="Arial"/>
                              <w:b/>
                              <w:color w:val="FFFFFF" w:themeColor="background1"/>
                              <w:sz w:val="46"/>
                            </w:rPr>
                            <w:t xml:space="preserve"> 2026</w:t>
                          </w:r>
                        </w:p>
                        <w:p w14:paraId="13A7A2EB" w14:textId="6D7219C6" w:rsidR="00231237" w:rsidRPr="00544B85" w:rsidRDefault="00231237" w:rsidP="00231237">
                          <w:pPr>
                            <w:pStyle w:val="NoSpacing"/>
                            <w:rPr>
                              <w:color w:val="FFFFFF" w:themeColor="background1"/>
                            </w:rPr>
                          </w:pPr>
                          <w:r w:rsidRPr="00544B85">
                            <w:rPr>
                              <w:b/>
                              <w:color w:val="FFFFFF" w:themeColor="background1"/>
                            </w:rPr>
                            <w:t>Date adopted:</w:t>
                          </w:r>
                          <w:r w:rsidRPr="00544B85">
                            <w:rPr>
                              <w:color w:val="FFFFFF" w:themeColor="background1"/>
                            </w:rPr>
                            <w:t xml:space="preserve"> </w:t>
                          </w:r>
                          <w:r w:rsidR="002B77CB">
                            <w:rPr>
                              <w:color w:val="FFFFFF" w:themeColor="background1"/>
                            </w:rPr>
                            <w:t>15 June 2026</w:t>
                          </w:r>
                          <w:r w:rsidR="00FE572A">
                            <w:rPr>
                              <w:color w:val="FFFFFF" w:themeColor="background1"/>
                            </w:rPr>
                            <w:t xml:space="preserve"> </w:t>
                          </w:r>
                        </w:p>
                        <w:p w14:paraId="2121BEB4" w14:textId="454041F5" w:rsidR="00231237" w:rsidRPr="00544B85" w:rsidRDefault="00231237" w:rsidP="00231237">
                          <w:pPr>
                            <w:pStyle w:val="NoSpacing"/>
                            <w:rPr>
                              <w:color w:val="FFFFFF" w:themeColor="background1"/>
                            </w:rPr>
                          </w:pPr>
                          <w:r w:rsidRPr="00544B85">
                            <w:rPr>
                              <w:b/>
                              <w:color w:val="FFFFFF" w:themeColor="background1"/>
                            </w:rPr>
                            <w:t>Responsible Service Area:</w:t>
                          </w:r>
                          <w:r w:rsidRPr="00544B85">
                            <w:rPr>
                              <w:color w:val="FFFFFF" w:themeColor="background1"/>
                            </w:rPr>
                            <w:t xml:space="preserve"> </w:t>
                          </w:r>
                          <w:r w:rsidR="00792517">
                            <w:rPr>
                              <w:color w:val="FFFFFF" w:themeColor="background1"/>
                            </w:rPr>
                            <w:t>City Futures</w:t>
                          </w:r>
                          <w:r w:rsidR="00FE572A">
                            <w:rPr>
                              <w:color w:val="FFFFFF" w:themeColor="background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524D1" id="_x0000_t202" coordsize="21600,21600" o:spt="202" path="m,l,21600r21600,l21600,xe">
              <v:stroke joinstyle="miter"/>
              <v:path gradientshapeok="t" o:connecttype="rect"/>
            </v:shapetype>
            <v:shape id="_x0000_s1027" type="#_x0000_t202" style="position:absolute;margin-left:471.8pt;margin-top:22.3pt;width:523pt;height:159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" filled="f" stroked="f">
              <v:textbox>
                <w:txbxContent>
                  <w:p w14:paraId="487DF971" w14:textId="77777777" w:rsidR="000E28CC" w:rsidRDefault="000E28CC" w:rsidP="00231237">
                    <w:pPr>
                      <w:rPr>
                        <w:rFonts w:ascii="Arial" w:hAnsi="Arial" w:cs="Arial"/>
                        <w:b/>
                        <w:color w:val="FFFFFF" w:themeColor="background1"/>
                        <w:sz w:val="46"/>
                      </w:rPr>
                    </w:pPr>
                  </w:p>
                  <w:p w14:paraId="23D73F64" w14:textId="6FF59AFD" w:rsidR="00231237" w:rsidRDefault="00DC7A00" w:rsidP="00231237">
                    <w:pPr>
                      <w:rPr>
                        <w:rFonts w:ascii="Arial" w:hAnsi="Arial" w:cs="Arial"/>
                        <w:b/>
                        <w:color w:val="FFFFFF" w:themeColor="background1"/>
                        <w:sz w:val="46"/>
                      </w:rPr>
                    </w:pPr>
                    <w:r>
                      <w:rPr>
                        <w:rFonts w:ascii="Arial" w:hAnsi="Arial" w:cs="Arial"/>
                        <w:b/>
                        <w:color w:val="FFFFFF" w:themeColor="background1"/>
                        <w:sz w:val="46"/>
                      </w:rPr>
                      <w:t xml:space="preserve">Maroondah </w:t>
                    </w:r>
                    <w:r w:rsidR="00012B98">
                      <w:rPr>
                        <w:rFonts w:ascii="Arial" w:hAnsi="Arial" w:cs="Arial"/>
                        <w:b/>
                        <w:color w:val="FFFFFF" w:themeColor="background1"/>
                        <w:sz w:val="46"/>
                      </w:rPr>
                      <w:t>Gambling Harm Prevention and Minimisation Policy</w:t>
                    </w:r>
                    <w:r>
                      <w:rPr>
                        <w:rFonts w:ascii="Arial" w:hAnsi="Arial" w:cs="Arial"/>
                        <w:b/>
                        <w:color w:val="FFFFFF" w:themeColor="background1"/>
                        <w:sz w:val="46"/>
                      </w:rPr>
                      <w:t xml:space="preserve"> 2026</w:t>
                    </w:r>
                  </w:p>
                  <w:p w14:paraId="13A7A2EB" w14:textId="6D7219C6" w:rsidR="00231237" w:rsidRPr="00544B85" w:rsidRDefault="00231237" w:rsidP="00231237">
                    <w:pPr>
                      <w:pStyle w:val="NoSpacing"/>
                      <w:rPr>
                        <w:color w:val="FFFFFF" w:themeColor="background1"/>
                      </w:rPr>
                    </w:pPr>
                    <w:r w:rsidRPr="00544B85">
                      <w:rPr>
                        <w:b/>
                        <w:color w:val="FFFFFF" w:themeColor="background1"/>
                      </w:rPr>
                      <w:t>Date adopted:</w:t>
                    </w:r>
                    <w:r w:rsidRPr="00544B85">
                      <w:rPr>
                        <w:color w:val="FFFFFF" w:themeColor="background1"/>
                      </w:rPr>
                      <w:t xml:space="preserve"> </w:t>
                    </w:r>
                    <w:r w:rsidR="002B77CB">
                      <w:rPr>
                        <w:color w:val="FFFFFF" w:themeColor="background1"/>
                      </w:rPr>
                      <w:t>15 June 2026</w:t>
                    </w:r>
                    <w:r w:rsidR="00FE572A">
                      <w:rPr>
                        <w:color w:val="FFFFFF" w:themeColor="background1"/>
                      </w:rPr>
                      <w:t xml:space="preserve"> </w:t>
                    </w:r>
                  </w:p>
                  <w:p w14:paraId="2121BEB4" w14:textId="454041F5" w:rsidR="00231237" w:rsidRPr="00544B85" w:rsidRDefault="00231237" w:rsidP="00231237">
                    <w:pPr>
                      <w:pStyle w:val="NoSpacing"/>
                      <w:rPr>
                        <w:color w:val="FFFFFF" w:themeColor="background1"/>
                      </w:rPr>
                    </w:pPr>
                    <w:r w:rsidRPr="00544B85">
                      <w:rPr>
                        <w:b/>
                        <w:color w:val="FFFFFF" w:themeColor="background1"/>
                      </w:rPr>
                      <w:t>Responsible Service Area:</w:t>
                    </w:r>
                    <w:r w:rsidRPr="00544B85">
                      <w:rPr>
                        <w:color w:val="FFFFFF" w:themeColor="background1"/>
                      </w:rPr>
                      <w:t xml:space="preserve"> </w:t>
                    </w:r>
                    <w:r w:rsidR="00792517">
                      <w:rPr>
                        <w:color w:val="FFFFFF" w:themeColor="background1"/>
                      </w:rPr>
                      <w:t>City Futures</w:t>
                    </w:r>
                    <w:r w:rsidR="00FE572A">
                      <w:rPr>
                        <w:color w:val="FFFFFF" w:themeColor="background1"/>
                      </w:rPr>
                      <w:t xml:space="preserve"> </w:t>
                    </w:r>
                  </w:p>
                </w:txbxContent>
              </v:textbox>
              <w10:wrap type="square" anchorx="margin"/>
            </v:shape>
          </w:pict>
        </mc:Fallback>
      </mc:AlternateContent>
    </w:r>
  </w:p>
  <w:p w14:paraId="21DBC6D2" w14:textId="77777777" w:rsidR="00231237" w:rsidRDefault="0023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A83C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7A5666"/>
    <w:multiLevelType w:val="hybridMultilevel"/>
    <w:tmpl w:val="8B688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600E8"/>
    <w:multiLevelType w:val="hybridMultilevel"/>
    <w:tmpl w:val="F9D4F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76F17"/>
    <w:multiLevelType w:val="hybridMultilevel"/>
    <w:tmpl w:val="26A4D8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8C3F68"/>
    <w:multiLevelType w:val="hybridMultilevel"/>
    <w:tmpl w:val="717881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55EE3"/>
    <w:multiLevelType w:val="hybridMultilevel"/>
    <w:tmpl w:val="FE641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E82217"/>
    <w:multiLevelType w:val="hybridMultilevel"/>
    <w:tmpl w:val="1F848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64C5EC3"/>
    <w:multiLevelType w:val="hybridMultilevel"/>
    <w:tmpl w:val="708A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2B63AB"/>
    <w:multiLevelType w:val="hybridMultilevel"/>
    <w:tmpl w:val="7792A6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2CF6481"/>
    <w:multiLevelType w:val="hybridMultilevel"/>
    <w:tmpl w:val="D6A898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80F3321"/>
    <w:multiLevelType w:val="hybridMultilevel"/>
    <w:tmpl w:val="F6BE9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8132D5"/>
    <w:multiLevelType w:val="hybridMultilevel"/>
    <w:tmpl w:val="A6BC1826"/>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2" w15:restartNumberingAfterBreak="0">
    <w:nsid w:val="584522BB"/>
    <w:multiLevelType w:val="hybridMultilevel"/>
    <w:tmpl w:val="1C52B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AA41CA"/>
    <w:multiLevelType w:val="hybridMultilevel"/>
    <w:tmpl w:val="31921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CC21C4"/>
    <w:multiLevelType w:val="hybridMultilevel"/>
    <w:tmpl w:val="C4466B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1207C5"/>
    <w:multiLevelType w:val="hybridMultilevel"/>
    <w:tmpl w:val="5EB4B1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26D4484"/>
    <w:multiLevelType w:val="hybridMultilevel"/>
    <w:tmpl w:val="A08818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FA42DB"/>
    <w:multiLevelType w:val="hybridMultilevel"/>
    <w:tmpl w:val="30CA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360D1D"/>
    <w:multiLevelType w:val="hybridMultilevel"/>
    <w:tmpl w:val="776CFED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6D7A3CC3"/>
    <w:multiLevelType w:val="hybridMultilevel"/>
    <w:tmpl w:val="7ABC0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190CD1"/>
    <w:multiLevelType w:val="hybridMultilevel"/>
    <w:tmpl w:val="BF3E6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0D2C25"/>
    <w:multiLevelType w:val="hybridMultilevel"/>
    <w:tmpl w:val="A7724B3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2" w15:restartNumberingAfterBreak="0">
    <w:nsid w:val="72805BB7"/>
    <w:multiLevelType w:val="hybridMultilevel"/>
    <w:tmpl w:val="9F4492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7BB53194"/>
    <w:multiLevelType w:val="hybridMultilevel"/>
    <w:tmpl w:val="7E5AD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6679926">
    <w:abstractNumId w:val="5"/>
  </w:num>
  <w:num w:numId="2" w16cid:durableId="182523944">
    <w:abstractNumId w:val="21"/>
  </w:num>
  <w:num w:numId="3" w16cid:durableId="949554693">
    <w:abstractNumId w:val="3"/>
  </w:num>
  <w:num w:numId="4" w16cid:durableId="1833839160">
    <w:abstractNumId w:val="16"/>
  </w:num>
  <w:num w:numId="5" w16cid:durableId="1845121315">
    <w:abstractNumId w:val="10"/>
  </w:num>
  <w:num w:numId="6" w16cid:durableId="45835159">
    <w:abstractNumId w:val="20"/>
  </w:num>
  <w:num w:numId="7" w16cid:durableId="1485581838">
    <w:abstractNumId w:val="17"/>
  </w:num>
  <w:num w:numId="8" w16cid:durableId="719331605">
    <w:abstractNumId w:val="0"/>
  </w:num>
  <w:num w:numId="9" w16cid:durableId="2000183272">
    <w:abstractNumId w:val="2"/>
  </w:num>
  <w:num w:numId="10" w16cid:durableId="2080516242">
    <w:abstractNumId w:val="9"/>
  </w:num>
  <w:num w:numId="11" w16cid:durableId="2008509313">
    <w:abstractNumId w:val="22"/>
  </w:num>
  <w:num w:numId="12" w16cid:durableId="1295601825">
    <w:abstractNumId w:val="19"/>
  </w:num>
  <w:num w:numId="13" w16cid:durableId="722411170">
    <w:abstractNumId w:val="15"/>
  </w:num>
  <w:num w:numId="14" w16cid:durableId="1194222309">
    <w:abstractNumId w:val="8"/>
  </w:num>
  <w:num w:numId="15" w16cid:durableId="969019803">
    <w:abstractNumId w:val="4"/>
  </w:num>
  <w:num w:numId="16" w16cid:durableId="959872185">
    <w:abstractNumId w:val="7"/>
  </w:num>
  <w:num w:numId="17" w16cid:durableId="1367683728">
    <w:abstractNumId w:val="1"/>
  </w:num>
  <w:num w:numId="18" w16cid:durableId="1818373103">
    <w:abstractNumId w:val="6"/>
  </w:num>
  <w:num w:numId="19" w16cid:durableId="2143383848">
    <w:abstractNumId w:val="11"/>
  </w:num>
  <w:num w:numId="20" w16cid:durableId="889419516">
    <w:abstractNumId w:val="23"/>
  </w:num>
  <w:num w:numId="21" w16cid:durableId="215970365">
    <w:abstractNumId w:val="13"/>
  </w:num>
  <w:num w:numId="22" w16cid:durableId="1736389440">
    <w:abstractNumId w:val="12"/>
  </w:num>
  <w:num w:numId="23" w16cid:durableId="1913733837">
    <w:abstractNumId w:val="18"/>
  </w:num>
  <w:num w:numId="24" w16cid:durableId="378359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85"/>
    <w:rsid w:val="00003C28"/>
    <w:rsid w:val="0000513C"/>
    <w:rsid w:val="0000648F"/>
    <w:rsid w:val="00006860"/>
    <w:rsid w:val="000105EB"/>
    <w:rsid w:val="00010D61"/>
    <w:rsid w:val="00012B98"/>
    <w:rsid w:val="00014051"/>
    <w:rsid w:val="00015DA0"/>
    <w:rsid w:val="0001750A"/>
    <w:rsid w:val="00027029"/>
    <w:rsid w:val="000276FC"/>
    <w:rsid w:val="000314A3"/>
    <w:rsid w:val="000325E3"/>
    <w:rsid w:val="000336BC"/>
    <w:rsid w:val="00040A24"/>
    <w:rsid w:val="00042C79"/>
    <w:rsid w:val="0004454E"/>
    <w:rsid w:val="00044C24"/>
    <w:rsid w:val="000518CB"/>
    <w:rsid w:val="00053351"/>
    <w:rsid w:val="000555C5"/>
    <w:rsid w:val="00064C28"/>
    <w:rsid w:val="00065C6E"/>
    <w:rsid w:val="000668C1"/>
    <w:rsid w:val="00066FF5"/>
    <w:rsid w:val="00073CDF"/>
    <w:rsid w:val="00074455"/>
    <w:rsid w:val="0007610B"/>
    <w:rsid w:val="000763EC"/>
    <w:rsid w:val="00077C8D"/>
    <w:rsid w:val="0008307A"/>
    <w:rsid w:val="00090EE0"/>
    <w:rsid w:val="000922AC"/>
    <w:rsid w:val="00095521"/>
    <w:rsid w:val="00095CFB"/>
    <w:rsid w:val="000A0351"/>
    <w:rsid w:val="000A23EF"/>
    <w:rsid w:val="000A4958"/>
    <w:rsid w:val="000A5CC1"/>
    <w:rsid w:val="000A6966"/>
    <w:rsid w:val="000A7CED"/>
    <w:rsid w:val="000B4396"/>
    <w:rsid w:val="000B5812"/>
    <w:rsid w:val="000B601B"/>
    <w:rsid w:val="000B71DF"/>
    <w:rsid w:val="000B7FFD"/>
    <w:rsid w:val="000C5C5F"/>
    <w:rsid w:val="000C73AC"/>
    <w:rsid w:val="000D4DF0"/>
    <w:rsid w:val="000D7B87"/>
    <w:rsid w:val="000E07C9"/>
    <w:rsid w:val="000E28CC"/>
    <w:rsid w:val="000E29D5"/>
    <w:rsid w:val="000E4D0A"/>
    <w:rsid w:val="000F14F0"/>
    <w:rsid w:val="000F1B57"/>
    <w:rsid w:val="000F3E92"/>
    <w:rsid w:val="000F532F"/>
    <w:rsid w:val="00103D94"/>
    <w:rsid w:val="001076BE"/>
    <w:rsid w:val="00110B93"/>
    <w:rsid w:val="0011377B"/>
    <w:rsid w:val="001142B8"/>
    <w:rsid w:val="00116750"/>
    <w:rsid w:val="00127AAE"/>
    <w:rsid w:val="0013111A"/>
    <w:rsid w:val="00132116"/>
    <w:rsid w:val="00135951"/>
    <w:rsid w:val="00136D11"/>
    <w:rsid w:val="00137DE6"/>
    <w:rsid w:val="00140357"/>
    <w:rsid w:val="00146D24"/>
    <w:rsid w:val="00146F93"/>
    <w:rsid w:val="001501AB"/>
    <w:rsid w:val="00152267"/>
    <w:rsid w:val="00156FE3"/>
    <w:rsid w:val="001727ED"/>
    <w:rsid w:val="00180189"/>
    <w:rsid w:val="0018070F"/>
    <w:rsid w:val="00181CFE"/>
    <w:rsid w:val="00183C90"/>
    <w:rsid w:val="001843A8"/>
    <w:rsid w:val="0018464D"/>
    <w:rsid w:val="00184793"/>
    <w:rsid w:val="00191B98"/>
    <w:rsid w:val="001923B3"/>
    <w:rsid w:val="00195106"/>
    <w:rsid w:val="001967D0"/>
    <w:rsid w:val="001974D8"/>
    <w:rsid w:val="001A75C1"/>
    <w:rsid w:val="001B10AE"/>
    <w:rsid w:val="001B3099"/>
    <w:rsid w:val="001B36A5"/>
    <w:rsid w:val="001B5896"/>
    <w:rsid w:val="001C4AA0"/>
    <w:rsid w:val="001C4BBD"/>
    <w:rsid w:val="001C5128"/>
    <w:rsid w:val="001D3290"/>
    <w:rsid w:val="001D4B6D"/>
    <w:rsid w:val="001D6A4C"/>
    <w:rsid w:val="001D733F"/>
    <w:rsid w:val="001E0207"/>
    <w:rsid w:val="001E0F26"/>
    <w:rsid w:val="001E1FF4"/>
    <w:rsid w:val="001E59E0"/>
    <w:rsid w:val="001F410E"/>
    <w:rsid w:val="001F4ACE"/>
    <w:rsid w:val="001F50C6"/>
    <w:rsid w:val="002040BD"/>
    <w:rsid w:val="002056CE"/>
    <w:rsid w:val="00210316"/>
    <w:rsid w:val="002129B4"/>
    <w:rsid w:val="00212F13"/>
    <w:rsid w:val="0021330A"/>
    <w:rsid w:val="002145D2"/>
    <w:rsid w:val="00215FF0"/>
    <w:rsid w:val="00217603"/>
    <w:rsid w:val="00221929"/>
    <w:rsid w:val="00230780"/>
    <w:rsid w:val="0023092B"/>
    <w:rsid w:val="00231237"/>
    <w:rsid w:val="00233A4C"/>
    <w:rsid w:val="00242C46"/>
    <w:rsid w:val="00244304"/>
    <w:rsid w:val="002521A9"/>
    <w:rsid w:val="00256490"/>
    <w:rsid w:val="00260F68"/>
    <w:rsid w:val="002616A7"/>
    <w:rsid w:val="00267447"/>
    <w:rsid w:val="002719F7"/>
    <w:rsid w:val="00274EC7"/>
    <w:rsid w:val="0028113F"/>
    <w:rsid w:val="00282467"/>
    <w:rsid w:val="0028397A"/>
    <w:rsid w:val="002853A9"/>
    <w:rsid w:val="002853EF"/>
    <w:rsid w:val="00286F2A"/>
    <w:rsid w:val="0029223E"/>
    <w:rsid w:val="00292820"/>
    <w:rsid w:val="00295D5F"/>
    <w:rsid w:val="002A3EA0"/>
    <w:rsid w:val="002A760F"/>
    <w:rsid w:val="002B02EE"/>
    <w:rsid w:val="002B66B9"/>
    <w:rsid w:val="002B6C69"/>
    <w:rsid w:val="002B7302"/>
    <w:rsid w:val="002B77CB"/>
    <w:rsid w:val="002B7B43"/>
    <w:rsid w:val="002C2285"/>
    <w:rsid w:val="002C51E4"/>
    <w:rsid w:val="002D0EA2"/>
    <w:rsid w:val="002D3E7A"/>
    <w:rsid w:val="002E515E"/>
    <w:rsid w:val="002E51B9"/>
    <w:rsid w:val="002E65CF"/>
    <w:rsid w:val="002E66C2"/>
    <w:rsid w:val="002E6A0F"/>
    <w:rsid w:val="002E7084"/>
    <w:rsid w:val="002F2C3A"/>
    <w:rsid w:val="002F386A"/>
    <w:rsid w:val="002F3A54"/>
    <w:rsid w:val="002F3DB9"/>
    <w:rsid w:val="002F4F17"/>
    <w:rsid w:val="0030213B"/>
    <w:rsid w:val="00302482"/>
    <w:rsid w:val="00304000"/>
    <w:rsid w:val="003107AB"/>
    <w:rsid w:val="00310D34"/>
    <w:rsid w:val="00310E05"/>
    <w:rsid w:val="00317C2A"/>
    <w:rsid w:val="00322381"/>
    <w:rsid w:val="00322EB1"/>
    <w:rsid w:val="00325956"/>
    <w:rsid w:val="00330F88"/>
    <w:rsid w:val="00331980"/>
    <w:rsid w:val="00331EC1"/>
    <w:rsid w:val="003352AC"/>
    <w:rsid w:val="003361AD"/>
    <w:rsid w:val="00337D3A"/>
    <w:rsid w:val="0034021B"/>
    <w:rsid w:val="003443DA"/>
    <w:rsid w:val="003446A8"/>
    <w:rsid w:val="00346B5C"/>
    <w:rsid w:val="00352679"/>
    <w:rsid w:val="00353087"/>
    <w:rsid w:val="00353BE5"/>
    <w:rsid w:val="00355D91"/>
    <w:rsid w:val="003637BB"/>
    <w:rsid w:val="00363948"/>
    <w:rsid w:val="003701D1"/>
    <w:rsid w:val="00371899"/>
    <w:rsid w:val="003770CE"/>
    <w:rsid w:val="00382C84"/>
    <w:rsid w:val="003846B1"/>
    <w:rsid w:val="00385BE6"/>
    <w:rsid w:val="003871BE"/>
    <w:rsid w:val="00390B58"/>
    <w:rsid w:val="00392752"/>
    <w:rsid w:val="00396544"/>
    <w:rsid w:val="003A3616"/>
    <w:rsid w:val="003A492B"/>
    <w:rsid w:val="003A67E5"/>
    <w:rsid w:val="003A7041"/>
    <w:rsid w:val="003A704F"/>
    <w:rsid w:val="003B4844"/>
    <w:rsid w:val="003C0FF6"/>
    <w:rsid w:val="003C2E4C"/>
    <w:rsid w:val="003C528D"/>
    <w:rsid w:val="003D1CE9"/>
    <w:rsid w:val="003E5709"/>
    <w:rsid w:val="003E58EC"/>
    <w:rsid w:val="003E6D30"/>
    <w:rsid w:val="003F70CC"/>
    <w:rsid w:val="00400F0E"/>
    <w:rsid w:val="00407854"/>
    <w:rsid w:val="0041076E"/>
    <w:rsid w:val="00411DE5"/>
    <w:rsid w:val="00413D08"/>
    <w:rsid w:val="004146CC"/>
    <w:rsid w:val="004165AC"/>
    <w:rsid w:val="00417843"/>
    <w:rsid w:val="00422C6E"/>
    <w:rsid w:val="0042314D"/>
    <w:rsid w:val="00423DD8"/>
    <w:rsid w:val="00426A89"/>
    <w:rsid w:val="00427D9A"/>
    <w:rsid w:val="00427F29"/>
    <w:rsid w:val="00431144"/>
    <w:rsid w:val="00432A59"/>
    <w:rsid w:val="00433076"/>
    <w:rsid w:val="0043369B"/>
    <w:rsid w:val="0043379E"/>
    <w:rsid w:val="00436579"/>
    <w:rsid w:val="00436F7A"/>
    <w:rsid w:val="004376FE"/>
    <w:rsid w:val="00441026"/>
    <w:rsid w:val="00442EF8"/>
    <w:rsid w:val="004439FA"/>
    <w:rsid w:val="00443DC1"/>
    <w:rsid w:val="00450F26"/>
    <w:rsid w:val="004528F7"/>
    <w:rsid w:val="004533A1"/>
    <w:rsid w:val="00455646"/>
    <w:rsid w:val="0045567B"/>
    <w:rsid w:val="00466F68"/>
    <w:rsid w:val="00467647"/>
    <w:rsid w:val="0047114E"/>
    <w:rsid w:val="004720A2"/>
    <w:rsid w:val="0047282C"/>
    <w:rsid w:val="00473AD1"/>
    <w:rsid w:val="00474689"/>
    <w:rsid w:val="00480323"/>
    <w:rsid w:val="00486147"/>
    <w:rsid w:val="0049058C"/>
    <w:rsid w:val="00491D88"/>
    <w:rsid w:val="00496B20"/>
    <w:rsid w:val="00497643"/>
    <w:rsid w:val="004A07D7"/>
    <w:rsid w:val="004A1B69"/>
    <w:rsid w:val="004A2F5B"/>
    <w:rsid w:val="004A6ED2"/>
    <w:rsid w:val="004A7D3E"/>
    <w:rsid w:val="004B255C"/>
    <w:rsid w:val="004B5399"/>
    <w:rsid w:val="004B5746"/>
    <w:rsid w:val="004B7A7A"/>
    <w:rsid w:val="004C06FF"/>
    <w:rsid w:val="004C1C3D"/>
    <w:rsid w:val="004C4BC0"/>
    <w:rsid w:val="004C6031"/>
    <w:rsid w:val="004D287E"/>
    <w:rsid w:val="004D73A8"/>
    <w:rsid w:val="004D7CE8"/>
    <w:rsid w:val="004E2A91"/>
    <w:rsid w:val="004E4557"/>
    <w:rsid w:val="004E5DE2"/>
    <w:rsid w:val="004E6C3A"/>
    <w:rsid w:val="004F015F"/>
    <w:rsid w:val="004F0478"/>
    <w:rsid w:val="004F0926"/>
    <w:rsid w:val="004F2E28"/>
    <w:rsid w:val="004F445B"/>
    <w:rsid w:val="004F73A3"/>
    <w:rsid w:val="005016F3"/>
    <w:rsid w:val="00502D99"/>
    <w:rsid w:val="00504BC9"/>
    <w:rsid w:val="00504D8E"/>
    <w:rsid w:val="00506EC8"/>
    <w:rsid w:val="00510E90"/>
    <w:rsid w:val="0051111D"/>
    <w:rsid w:val="0051166F"/>
    <w:rsid w:val="005118C0"/>
    <w:rsid w:val="00513380"/>
    <w:rsid w:val="00515742"/>
    <w:rsid w:val="0051772D"/>
    <w:rsid w:val="005247AD"/>
    <w:rsid w:val="00525496"/>
    <w:rsid w:val="00527AF8"/>
    <w:rsid w:val="00534496"/>
    <w:rsid w:val="00535578"/>
    <w:rsid w:val="00536968"/>
    <w:rsid w:val="00536B6A"/>
    <w:rsid w:val="00543080"/>
    <w:rsid w:val="00544B85"/>
    <w:rsid w:val="00544D01"/>
    <w:rsid w:val="00544E25"/>
    <w:rsid w:val="0054518E"/>
    <w:rsid w:val="00546D96"/>
    <w:rsid w:val="00561A38"/>
    <w:rsid w:val="00562AA7"/>
    <w:rsid w:val="005647EF"/>
    <w:rsid w:val="0056511E"/>
    <w:rsid w:val="0057282C"/>
    <w:rsid w:val="005738AD"/>
    <w:rsid w:val="00575603"/>
    <w:rsid w:val="00576D9E"/>
    <w:rsid w:val="00577476"/>
    <w:rsid w:val="005835AD"/>
    <w:rsid w:val="00585A59"/>
    <w:rsid w:val="00586E09"/>
    <w:rsid w:val="00591134"/>
    <w:rsid w:val="00594110"/>
    <w:rsid w:val="00594CA0"/>
    <w:rsid w:val="00596FA3"/>
    <w:rsid w:val="005A0462"/>
    <w:rsid w:val="005A046A"/>
    <w:rsid w:val="005A3BD3"/>
    <w:rsid w:val="005A5730"/>
    <w:rsid w:val="005B2329"/>
    <w:rsid w:val="005B491D"/>
    <w:rsid w:val="005C445C"/>
    <w:rsid w:val="005C635A"/>
    <w:rsid w:val="005C643B"/>
    <w:rsid w:val="005C69B6"/>
    <w:rsid w:val="005C7FCA"/>
    <w:rsid w:val="005D2E5B"/>
    <w:rsid w:val="005D7432"/>
    <w:rsid w:val="005E603F"/>
    <w:rsid w:val="005E6752"/>
    <w:rsid w:val="005F03F8"/>
    <w:rsid w:val="005F3269"/>
    <w:rsid w:val="005F4A3C"/>
    <w:rsid w:val="005F4C03"/>
    <w:rsid w:val="005F5192"/>
    <w:rsid w:val="005F64BB"/>
    <w:rsid w:val="005F736C"/>
    <w:rsid w:val="006023FD"/>
    <w:rsid w:val="006028C1"/>
    <w:rsid w:val="006028D9"/>
    <w:rsid w:val="00604D74"/>
    <w:rsid w:val="006069B9"/>
    <w:rsid w:val="006124BD"/>
    <w:rsid w:val="00613438"/>
    <w:rsid w:val="00613B45"/>
    <w:rsid w:val="00617B3D"/>
    <w:rsid w:val="00620A8B"/>
    <w:rsid w:val="006253CD"/>
    <w:rsid w:val="0062542F"/>
    <w:rsid w:val="0063058D"/>
    <w:rsid w:val="0063226E"/>
    <w:rsid w:val="00636EA7"/>
    <w:rsid w:val="00642C92"/>
    <w:rsid w:val="0064457B"/>
    <w:rsid w:val="00645877"/>
    <w:rsid w:val="00655353"/>
    <w:rsid w:val="00661646"/>
    <w:rsid w:val="00667780"/>
    <w:rsid w:val="006679FF"/>
    <w:rsid w:val="006704B3"/>
    <w:rsid w:val="00670AAE"/>
    <w:rsid w:val="00671FC2"/>
    <w:rsid w:val="00672223"/>
    <w:rsid w:val="0067399F"/>
    <w:rsid w:val="0067615B"/>
    <w:rsid w:val="00677DDB"/>
    <w:rsid w:val="00681723"/>
    <w:rsid w:val="00681A5E"/>
    <w:rsid w:val="006830CE"/>
    <w:rsid w:val="006869B3"/>
    <w:rsid w:val="006875BF"/>
    <w:rsid w:val="006901C1"/>
    <w:rsid w:val="00690458"/>
    <w:rsid w:val="00691683"/>
    <w:rsid w:val="0069266E"/>
    <w:rsid w:val="0069363D"/>
    <w:rsid w:val="006948F4"/>
    <w:rsid w:val="00695D5A"/>
    <w:rsid w:val="006A0BDF"/>
    <w:rsid w:val="006A56F3"/>
    <w:rsid w:val="006A578F"/>
    <w:rsid w:val="006A770C"/>
    <w:rsid w:val="006B237F"/>
    <w:rsid w:val="006B50B2"/>
    <w:rsid w:val="006B692F"/>
    <w:rsid w:val="006B794F"/>
    <w:rsid w:val="006B7B59"/>
    <w:rsid w:val="006C1484"/>
    <w:rsid w:val="006C46DA"/>
    <w:rsid w:val="006C67AE"/>
    <w:rsid w:val="006C693A"/>
    <w:rsid w:val="006D0430"/>
    <w:rsid w:val="006D2AE2"/>
    <w:rsid w:val="006D77C7"/>
    <w:rsid w:val="006E1F2F"/>
    <w:rsid w:val="006E7240"/>
    <w:rsid w:val="006E769B"/>
    <w:rsid w:val="006F4E86"/>
    <w:rsid w:val="006F529E"/>
    <w:rsid w:val="006F7628"/>
    <w:rsid w:val="007067E0"/>
    <w:rsid w:val="00707DE8"/>
    <w:rsid w:val="00710195"/>
    <w:rsid w:val="00710875"/>
    <w:rsid w:val="00711C26"/>
    <w:rsid w:val="007131AC"/>
    <w:rsid w:val="0071403D"/>
    <w:rsid w:val="007167FA"/>
    <w:rsid w:val="00724641"/>
    <w:rsid w:val="00724943"/>
    <w:rsid w:val="0072678C"/>
    <w:rsid w:val="00731327"/>
    <w:rsid w:val="00732B2A"/>
    <w:rsid w:val="00732E88"/>
    <w:rsid w:val="00734ADF"/>
    <w:rsid w:val="00740116"/>
    <w:rsid w:val="00745DF8"/>
    <w:rsid w:val="00752611"/>
    <w:rsid w:val="00753B5B"/>
    <w:rsid w:val="00754043"/>
    <w:rsid w:val="00754FC8"/>
    <w:rsid w:val="00760183"/>
    <w:rsid w:val="007639B9"/>
    <w:rsid w:val="007650D3"/>
    <w:rsid w:val="00766B9A"/>
    <w:rsid w:val="00767E85"/>
    <w:rsid w:val="00770057"/>
    <w:rsid w:val="007759C3"/>
    <w:rsid w:val="00790935"/>
    <w:rsid w:val="00790F45"/>
    <w:rsid w:val="00792517"/>
    <w:rsid w:val="00793EBC"/>
    <w:rsid w:val="00796564"/>
    <w:rsid w:val="007A0CA1"/>
    <w:rsid w:val="007A10BC"/>
    <w:rsid w:val="007A5EDD"/>
    <w:rsid w:val="007B109F"/>
    <w:rsid w:val="007B1669"/>
    <w:rsid w:val="007B5D72"/>
    <w:rsid w:val="007C1181"/>
    <w:rsid w:val="007C43C7"/>
    <w:rsid w:val="007C5451"/>
    <w:rsid w:val="007C574C"/>
    <w:rsid w:val="007D1BAE"/>
    <w:rsid w:val="007D2416"/>
    <w:rsid w:val="007E00CC"/>
    <w:rsid w:val="007E3AE4"/>
    <w:rsid w:val="007E4FE2"/>
    <w:rsid w:val="007E5CF1"/>
    <w:rsid w:val="007F025D"/>
    <w:rsid w:val="007F200F"/>
    <w:rsid w:val="007F439E"/>
    <w:rsid w:val="007F4971"/>
    <w:rsid w:val="007F624D"/>
    <w:rsid w:val="007F6276"/>
    <w:rsid w:val="007F721D"/>
    <w:rsid w:val="007F729B"/>
    <w:rsid w:val="00804764"/>
    <w:rsid w:val="008049AB"/>
    <w:rsid w:val="0081223B"/>
    <w:rsid w:val="008178CF"/>
    <w:rsid w:val="008205F2"/>
    <w:rsid w:val="00820805"/>
    <w:rsid w:val="00820C1D"/>
    <w:rsid w:val="0082221E"/>
    <w:rsid w:val="008248F1"/>
    <w:rsid w:val="00826368"/>
    <w:rsid w:val="00834EFF"/>
    <w:rsid w:val="008366E5"/>
    <w:rsid w:val="00840414"/>
    <w:rsid w:val="0084074B"/>
    <w:rsid w:val="00847A8B"/>
    <w:rsid w:val="00847BD0"/>
    <w:rsid w:val="008504A7"/>
    <w:rsid w:val="0085234A"/>
    <w:rsid w:val="0087504C"/>
    <w:rsid w:val="00875A83"/>
    <w:rsid w:val="00876B7F"/>
    <w:rsid w:val="00877A38"/>
    <w:rsid w:val="008811CD"/>
    <w:rsid w:val="008843B3"/>
    <w:rsid w:val="00885538"/>
    <w:rsid w:val="00887DBE"/>
    <w:rsid w:val="00893461"/>
    <w:rsid w:val="008948E5"/>
    <w:rsid w:val="00894C2C"/>
    <w:rsid w:val="008972BD"/>
    <w:rsid w:val="008A12CA"/>
    <w:rsid w:val="008A1F25"/>
    <w:rsid w:val="008A27B6"/>
    <w:rsid w:val="008B0886"/>
    <w:rsid w:val="008B59A8"/>
    <w:rsid w:val="008C17CD"/>
    <w:rsid w:val="008C206B"/>
    <w:rsid w:val="008C2F49"/>
    <w:rsid w:val="008C7EBA"/>
    <w:rsid w:val="008D13B4"/>
    <w:rsid w:val="008D13E2"/>
    <w:rsid w:val="008E0FD5"/>
    <w:rsid w:val="008E1F80"/>
    <w:rsid w:val="008E2ECA"/>
    <w:rsid w:val="008E607B"/>
    <w:rsid w:val="008F031C"/>
    <w:rsid w:val="008F2AD1"/>
    <w:rsid w:val="008F5579"/>
    <w:rsid w:val="00900529"/>
    <w:rsid w:val="00900BA4"/>
    <w:rsid w:val="00902D22"/>
    <w:rsid w:val="0090432E"/>
    <w:rsid w:val="0090561A"/>
    <w:rsid w:val="0090613B"/>
    <w:rsid w:val="009066C0"/>
    <w:rsid w:val="00911548"/>
    <w:rsid w:val="009127F1"/>
    <w:rsid w:val="00914104"/>
    <w:rsid w:val="00914703"/>
    <w:rsid w:val="00914854"/>
    <w:rsid w:val="00915144"/>
    <w:rsid w:val="00917E45"/>
    <w:rsid w:val="009239A5"/>
    <w:rsid w:val="00925177"/>
    <w:rsid w:val="0092666D"/>
    <w:rsid w:val="009270C0"/>
    <w:rsid w:val="00930433"/>
    <w:rsid w:val="00930815"/>
    <w:rsid w:val="00931FFA"/>
    <w:rsid w:val="00934FAA"/>
    <w:rsid w:val="0093698F"/>
    <w:rsid w:val="00940EDC"/>
    <w:rsid w:val="009428B5"/>
    <w:rsid w:val="009430B3"/>
    <w:rsid w:val="009450F1"/>
    <w:rsid w:val="009461A4"/>
    <w:rsid w:val="00946601"/>
    <w:rsid w:val="00946BFF"/>
    <w:rsid w:val="00947C7C"/>
    <w:rsid w:val="009501CD"/>
    <w:rsid w:val="00954269"/>
    <w:rsid w:val="0095650E"/>
    <w:rsid w:val="00960BE3"/>
    <w:rsid w:val="009620C2"/>
    <w:rsid w:val="00962CCF"/>
    <w:rsid w:val="00970970"/>
    <w:rsid w:val="00977A18"/>
    <w:rsid w:val="00982660"/>
    <w:rsid w:val="00985232"/>
    <w:rsid w:val="009860C0"/>
    <w:rsid w:val="00986ACA"/>
    <w:rsid w:val="009877F0"/>
    <w:rsid w:val="00990F83"/>
    <w:rsid w:val="00992EA3"/>
    <w:rsid w:val="00995DD9"/>
    <w:rsid w:val="009A0C2F"/>
    <w:rsid w:val="009A1797"/>
    <w:rsid w:val="009A27F6"/>
    <w:rsid w:val="009A3F2C"/>
    <w:rsid w:val="009A40CB"/>
    <w:rsid w:val="009B00A6"/>
    <w:rsid w:val="009B0AE3"/>
    <w:rsid w:val="009B0EE3"/>
    <w:rsid w:val="009B19E2"/>
    <w:rsid w:val="009B1A88"/>
    <w:rsid w:val="009B2623"/>
    <w:rsid w:val="009B50E2"/>
    <w:rsid w:val="009C2A69"/>
    <w:rsid w:val="009C4E71"/>
    <w:rsid w:val="009C5FBD"/>
    <w:rsid w:val="009C6F75"/>
    <w:rsid w:val="009D7D76"/>
    <w:rsid w:val="009E0E7F"/>
    <w:rsid w:val="009E5153"/>
    <w:rsid w:val="009E6155"/>
    <w:rsid w:val="009F379D"/>
    <w:rsid w:val="00A00151"/>
    <w:rsid w:val="00A00451"/>
    <w:rsid w:val="00A12C44"/>
    <w:rsid w:val="00A141E3"/>
    <w:rsid w:val="00A1452D"/>
    <w:rsid w:val="00A22A54"/>
    <w:rsid w:val="00A22B91"/>
    <w:rsid w:val="00A24804"/>
    <w:rsid w:val="00A257C3"/>
    <w:rsid w:val="00A344B0"/>
    <w:rsid w:val="00A3485E"/>
    <w:rsid w:val="00A35606"/>
    <w:rsid w:val="00A37720"/>
    <w:rsid w:val="00A37D3D"/>
    <w:rsid w:val="00A4444B"/>
    <w:rsid w:val="00A500BB"/>
    <w:rsid w:val="00A501E1"/>
    <w:rsid w:val="00A50B9A"/>
    <w:rsid w:val="00A5105E"/>
    <w:rsid w:val="00A64012"/>
    <w:rsid w:val="00A640D9"/>
    <w:rsid w:val="00A67C8D"/>
    <w:rsid w:val="00A71113"/>
    <w:rsid w:val="00A73B4D"/>
    <w:rsid w:val="00A74796"/>
    <w:rsid w:val="00A7799B"/>
    <w:rsid w:val="00A80592"/>
    <w:rsid w:val="00A806DD"/>
    <w:rsid w:val="00A8314B"/>
    <w:rsid w:val="00A85767"/>
    <w:rsid w:val="00A8701D"/>
    <w:rsid w:val="00A876F3"/>
    <w:rsid w:val="00A91E14"/>
    <w:rsid w:val="00A92CE5"/>
    <w:rsid w:val="00A94BB8"/>
    <w:rsid w:val="00A97914"/>
    <w:rsid w:val="00AA3861"/>
    <w:rsid w:val="00AA6FC3"/>
    <w:rsid w:val="00AB72E2"/>
    <w:rsid w:val="00AB75BE"/>
    <w:rsid w:val="00AC2B4C"/>
    <w:rsid w:val="00AC45D5"/>
    <w:rsid w:val="00AC4DED"/>
    <w:rsid w:val="00AD0B3D"/>
    <w:rsid w:val="00AD178D"/>
    <w:rsid w:val="00AD32F8"/>
    <w:rsid w:val="00AE075B"/>
    <w:rsid w:val="00AE3133"/>
    <w:rsid w:val="00AE597A"/>
    <w:rsid w:val="00AE6EA4"/>
    <w:rsid w:val="00AF5609"/>
    <w:rsid w:val="00AF769B"/>
    <w:rsid w:val="00AF78C5"/>
    <w:rsid w:val="00B004F1"/>
    <w:rsid w:val="00B028A3"/>
    <w:rsid w:val="00B0310C"/>
    <w:rsid w:val="00B038EB"/>
    <w:rsid w:val="00B048B1"/>
    <w:rsid w:val="00B051FB"/>
    <w:rsid w:val="00B123E0"/>
    <w:rsid w:val="00B14ABE"/>
    <w:rsid w:val="00B15EB6"/>
    <w:rsid w:val="00B16C2E"/>
    <w:rsid w:val="00B21D6A"/>
    <w:rsid w:val="00B237A0"/>
    <w:rsid w:val="00B2439C"/>
    <w:rsid w:val="00B30503"/>
    <w:rsid w:val="00B30C1D"/>
    <w:rsid w:val="00B329DE"/>
    <w:rsid w:val="00B32BAD"/>
    <w:rsid w:val="00B334DE"/>
    <w:rsid w:val="00B344CE"/>
    <w:rsid w:val="00B345E1"/>
    <w:rsid w:val="00B35446"/>
    <w:rsid w:val="00B35921"/>
    <w:rsid w:val="00B426D3"/>
    <w:rsid w:val="00B4559B"/>
    <w:rsid w:val="00B52D0F"/>
    <w:rsid w:val="00B60AC2"/>
    <w:rsid w:val="00B615FA"/>
    <w:rsid w:val="00B62D46"/>
    <w:rsid w:val="00B66B30"/>
    <w:rsid w:val="00B71347"/>
    <w:rsid w:val="00B72221"/>
    <w:rsid w:val="00B72C6D"/>
    <w:rsid w:val="00B73640"/>
    <w:rsid w:val="00B73C83"/>
    <w:rsid w:val="00B75463"/>
    <w:rsid w:val="00B75A15"/>
    <w:rsid w:val="00B768A8"/>
    <w:rsid w:val="00B77A3A"/>
    <w:rsid w:val="00B93FD5"/>
    <w:rsid w:val="00B97F88"/>
    <w:rsid w:val="00BA3971"/>
    <w:rsid w:val="00BA39CB"/>
    <w:rsid w:val="00BA6800"/>
    <w:rsid w:val="00BA6F14"/>
    <w:rsid w:val="00BA73E6"/>
    <w:rsid w:val="00BB39CA"/>
    <w:rsid w:val="00BB5BE5"/>
    <w:rsid w:val="00BB7064"/>
    <w:rsid w:val="00BC04EA"/>
    <w:rsid w:val="00BC06DA"/>
    <w:rsid w:val="00BC18F5"/>
    <w:rsid w:val="00BC1A19"/>
    <w:rsid w:val="00BC2C70"/>
    <w:rsid w:val="00BD194E"/>
    <w:rsid w:val="00BD3882"/>
    <w:rsid w:val="00BD64AC"/>
    <w:rsid w:val="00BE34CA"/>
    <w:rsid w:val="00BE570F"/>
    <w:rsid w:val="00BF702F"/>
    <w:rsid w:val="00BF759A"/>
    <w:rsid w:val="00C019E8"/>
    <w:rsid w:val="00C062A7"/>
    <w:rsid w:val="00C0636B"/>
    <w:rsid w:val="00C06DDB"/>
    <w:rsid w:val="00C079F8"/>
    <w:rsid w:val="00C1081C"/>
    <w:rsid w:val="00C1245D"/>
    <w:rsid w:val="00C13CD2"/>
    <w:rsid w:val="00C14AD0"/>
    <w:rsid w:val="00C16E78"/>
    <w:rsid w:val="00C17A23"/>
    <w:rsid w:val="00C21455"/>
    <w:rsid w:val="00C22D40"/>
    <w:rsid w:val="00C23CA6"/>
    <w:rsid w:val="00C24164"/>
    <w:rsid w:val="00C24CD6"/>
    <w:rsid w:val="00C318F5"/>
    <w:rsid w:val="00C329CE"/>
    <w:rsid w:val="00C36726"/>
    <w:rsid w:val="00C36F79"/>
    <w:rsid w:val="00C37C07"/>
    <w:rsid w:val="00C404BF"/>
    <w:rsid w:val="00C41525"/>
    <w:rsid w:val="00C47742"/>
    <w:rsid w:val="00C53086"/>
    <w:rsid w:val="00C55191"/>
    <w:rsid w:val="00C56D25"/>
    <w:rsid w:val="00C61E1C"/>
    <w:rsid w:val="00C62C4E"/>
    <w:rsid w:val="00C636A4"/>
    <w:rsid w:val="00C63750"/>
    <w:rsid w:val="00C64323"/>
    <w:rsid w:val="00C65520"/>
    <w:rsid w:val="00C6708E"/>
    <w:rsid w:val="00C671D0"/>
    <w:rsid w:val="00C736FB"/>
    <w:rsid w:val="00C762B4"/>
    <w:rsid w:val="00C805E2"/>
    <w:rsid w:val="00C83C8E"/>
    <w:rsid w:val="00C84B45"/>
    <w:rsid w:val="00C909C4"/>
    <w:rsid w:val="00C93548"/>
    <w:rsid w:val="00C970F8"/>
    <w:rsid w:val="00CA33F1"/>
    <w:rsid w:val="00CA3F4E"/>
    <w:rsid w:val="00CA6B0A"/>
    <w:rsid w:val="00CB0F58"/>
    <w:rsid w:val="00CB253F"/>
    <w:rsid w:val="00CB4513"/>
    <w:rsid w:val="00CB4ADF"/>
    <w:rsid w:val="00CB5AF9"/>
    <w:rsid w:val="00CC02ED"/>
    <w:rsid w:val="00CC46F9"/>
    <w:rsid w:val="00CC4D1E"/>
    <w:rsid w:val="00CC604F"/>
    <w:rsid w:val="00CC63C7"/>
    <w:rsid w:val="00CC7CC9"/>
    <w:rsid w:val="00CD2DC7"/>
    <w:rsid w:val="00CD596E"/>
    <w:rsid w:val="00CE1DE7"/>
    <w:rsid w:val="00CE26E4"/>
    <w:rsid w:val="00CE386C"/>
    <w:rsid w:val="00CE4D18"/>
    <w:rsid w:val="00CE65C3"/>
    <w:rsid w:val="00CF2EB5"/>
    <w:rsid w:val="00CF4E06"/>
    <w:rsid w:val="00D025F3"/>
    <w:rsid w:val="00D05995"/>
    <w:rsid w:val="00D0619A"/>
    <w:rsid w:val="00D0716C"/>
    <w:rsid w:val="00D10DE6"/>
    <w:rsid w:val="00D14D95"/>
    <w:rsid w:val="00D16744"/>
    <w:rsid w:val="00D177E0"/>
    <w:rsid w:val="00D26D17"/>
    <w:rsid w:val="00D3264F"/>
    <w:rsid w:val="00D346C9"/>
    <w:rsid w:val="00D35A7D"/>
    <w:rsid w:val="00D41E1F"/>
    <w:rsid w:val="00D44913"/>
    <w:rsid w:val="00D4686D"/>
    <w:rsid w:val="00D46F1F"/>
    <w:rsid w:val="00D4764D"/>
    <w:rsid w:val="00D47FA3"/>
    <w:rsid w:val="00D5434B"/>
    <w:rsid w:val="00D5664E"/>
    <w:rsid w:val="00D579EE"/>
    <w:rsid w:val="00D57DE5"/>
    <w:rsid w:val="00D60B5A"/>
    <w:rsid w:val="00D62C2E"/>
    <w:rsid w:val="00D65EA3"/>
    <w:rsid w:val="00D701A3"/>
    <w:rsid w:val="00D70665"/>
    <w:rsid w:val="00D70BE0"/>
    <w:rsid w:val="00D71640"/>
    <w:rsid w:val="00D71BAF"/>
    <w:rsid w:val="00D721B0"/>
    <w:rsid w:val="00D8430C"/>
    <w:rsid w:val="00D85173"/>
    <w:rsid w:val="00D8683C"/>
    <w:rsid w:val="00D903A1"/>
    <w:rsid w:val="00D91DCE"/>
    <w:rsid w:val="00D93705"/>
    <w:rsid w:val="00D94E03"/>
    <w:rsid w:val="00D95B49"/>
    <w:rsid w:val="00DA09A3"/>
    <w:rsid w:val="00DA36BC"/>
    <w:rsid w:val="00DA502E"/>
    <w:rsid w:val="00DA61AB"/>
    <w:rsid w:val="00DA778C"/>
    <w:rsid w:val="00DB5B76"/>
    <w:rsid w:val="00DC0FB4"/>
    <w:rsid w:val="00DC10CE"/>
    <w:rsid w:val="00DC2E49"/>
    <w:rsid w:val="00DC50DA"/>
    <w:rsid w:val="00DC7A00"/>
    <w:rsid w:val="00DD069C"/>
    <w:rsid w:val="00DD1E19"/>
    <w:rsid w:val="00DD20A3"/>
    <w:rsid w:val="00DD613B"/>
    <w:rsid w:val="00DD7133"/>
    <w:rsid w:val="00DE040A"/>
    <w:rsid w:val="00DE4062"/>
    <w:rsid w:val="00DF08F8"/>
    <w:rsid w:val="00DF20B3"/>
    <w:rsid w:val="00DF45CE"/>
    <w:rsid w:val="00DF6C6A"/>
    <w:rsid w:val="00DF71CE"/>
    <w:rsid w:val="00E00B6B"/>
    <w:rsid w:val="00E029C9"/>
    <w:rsid w:val="00E036E5"/>
    <w:rsid w:val="00E04ADF"/>
    <w:rsid w:val="00E04D49"/>
    <w:rsid w:val="00E06B34"/>
    <w:rsid w:val="00E0766A"/>
    <w:rsid w:val="00E119C3"/>
    <w:rsid w:val="00E12FD8"/>
    <w:rsid w:val="00E20B26"/>
    <w:rsid w:val="00E23607"/>
    <w:rsid w:val="00E25368"/>
    <w:rsid w:val="00E25BDE"/>
    <w:rsid w:val="00E264D0"/>
    <w:rsid w:val="00E265F8"/>
    <w:rsid w:val="00E26D6E"/>
    <w:rsid w:val="00E27A8D"/>
    <w:rsid w:val="00E3215F"/>
    <w:rsid w:val="00E33F06"/>
    <w:rsid w:val="00E41D17"/>
    <w:rsid w:val="00E42D3B"/>
    <w:rsid w:val="00E43F4C"/>
    <w:rsid w:val="00E45EE9"/>
    <w:rsid w:val="00E464F4"/>
    <w:rsid w:val="00E46A2D"/>
    <w:rsid w:val="00E51082"/>
    <w:rsid w:val="00E55A33"/>
    <w:rsid w:val="00E62396"/>
    <w:rsid w:val="00E719C6"/>
    <w:rsid w:val="00E7514B"/>
    <w:rsid w:val="00E77956"/>
    <w:rsid w:val="00E803E5"/>
    <w:rsid w:val="00E80B37"/>
    <w:rsid w:val="00E82990"/>
    <w:rsid w:val="00E91673"/>
    <w:rsid w:val="00E91951"/>
    <w:rsid w:val="00E927FD"/>
    <w:rsid w:val="00E94DDD"/>
    <w:rsid w:val="00EA0117"/>
    <w:rsid w:val="00EA5446"/>
    <w:rsid w:val="00EA5C10"/>
    <w:rsid w:val="00EA6220"/>
    <w:rsid w:val="00EA6C3C"/>
    <w:rsid w:val="00EB08FC"/>
    <w:rsid w:val="00EB4A41"/>
    <w:rsid w:val="00EB6450"/>
    <w:rsid w:val="00EB703A"/>
    <w:rsid w:val="00EB77F5"/>
    <w:rsid w:val="00EB7AE6"/>
    <w:rsid w:val="00EB7B6B"/>
    <w:rsid w:val="00EC00FF"/>
    <w:rsid w:val="00EC3D77"/>
    <w:rsid w:val="00EC4486"/>
    <w:rsid w:val="00EC4CF8"/>
    <w:rsid w:val="00EC5B44"/>
    <w:rsid w:val="00EC726B"/>
    <w:rsid w:val="00ED706D"/>
    <w:rsid w:val="00ED77C8"/>
    <w:rsid w:val="00ED7AE3"/>
    <w:rsid w:val="00EE6EA6"/>
    <w:rsid w:val="00EF28DA"/>
    <w:rsid w:val="00EF39FE"/>
    <w:rsid w:val="00EF4153"/>
    <w:rsid w:val="00F02135"/>
    <w:rsid w:val="00F21367"/>
    <w:rsid w:val="00F2524C"/>
    <w:rsid w:val="00F2537A"/>
    <w:rsid w:val="00F2618F"/>
    <w:rsid w:val="00F35E82"/>
    <w:rsid w:val="00F373F3"/>
    <w:rsid w:val="00F377E6"/>
    <w:rsid w:val="00F41CCB"/>
    <w:rsid w:val="00F42D90"/>
    <w:rsid w:val="00F4392C"/>
    <w:rsid w:val="00F43AB9"/>
    <w:rsid w:val="00F44002"/>
    <w:rsid w:val="00F5020F"/>
    <w:rsid w:val="00F53A0B"/>
    <w:rsid w:val="00F561F0"/>
    <w:rsid w:val="00F56743"/>
    <w:rsid w:val="00F56C4B"/>
    <w:rsid w:val="00F56FF3"/>
    <w:rsid w:val="00F62731"/>
    <w:rsid w:val="00F628DC"/>
    <w:rsid w:val="00F6306B"/>
    <w:rsid w:val="00F65114"/>
    <w:rsid w:val="00F66F04"/>
    <w:rsid w:val="00F72267"/>
    <w:rsid w:val="00F73DFA"/>
    <w:rsid w:val="00F75187"/>
    <w:rsid w:val="00F75743"/>
    <w:rsid w:val="00F763AE"/>
    <w:rsid w:val="00F80D4B"/>
    <w:rsid w:val="00F80E9B"/>
    <w:rsid w:val="00F8376C"/>
    <w:rsid w:val="00F84E9F"/>
    <w:rsid w:val="00F864CC"/>
    <w:rsid w:val="00F923DA"/>
    <w:rsid w:val="00F938D5"/>
    <w:rsid w:val="00F93C34"/>
    <w:rsid w:val="00F94CB6"/>
    <w:rsid w:val="00F9545C"/>
    <w:rsid w:val="00F95DD5"/>
    <w:rsid w:val="00FA4591"/>
    <w:rsid w:val="00FA4A41"/>
    <w:rsid w:val="00FB213C"/>
    <w:rsid w:val="00FB274D"/>
    <w:rsid w:val="00FB339F"/>
    <w:rsid w:val="00FB6FAE"/>
    <w:rsid w:val="00FB79F5"/>
    <w:rsid w:val="00FC1915"/>
    <w:rsid w:val="00FC1FA7"/>
    <w:rsid w:val="00FC5212"/>
    <w:rsid w:val="00FC699D"/>
    <w:rsid w:val="00FD2A4C"/>
    <w:rsid w:val="00FD7ACB"/>
    <w:rsid w:val="00FD7E01"/>
    <w:rsid w:val="00FE108A"/>
    <w:rsid w:val="00FE572A"/>
    <w:rsid w:val="00FE730D"/>
    <w:rsid w:val="00FF4895"/>
    <w:rsid w:val="00FF5F95"/>
    <w:rsid w:val="00FF75DE"/>
    <w:rsid w:val="05C54A6B"/>
    <w:rsid w:val="142A37F9"/>
    <w:rsid w:val="424A41A7"/>
    <w:rsid w:val="4CD967B0"/>
    <w:rsid w:val="5C99ECC8"/>
    <w:rsid w:val="622D6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B1F93"/>
  <w15:chartTrackingRefBased/>
  <w15:docId w15:val="{3619A8DE-78EA-4051-89D4-D6DA8DFF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72A"/>
    <w:pPr>
      <w:keepNext/>
      <w:spacing w:before="240" w:after="60" w:line="240" w:lineRule="auto"/>
      <w:outlineLvl w:val="0"/>
    </w:pPr>
    <w:rPr>
      <w:rFonts w:ascii="Arial" w:eastAsiaTheme="majorEastAsia" w:hAnsi="Arial" w:cstheme="majorBidi"/>
      <w:b/>
      <w:bCs/>
      <w:color w:val="2F5496" w:themeColor="accent5" w:themeShade="BF"/>
      <w:kern w:val="32"/>
      <w:sz w:val="28"/>
      <w:szCs w:val="32"/>
    </w:rPr>
  </w:style>
  <w:style w:type="paragraph" w:styleId="Heading2">
    <w:name w:val="heading 2"/>
    <w:basedOn w:val="Normal"/>
    <w:next w:val="Normal"/>
    <w:link w:val="Heading2Char"/>
    <w:uiPriority w:val="9"/>
    <w:unhideWhenUsed/>
    <w:qFormat/>
    <w:rsid w:val="000445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85"/>
    <w:pPr>
      <w:spacing w:after="0" w:line="240" w:lineRule="auto"/>
    </w:pPr>
  </w:style>
  <w:style w:type="paragraph" w:styleId="Header">
    <w:name w:val="header"/>
    <w:basedOn w:val="Normal"/>
    <w:link w:val="HeaderChar"/>
    <w:uiPriority w:val="99"/>
    <w:unhideWhenUsed/>
    <w:rsid w:val="00231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237"/>
  </w:style>
  <w:style w:type="paragraph" w:styleId="Footer">
    <w:name w:val="footer"/>
    <w:basedOn w:val="Normal"/>
    <w:link w:val="FooterChar"/>
    <w:uiPriority w:val="99"/>
    <w:unhideWhenUsed/>
    <w:rsid w:val="00231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237"/>
  </w:style>
  <w:style w:type="paragraph" w:customStyle="1" w:styleId="Style4">
    <w:name w:val="Style4"/>
    <w:basedOn w:val="Normal"/>
    <w:link w:val="Style4Char"/>
    <w:qFormat/>
    <w:rsid w:val="000E28CC"/>
    <w:pPr>
      <w:spacing w:after="0" w:line="240" w:lineRule="auto"/>
    </w:pPr>
    <w:rPr>
      <w:rFonts w:eastAsia="Calibri" w:cs="Arial"/>
      <w:i/>
      <w:color w:val="000000" w:themeColor="text1"/>
      <w:u w:val="single"/>
      <w:lang w:eastAsia="en-AU"/>
    </w:rPr>
  </w:style>
  <w:style w:type="character" w:customStyle="1" w:styleId="Style4Char">
    <w:name w:val="Style4 Char"/>
    <w:basedOn w:val="DefaultParagraphFont"/>
    <w:link w:val="Style4"/>
    <w:rsid w:val="000E28CC"/>
    <w:rPr>
      <w:rFonts w:eastAsia="Calibri" w:cs="Arial"/>
      <w:i/>
      <w:color w:val="000000" w:themeColor="text1"/>
      <w:u w:val="single"/>
      <w:lang w:eastAsia="en-AU"/>
    </w:rPr>
  </w:style>
  <w:style w:type="table" w:styleId="TableGrid">
    <w:name w:val="Table Grid"/>
    <w:aliases w:val="CSC Table Grid"/>
    <w:basedOn w:val="TableNormal"/>
    <w:uiPriority w:val="39"/>
    <w:rsid w:val="000E28C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572A"/>
    <w:rPr>
      <w:rFonts w:ascii="Arial" w:eastAsiaTheme="majorEastAsia" w:hAnsi="Arial" w:cstheme="majorBidi"/>
      <w:b/>
      <w:bCs/>
      <w:color w:val="2F5496" w:themeColor="accent5" w:themeShade="BF"/>
      <w:kern w:val="32"/>
      <w:sz w:val="28"/>
      <w:szCs w:val="32"/>
    </w:rPr>
  </w:style>
  <w:style w:type="paragraph" w:customStyle="1" w:styleId="Style2">
    <w:name w:val="Style2"/>
    <w:basedOn w:val="Normal"/>
    <w:link w:val="Style2Char"/>
    <w:qFormat/>
    <w:rsid w:val="00FE572A"/>
    <w:pPr>
      <w:spacing w:after="0" w:line="240" w:lineRule="auto"/>
    </w:pPr>
    <w:rPr>
      <w:rFonts w:ascii="Arial" w:eastAsia="Calibri" w:hAnsi="Arial" w:cs="Times New Roman"/>
      <w:b/>
      <w:color w:val="7B7B7B" w:themeColor="accent3" w:themeShade="BF"/>
      <w:lang w:val="en-US"/>
    </w:rPr>
  </w:style>
  <w:style w:type="character" w:customStyle="1" w:styleId="Style2Char">
    <w:name w:val="Style2 Char"/>
    <w:basedOn w:val="DefaultParagraphFont"/>
    <w:link w:val="Style2"/>
    <w:rsid w:val="00FE572A"/>
    <w:rPr>
      <w:rFonts w:ascii="Arial" w:eastAsia="Calibri" w:hAnsi="Arial" w:cs="Times New Roman"/>
      <w:b/>
      <w:color w:val="7B7B7B" w:themeColor="accent3" w:themeShade="BF"/>
      <w:lang w:val="en-US"/>
    </w:rPr>
  </w:style>
  <w:style w:type="table" w:styleId="GridTable5Dark-Accent1">
    <w:name w:val="Grid Table 5 Dark Accent 1"/>
    <w:basedOn w:val="TableNormal"/>
    <w:uiPriority w:val="50"/>
    <w:rsid w:val="00FE572A"/>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FE572A"/>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7Colorful-Accent1">
    <w:name w:val="List Table 7 Colorful Accent 1"/>
    <w:basedOn w:val="TableNormal"/>
    <w:uiPriority w:val="52"/>
    <w:rsid w:val="004A6ED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221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929"/>
    <w:rPr>
      <w:rFonts w:ascii="Segoe UI" w:hAnsi="Segoe UI" w:cs="Segoe UI"/>
      <w:sz w:val="18"/>
      <w:szCs w:val="18"/>
    </w:rPr>
  </w:style>
  <w:style w:type="paragraph" w:styleId="FootnoteText">
    <w:name w:val="footnote text"/>
    <w:basedOn w:val="Normal"/>
    <w:link w:val="FootnoteTextChar"/>
    <w:uiPriority w:val="99"/>
    <w:unhideWhenUsed/>
    <w:rsid w:val="00095521"/>
    <w:pPr>
      <w:spacing w:after="0" w:line="240" w:lineRule="auto"/>
      <w:jc w:val="both"/>
    </w:pPr>
    <w:rPr>
      <w:rFonts w:eastAsia="Times New Roman" w:cs="Times New Roman"/>
      <w:szCs w:val="20"/>
    </w:rPr>
  </w:style>
  <w:style w:type="character" w:customStyle="1" w:styleId="FootnoteTextChar">
    <w:name w:val="Footnote Text Char"/>
    <w:basedOn w:val="DefaultParagraphFont"/>
    <w:link w:val="FootnoteText"/>
    <w:uiPriority w:val="99"/>
    <w:rsid w:val="00095521"/>
    <w:rPr>
      <w:rFonts w:eastAsia="Times New Roman" w:cs="Times New Roman"/>
      <w:szCs w:val="20"/>
    </w:rPr>
  </w:style>
  <w:style w:type="character" w:styleId="FootnoteReference">
    <w:name w:val="footnote reference"/>
    <w:basedOn w:val="DefaultParagraphFont"/>
    <w:uiPriority w:val="99"/>
    <w:unhideWhenUsed/>
    <w:rsid w:val="00095521"/>
    <w:rPr>
      <w:vertAlign w:val="superscript"/>
    </w:rPr>
  </w:style>
  <w:style w:type="character" w:customStyle="1" w:styleId="Heading2Char">
    <w:name w:val="Heading 2 Char"/>
    <w:basedOn w:val="DefaultParagraphFont"/>
    <w:link w:val="Heading2"/>
    <w:uiPriority w:val="9"/>
    <w:rsid w:val="0004454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D94E03"/>
    <w:pPr>
      <w:ind w:left="720"/>
      <w:contextualSpacing/>
    </w:pPr>
  </w:style>
  <w:style w:type="character" w:customStyle="1" w:styleId="ListParagraphChar">
    <w:name w:val="List Paragraph Char"/>
    <w:basedOn w:val="DefaultParagraphFont"/>
    <w:link w:val="ListParagraph"/>
    <w:uiPriority w:val="34"/>
    <w:rsid w:val="00BB39CA"/>
  </w:style>
  <w:style w:type="character" w:styleId="CommentReference">
    <w:name w:val="annotation reference"/>
    <w:basedOn w:val="DefaultParagraphFont"/>
    <w:uiPriority w:val="99"/>
    <w:semiHidden/>
    <w:unhideWhenUsed/>
    <w:rsid w:val="008972BD"/>
    <w:rPr>
      <w:sz w:val="16"/>
      <w:szCs w:val="16"/>
    </w:rPr>
  </w:style>
  <w:style w:type="paragraph" w:styleId="CommentText">
    <w:name w:val="annotation text"/>
    <w:basedOn w:val="Normal"/>
    <w:link w:val="CommentTextChar"/>
    <w:uiPriority w:val="99"/>
    <w:unhideWhenUsed/>
    <w:rsid w:val="008972BD"/>
    <w:pPr>
      <w:spacing w:line="240" w:lineRule="auto"/>
    </w:pPr>
    <w:rPr>
      <w:sz w:val="20"/>
      <w:szCs w:val="20"/>
    </w:rPr>
  </w:style>
  <w:style w:type="character" w:customStyle="1" w:styleId="CommentTextChar">
    <w:name w:val="Comment Text Char"/>
    <w:basedOn w:val="DefaultParagraphFont"/>
    <w:link w:val="CommentText"/>
    <w:uiPriority w:val="99"/>
    <w:rsid w:val="008972BD"/>
    <w:rPr>
      <w:sz w:val="20"/>
      <w:szCs w:val="20"/>
    </w:rPr>
  </w:style>
  <w:style w:type="paragraph" w:styleId="CommentSubject">
    <w:name w:val="annotation subject"/>
    <w:basedOn w:val="CommentText"/>
    <w:next w:val="CommentText"/>
    <w:link w:val="CommentSubjectChar"/>
    <w:uiPriority w:val="99"/>
    <w:semiHidden/>
    <w:unhideWhenUsed/>
    <w:rsid w:val="008972BD"/>
    <w:rPr>
      <w:b/>
      <w:bCs/>
    </w:rPr>
  </w:style>
  <w:style w:type="character" w:customStyle="1" w:styleId="CommentSubjectChar">
    <w:name w:val="Comment Subject Char"/>
    <w:basedOn w:val="CommentTextChar"/>
    <w:link w:val="CommentSubject"/>
    <w:uiPriority w:val="99"/>
    <w:semiHidden/>
    <w:rsid w:val="008972BD"/>
    <w:rPr>
      <w:b/>
      <w:bCs/>
      <w:sz w:val="20"/>
      <w:szCs w:val="20"/>
    </w:rPr>
  </w:style>
  <w:style w:type="paragraph" w:styleId="EndnoteText">
    <w:name w:val="endnote text"/>
    <w:basedOn w:val="Normal"/>
    <w:link w:val="EndnoteTextChar"/>
    <w:uiPriority w:val="99"/>
    <w:semiHidden/>
    <w:unhideWhenUsed/>
    <w:rsid w:val="007401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116"/>
    <w:rPr>
      <w:sz w:val="20"/>
      <w:szCs w:val="20"/>
    </w:rPr>
  </w:style>
  <w:style w:type="character" w:styleId="EndnoteReference">
    <w:name w:val="endnote reference"/>
    <w:basedOn w:val="DefaultParagraphFont"/>
    <w:uiPriority w:val="99"/>
    <w:semiHidden/>
    <w:unhideWhenUsed/>
    <w:rsid w:val="00740116"/>
    <w:rPr>
      <w:vertAlign w:val="superscript"/>
    </w:rPr>
  </w:style>
  <w:style w:type="character" w:styleId="Hyperlink">
    <w:name w:val="Hyperlink"/>
    <w:basedOn w:val="DefaultParagraphFont"/>
    <w:uiPriority w:val="99"/>
    <w:unhideWhenUsed/>
    <w:rsid w:val="00DF45CE"/>
    <w:rPr>
      <w:color w:val="0563C1" w:themeColor="hyperlink"/>
      <w:u w:val="single"/>
    </w:rPr>
  </w:style>
  <w:style w:type="character" w:styleId="UnresolvedMention">
    <w:name w:val="Unresolved Mention"/>
    <w:basedOn w:val="DefaultParagraphFont"/>
    <w:uiPriority w:val="99"/>
    <w:semiHidden/>
    <w:unhideWhenUsed/>
    <w:rsid w:val="00DF45CE"/>
    <w:rPr>
      <w:color w:val="605E5C"/>
      <w:shd w:val="clear" w:color="auto" w:fill="E1DFDD"/>
    </w:rPr>
  </w:style>
  <w:style w:type="character" w:styleId="FollowedHyperlink">
    <w:name w:val="FollowedHyperlink"/>
    <w:basedOn w:val="DefaultParagraphFont"/>
    <w:uiPriority w:val="99"/>
    <w:semiHidden/>
    <w:unhideWhenUsed/>
    <w:rsid w:val="00F923DA"/>
    <w:rPr>
      <w:color w:val="954F72" w:themeColor="followedHyperlink"/>
      <w:u w:val="single"/>
    </w:rPr>
  </w:style>
  <w:style w:type="paragraph" w:styleId="Revision">
    <w:name w:val="Revision"/>
    <w:hidden/>
    <w:uiPriority w:val="99"/>
    <w:semiHidden/>
    <w:rsid w:val="007E0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94832">
      <w:bodyDiv w:val="1"/>
      <w:marLeft w:val="0"/>
      <w:marRight w:val="0"/>
      <w:marTop w:val="0"/>
      <w:marBottom w:val="0"/>
      <w:divBdr>
        <w:top w:val="none" w:sz="0" w:space="0" w:color="auto"/>
        <w:left w:val="none" w:sz="0" w:space="0" w:color="auto"/>
        <w:bottom w:val="none" w:sz="0" w:space="0" w:color="auto"/>
        <w:right w:val="none" w:sz="0" w:space="0" w:color="auto"/>
      </w:divBdr>
    </w:div>
    <w:div w:id="872890088">
      <w:bodyDiv w:val="1"/>
      <w:marLeft w:val="0"/>
      <w:marRight w:val="0"/>
      <w:marTop w:val="0"/>
      <w:marBottom w:val="0"/>
      <w:divBdr>
        <w:top w:val="none" w:sz="0" w:space="0" w:color="auto"/>
        <w:left w:val="none" w:sz="0" w:space="0" w:color="auto"/>
        <w:bottom w:val="none" w:sz="0" w:space="0" w:color="auto"/>
        <w:right w:val="none" w:sz="0" w:space="0" w:color="auto"/>
      </w:divBdr>
    </w:div>
    <w:div w:id="1422069156">
      <w:bodyDiv w:val="1"/>
      <w:marLeft w:val="0"/>
      <w:marRight w:val="0"/>
      <w:marTop w:val="0"/>
      <w:marBottom w:val="0"/>
      <w:divBdr>
        <w:top w:val="none" w:sz="0" w:space="0" w:color="auto"/>
        <w:left w:val="none" w:sz="0" w:space="0" w:color="auto"/>
        <w:bottom w:val="none" w:sz="0" w:space="0" w:color="auto"/>
        <w:right w:val="none" w:sz="0" w:space="0" w:color="auto"/>
      </w:divBdr>
    </w:div>
    <w:div w:id="177347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gamblingcommission.gov.uk/report/measuring-the-adverse-consequences-from-gambling" TargetMode="External"/><Relationship Id="rId1" Type="http://schemas.openxmlformats.org/officeDocument/2006/relationships/hyperlink" Target="https://lgiu.org/newsletter/archive/global-local-gambling/?utm_source=Civi+CRM+linked+mailing+list&amp;utm_campaign=66ac2b8a2d-EMAIL_CAMPAIGN_2023_04_18_10_59_COPY_01&amp;utm_medium=email&amp;utm_term=0_4f14bd9e99-9266a2d07a-%5BLIST_EMAIL_ID%5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E045-E842-4C57-8591-C017E70F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2052</Words>
  <Characters>12277</Characters>
  <Application>Microsoft Office Word</Application>
  <DocSecurity>0</DocSecurity>
  <Lines>255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Medley</dc:creator>
  <cp:keywords/>
  <dc:description/>
  <cp:lastModifiedBy>Joanne Kyrkilis</cp:lastModifiedBy>
  <cp:revision>2</cp:revision>
  <cp:lastPrinted>2026-06-15T22:25:00Z</cp:lastPrinted>
  <dcterms:created xsi:type="dcterms:W3CDTF">2026-06-15T22:27:00Z</dcterms:created>
  <dcterms:modified xsi:type="dcterms:W3CDTF">2026-06-15T22:27:00Z</dcterms:modified>
</cp:coreProperties>
</file>